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433FE2">
      <w:pPr>
        <w:keepNext w:val="0"/>
        <w:keepLines w:val="0"/>
        <w:pageBreakBefore w:val="0"/>
        <w:widowControl/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line="310" w:lineRule="exact"/>
        <w:jc w:val="left"/>
        <w:textAlignment w:val="baseline"/>
        <w:rPr>
          <w:rFonts w:hint="eastAsia" w:ascii="黑体" w:hAnsi="黑体" w:eastAsia="黑体" w:cs="黑体"/>
          <w:sz w:val="21"/>
          <w:szCs w:val="21"/>
          <w:lang w:val="en-US" w:eastAsia="zh-CN"/>
        </w:rPr>
      </w:pP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>附件1</w:t>
      </w:r>
    </w:p>
    <w:p w14:paraId="0D9564D1">
      <w:pPr>
        <w:keepNext w:val="0"/>
        <w:keepLines w:val="0"/>
        <w:pageBreakBefore w:val="0"/>
        <w:widowControl/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line="310" w:lineRule="exact"/>
        <w:jc w:val="left"/>
        <w:textAlignment w:val="baseline"/>
        <w:rPr>
          <w:rFonts w:hint="eastAsia" w:ascii="黑体" w:hAnsi="黑体" w:eastAsia="黑体" w:cs="黑体"/>
          <w:sz w:val="21"/>
          <w:szCs w:val="21"/>
          <w:lang w:val="en-US" w:eastAsia="zh-CN"/>
        </w:rPr>
      </w:pPr>
    </w:p>
    <w:p w14:paraId="33D6BD02">
      <w:pPr>
        <w:keepNext w:val="0"/>
        <w:keepLines w:val="0"/>
        <w:pageBreakBefore w:val="0"/>
        <w:widowControl/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="仿宋_GB2312" w:hAnsi="仿宋_GB2312" w:eastAsia="仿宋_GB2312" w:cs="仿宋_GB2312"/>
          <w:sz w:val="44"/>
          <w:szCs w:val="4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44"/>
          <w:szCs w:val="44"/>
          <w:highlight w:val="none"/>
          <w:lang w:val="en-US" w:eastAsia="zh-CN"/>
        </w:rPr>
        <w:t>鄂托克旗“一把手走流程”活动实施方案</w:t>
      </w:r>
    </w:p>
    <w:p w14:paraId="0F395B83">
      <w:pPr>
        <w:keepNext w:val="0"/>
        <w:keepLines w:val="0"/>
        <w:pageBreakBefore w:val="0"/>
        <w:widowControl/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line="310" w:lineRule="exact"/>
        <w:jc w:val="left"/>
        <w:textAlignment w:val="baseline"/>
        <w:rPr>
          <w:rFonts w:hint="eastAsia" w:ascii="黑体" w:hAnsi="黑体" w:eastAsia="黑体" w:cs="黑体"/>
          <w:sz w:val="21"/>
          <w:szCs w:val="21"/>
          <w:lang w:val="en-US" w:eastAsia="zh-CN"/>
        </w:rPr>
      </w:pPr>
    </w:p>
    <w:p w14:paraId="602BDE85">
      <w:pPr>
        <w:keepNext w:val="0"/>
        <w:keepLines w:val="0"/>
        <w:pageBreakBefore w:val="0"/>
        <w:widowControl/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line="310" w:lineRule="exact"/>
        <w:ind w:firstLine="420" w:firstLineChars="200"/>
        <w:jc w:val="both"/>
        <w:textAlignment w:val="baseline"/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  <w:sectPr>
          <w:pgSz w:w="11906" w:h="16838"/>
          <w:pgMar w:top="2154" w:right="1134" w:bottom="1701" w:left="1134" w:header="851" w:footer="992" w:gutter="0"/>
          <w:pgNumType w:fmt="decimal"/>
          <w:cols w:space="425" w:num="1"/>
          <w:docGrid w:type="lines" w:linePitch="312" w:charSpace="0"/>
        </w:sectPr>
      </w:pPr>
    </w:p>
    <w:p w14:paraId="6DBEF3C8">
      <w:pPr>
        <w:keepNext w:val="0"/>
        <w:keepLines w:val="0"/>
        <w:pageBreakBefore w:val="0"/>
        <w:widowControl/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line="310" w:lineRule="exact"/>
        <w:ind w:firstLine="420" w:firstLineChars="200"/>
        <w:jc w:val="both"/>
        <w:textAlignment w:val="baseline"/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</w:pP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  <w:t>为进一步疏通服务堵点，攻克改革难点，化解办事痛点，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  <w:lang w:val="en-US" w:eastAsia="zh-CN"/>
        </w:rPr>
        <w:t>持续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  <w:t>打造一流政务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  <w:lang w:val="en-US" w:eastAsia="zh-CN"/>
        </w:rPr>
        <w:t>服务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  <w:t>环境，促进政务服务更加便捷高效，</w:t>
      </w:r>
      <w:r>
        <w:rPr>
          <w:rFonts w:hint="eastAsia" w:ascii="方正书宋简体" w:hAnsi="方正书宋简体" w:eastAsia="方正书宋简体" w:cs="方正书宋简体"/>
          <w:color w:val="auto"/>
          <w:sz w:val="21"/>
          <w:szCs w:val="21"/>
          <w:highlight w:val="none"/>
        </w:rPr>
        <w:t>推动各单位“一把手”</w:t>
      </w:r>
      <w:r>
        <w:rPr>
          <w:rFonts w:hint="eastAsia" w:ascii="方正书宋简体" w:hAnsi="方正书宋简体" w:eastAsia="方正书宋简体" w:cs="方正书宋简体"/>
          <w:color w:val="auto"/>
          <w:sz w:val="21"/>
          <w:szCs w:val="21"/>
          <w:highlight w:val="none"/>
          <w:lang w:val="en-US" w:eastAsia="zh-CN"/>
        </w:rPr>
        <w:t>常态化深入开展“走流程”活动。聚焦</w:t>
      </w:r>
      <w:r>
        <w:rPr>
          <w:rFonts w:hint="eastAsia" w:ascii="方正书宋简体" w:hAnsi="方正书宋简体" w:eastAsia="方正书宋简体" w:cs="方正书宋简体"/>
          <w:color w:val="auto"/>
          <w:sz w:val="21"/>
          <w:szCs w:val="21"/>
          <w:highlight w:val="none"/>
        </w:rPr>
        <w:t>优化审批流程，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  <w:t>清除服务壁垒，不断增强企业和群众的获得感和满意度。根据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  <w:lang w:eastAsia="zh-CN"/>
        </w:rPr>
        <w:t>《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  <w:lang w:val="en-US" w:eastAsia="zh-CN"/>
        </w:rPr>
        <w:t>鄂托克旗党建领航“强队伍、转作风、优服务”专项行动工作方案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  <w:lang w:eastAsia="zh-CN"/>
        </w:rPr>
        <w:t>》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  <w:t>有关要求，结合我旗实际，制定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  <w:lang w:val="en-US" w:eastAsia="zh-CN"/>
        </w:rPr>
        <w:t>鄂托克旗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  <w:t>“一把手走流程”活动实施方案。</w:t>
      </w:r>
    </w:p>
    <w:p w14:paraId="0F46FD5D">
      <w:pPr>
        <w:keepNext w:val="0"/>
        <w:keepLines w:val="0"/>
        <w:pageBreakBefore w:val="0"/>
        <w:widowControl/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line="310" w:lineRule="exact"/>
        <w:ind w:firstLine="420" w:firstLineChars="200"/>
        <w:jc w:val="left"/>
        <w:textAlignment w:val="baseline"/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</w:pP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  <w:t>一、工作目标</w:t>
      </w:r>
    </w:p>
    <w:p w14:paraId="0D5B4DCB">
      <w:pPr>
        <w:keepNext w:val="0"/>
        <w:keepLines w:val="0"/>
        <w:pageBreakBefore w:val="0"/>
        <w:widowControl/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line="310" w:lineRule="exact"/>
        <w:ind w:firstLine="420" w:firstLineChars="200"/>
        <w:jc w:val="both"/>
        <w:textAlignment w:val="baseline"/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</w:pP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  <w:t>坚持以习近平新时代中国特色社会主义思想为指导，牢固树立以人民为中心的发展理念，强化问题导向，客观正视本部门在优化审批流程方面的短板，聚焦“高效办成一件事”和持续优化营商环境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  <w:lang w:eastAsia="zh-CN"/>
        </w:rPr>
        <w:t>，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  <w:t>推动领导干部由办事流程的设计者变为办事流程的体验者，亲自感受政务服务效率“高不高”、环节“优不优”、评价“好不好”、重大项目审批“便捷不便捷”等细节，持续解决企业群众“急难愁盼”的突出问题，打造最优营商环境，助推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  <w:lang w:eastAsia="zh-CN"/>
        </w:rPr>
        <w:t>鄂托克旗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  <w:t>经济社会高质量发展。</w:t>
      </w:r>
    </w:p>
    <w:p w14:paraId="2EAF8800">
      <w:pPr>
        <w:keepNext w:val="0"/>
        <w:keepLines w:val="0"/>
        <w:pageBreakBefore w:val="0"/>
        <w:widowControl/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line="310" w:lineRule="exact"/>
        <w:ind w:firstLine="420" w:firstLineChars="200"/>
        <w:jc w:val="left"/>
        <w:textAlignment w:val="baseline"/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</w:pP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  <w:t>二、体验主体</w:t>
      </w:r>
    </w:p>
    <w:p w14:paraId="04C3F3E2">
      <w:pPr>
        <w:keepNext w:val="0"/>
        <w:keepLines w:val="0"/>
        <w:pageBreakBefore w:val="0"/>
        <w:widowControl/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line="310" w:lineRule="exact"/>
        <w:ind w:firstLine="420" w:firstLineChars="200"/>
        <w:jc w:val="both"/>
        <w:textAlignment w:val="baseline"/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</w:pP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  <w:t>进驻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  <w:lang w:val="en-US" w:eastAsia="zh-CN"/>
        </w:rPr>
        <w:t>旗级、棋蒙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  <w:t>政务服务大厅各单位主要负责人。</w:t>
      </w:r>
    </w:p>
    <w:p w14:paraId="189C6B03">
      <w:pPr>
        <w:keepNext w:val="0"/>
        <w:keepLines w:val="0"/>
        <w:pageBreakBefore w:val="0"/>
        <w:widowControl/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line="310" w:lineRule="exact"/>
        <w:ind w:firstLine="420" w:firstLineChars="200"/>
        <w:jc w:val="left"/>
        <w:textAlignment w:val="baseline"/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</w:pP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  <w:t>三、体验方式</w:t>
      </w:r>
    </w:p>
    <w:p w14:paraId="79438D55">
      <w:pPr>
        <w:keepNext w:val="0"/>
        <w:keepLines w:val="0"/>
        <w:pageBreakBefore w:val="0"/>
        <w:widowControl/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line="310" w:lineRule="exact"/>
        <w:ind w:firstLine="420" w:firstLineChars="200"/>
        <w:jc w:val="left"/>
        <w:textAlignment w:val="baseline"/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</w:pP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  <w:lang w:eastAsia="zh-CN"/>
        </w:rPr>
        <w:t>（一）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  <w:t>以企业群众身份亲自办</w:t>
      </w:r>
    </w:p>
    <w:p w14:paraId="39503426">
      <w:pPr>
        <w:keepNext w:val="0"/>
        <w:keepLines w:val="0"/>
        <w:pageBreakBefore w:val="0"/>
        <w:widowControl/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line="310" w:lineRule="exact"/>
        <w:ind w:firstLine="420" w:firstLineChars="200"/>
        <w:jc w:val="both"/>
        <w:textAlignment w:val="baseline"/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</w:pP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  <w:t>选取企业群众办理的高频事项，亲自体验办事流程，重点体验要件数量、办理环节、办理时限、跑动次数和网上办理等要素，记录办事全过程，通过实际办理具体服务事项，感受政务服务效率“高不高”。</w:t>
      </w:r>
    </w:p>
    <w:p w14:paraId="456979DD">
      <w:pPr>
        <w:keepNext w:val="0"/>
        <w:keepLines w:val="0"/>
        <w:pageBreakBefore w:val="0"/>
        <w:widowControl/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line="310" w:lineRule="exact"/>
        <w:ind w:firstLine="420" w:firstLineChars="200"/>
        <w:jc w:val="left"/>
        <w:textAlignment w:val="baseline"/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</w:pP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  <w:lang w:eastAsia="zh-CN"/>
        </w:rPr>
        <w:t>（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  <w:lang w:val="en-US" w:eastAsia="zh-CN"/>
        </w:rPr>
        <w:t>二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  <w:lang w:eastAsia="zh-CN"/>
        </w:rPr>
        <w:t>）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  <w:t>以帮办人员身份陪同办</w:t>
      </w:r>
    </w:p>
    <w:p w14:paraId="6F55549A">
      <w:pPr>
        <w:keepNext w:val="0"/>
        <w:keepLines w:val="0"/>
        <w:pageBreakBefore w:val="0"/>
        <w:widowControl/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line="310" w:lineRule="exact"/>
        <w:ind w:firstLine="420" w:firstLineChars="200"/>
        <w:jc w:val="both"/>
        <w:textAlignment w:val="baseline"/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</w:pP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  <w:t>从事前咨询到表格填写、从排队办理到事项办结，作为帮办人员陪同企业和群众跑完全流程，重点体验首问负责、一次性告知、咨询引导、热线服务、网上查询、服务指南、表格设置、自助办理和投诉监督等要素，感受政务服务办事环节“优不优”。</w:t>
      </w:r>
    </w:p>
    <w:p w14:paraId="64DB7289">
      <w:pPr>
        <w:keepNext w:val="0"/>
        <w:keepLines w:val="0"/>
        <w:pageBreakBefore w:val="0"/>
        <w:widowControl/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line="310" w:lineRule="exact"/>
        <w:ind w:firstLine="420" w:firstLineChars="200"/>
        <w:jc w:val="left"/>
        <w:textAlignment w:val="baseline"/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</w:pP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  <w:lang w:eastAsia="zh-CN"/>
        </w:rPr>
        <w:t>（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  <w:lang w:val="en-US" w:eastAsia="zh-CN"/>
        </w:rPr>
        <w:t>三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  <w:lang w:eastAsia="zh-CN"/>
        </w:rPr>
        <w:t>）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  <w:t>以工作人员身份窗口办</w:t>
      </w:r>
    </w:p>
    <w:p w14:paraId="38DFAA61">
      <w:pPr>
        <w:keepNext w:val="0"/>
        <w:keepLines w:val="0"/>
        <w:pageBreakBefore w:val="0"/>
        <w:widowControl/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line="310" w:lineRule="exact"/>
        <w:ind w:firstLine="420" w:firstLineChars="200"/>
        <w:jc w:val="both"/>
        <w:textAlignment w:val="baseline"/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</w:pP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  <w:t>深入本单位政务服务窗口，以窗口工作人员身份，亲自受理审批服务事项，面对面接待办事群众，体验从答疑解惑、受理审查、后台审批、打印结果等全审批流程。为企业和群众提供全流程面对面服务，感受企业群众对本单位政务服务评价“好不好”。</w:t>
      </w:r>
    </w:p>
    <w:p w14:paraId="307F19D7">
      <w:pPr>
        <w:keepNext w:val="0"/>
        <w:keepLines w:val="0"/>
        <w:pageBreakBefore w:val="0"/>
        <w:widowControl/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line="310" w:lineRule="exact"/>
        <w:ind w:firstLine="420" w:firstLineChars="200"/>
        <w:jc w:val="left"/>
        <w:textAlignment w:val="baseline"/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</w:pP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  <w:lang w:eastAsia="zh-CN"/>
        </w:rPr>
        <w:t>（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  <w:lang w:val="en-US" w:eastAsia="zh-CN"/>
        </w:rPr>
        <w:t>四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  <w:lang w:eastAsia="zh-CN"/>
        </w:rPr>
        <w:t>）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  <w:t>以监督人员身份检验办</w:t>
      </w:r>
    </w:p>
    <w:p w14:paraId="25658874">
      <w:pPr>
        <w:keepNext w:val="0"/>
        <w:keepLines w:val="0"/>
        <w:pageBreakBefore w:val="0"/>
        <w:widowControl/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line="310" w:lineRule="exact"/>
        <w:ind w:firstLine="420" w:firstLineChars="200"/>
        <w:jc w:val="both"/>
        <w:textAlignment w:val="baseline"/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</w:pP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  <w:t>围绕服务事项举措、配套服务和环境建设，作为监督人员，重点体验推进跨层级跨区域跨部门办理、“一网、一门、一次”等改革举措落实情况，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  <w:lang w:val="en-US" w:eastAsia="zh-CN"/>
        </w:rPr>
        <w:t>以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  <w:t>及“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  <w:lang w:val="en-US" w:eastAsia="zh-CN"/>
        </w:rPr>
        <w:t>高效办成一件事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  <w:t>”“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  <w:lang w:val="en-US" w:eastAsia="zh-CN"/>
        </w:rPr>
        <w:t>跨域通办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  <w:t>”“最多跑一次”方面存在的制约要素。</w:t>
      </w:r>
    </w:p>
    <w:p w14:paraId="2B28C40B">
      <w:pPr>
        <w:keepNext w:val="0"/>
        <w:keepLines w:val="0"/>
        <w:pageBreakBefore w:val="0"/>
        <w:widowControl/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line="310" w:lineRule="exact"/>
        <w:ind w:firstLine="420" w:firstLineChars="200"/>
        <w:jc w:val="left"/>
        <w:textAlignment w:val="baseline"/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</w:pP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  <w:lang w:val="en-US" w:eastAsia="zh-CN"/>
        </w:rPr>
        <w:t>四、目标任务</w:t>
      </w:r>
    </w:p>
    <w:p w14:paraId="037980F2">
      <w:pPr>
        <w:keepNext w:val="0"/>
        <w:keepLines w:val="0"/>
        <w:pageBreakBefore w:val="0"/>
        <w:widowControl/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line="310" w:lineRule="exact"/>
        <w:ind w:firstLine="420" w:firstLineChars="200"/>
        <w:jc w:val="left"/>
        <w:textAlignment w:val="baseline"/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</w:pP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  <w:lang w:eastAsia="zh-CN"/>
        </w:rPr>
        <w:t>（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  <w:lang w:val="en-US" w:eastAsia="zh-CN"/>
        </w:rPr>
        <w:t>一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  <w:lang w:eastAsia="zh-CN"/>
        </w:rPr>
        <w:t>）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  <w:t>针对服务事项全不全，提升工作标准</w:t>
      </w:r>
    </w:p>
    <w:p w14:paraId="17594E1B">
      <w:pPr>
        <w:keepNext w:val="0"/>
        <w:keepLines w:val="0"/>
        <w:pageBreakBefore w:val="0"/>
        <w:widowControl/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line="310" w:lineRule="exact"/>
        <w:ind w:firstLine="406" w:firstLineChars="200"/>
        <w:jc w:val="both"/>
        <w:textAlignment w:val="baseline"/>
        <w:rPr>
          <w:rFonts w:hint="eastAsia" w:ascii="方正书宋简体" w:hAnsi="方正书宋简体" w:eastAsia="方正书宋简体" w:cs="方正书宋简体"/>
          <w:w w:val="97"/>
          <w:sz w:val="21"/>
          <w:szCs w:val="21"/>
          <w:highlight w:val="none"/>
        </w:rPr>
      </w:pPr>
      <w:r>
        <w:rPr>
          <w:rFonts w:hint="eastAsia" w:ascii="方正书宋简体" w:hAnsi="方正书宋简体" w:eastAsia="方正书宋简体" w:cs="方正书宋简体"/>
          <w:w w:val="97"/>
          <w:sz w:val="21"/>
          <w:szCs w:val="21"/>
          <w:highlight w:val="none"/>
        </w:rPr>
        <w:t>对照政务服务事项清单，重点查看服务事项是否全部覆盖、应进驻事项是否授权到位、是否在政务服务中心实质运行，是否存在“明进暗不进”“只接件、不办件”等问题；政务服务事项及办事指南是否及时动态更新、精准规范，坚决做到清单之内皆可办、清单之外无审批。</w:t>
      </w:r>
    </w:p>
    <w:p w14:paraId="3CCD8638">
      <w:pPr>
        <w:keepNext w:val="0"/>
        <w:keepLines w:val="0"/>
        <w:pageBreakBefore w:val="0"/>
        <w:widowControl/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line="310" w:lineRule="exact"/>
        <w:ind w:firstLine="420" w:firstLineChars="200"/>
        <w:jc w:val="left"/>
        <w:textAlignment w:val="baseline"/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</w:pP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  <w:lang w:eastAsia="zh-CN"/>
        </w:rPr>
        <w:t>（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  <w:lang w:val="en-US" w:eastAsia="zh-CN"/>
        </w:rPr>
        <w:t>二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  <w:lang w:eastAsia="zh-CN"/>
        </w:rPr>
        <w:t>）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  <w:t>针对服务水平高不高，提升工作能力</w:t>
      </w:r>
    </w:p>
    <w:p w14:paraId="0E8E5EB4">
      <w:pPr>
        <w:keepNext w:val="0"/>
        <w:keepLines w:val="0"/>
        <w:pageBreakBefore w:val="0"/>
        <w:widowControl/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line="310" w:lineRule="exact"/>
        <w:ind w:firstLine="406" w:firstLineChars="200"/>
        <w:jc w:val="both"/>
        <w:textAlignment w:val="baseline"/>
        <w:rPr>
          <w:rFonts w:hint="eastAsia" w:ascii="方正书宋简体" w:hAnsi="方正书宋简体" w:eastAsia="方正书宋简体" w:cs="方正书宋简体"/>
          <w:w w:val="97"/>
          <w:sz w:val="21"/>
          <w:szCs w:val="21"/>
          <w:highlight w:val="none"/>
          <w:lang w:val="en-US" w:eastAsia="zh-CN"/>
        </w:rPr>
      </w:pPr>
      <w:r>
        <w:rPr>
          <w:rFonts w:hint="eastAsia" w:ascii="方正书宋简体" w:hAnsi="方正书宋简体" w:eastAsia="方正书宋简体" w:cs="方正书宋简体"/>
          <w:w w:val="97"/>
          <w:sz w:val="21"/>
          <w:szCs w:val="21"/>
          <w:highlight w:val="none"/>
          <w:lang w:val="en-US" w:eastAsia="zh-CN"/>
        </w:rPr>
        <w:t>针对综窗人员与后台审批人员配合是否紧密高效、业务衔接是否顺畅无阻；最新政策文件、办事指南是否第一时间精准传达，并及时组织开展业务培训、确保熟练掌握；部门与部门之间业务系统是否互联互通、数据共享是否及时通畅；电子证照是否广泛应用、材料是否实现免提交减跑动，切实打通服务堵点、提升协同办理效率。</w:t>
      </w:r>
    </w:p>
    <w:p w14:paraId="2A94DC9D">
      <w:pPr>
        <w:keepNext w:val="0"/>
        <w:keepLines w:val="0"/>
        <w:pageBreakBefore w:val="0"/>
        <w:widowControl/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line="310" w:lineRule="exact"/>
        <w:ind w:firstLine="420" w:firstLineChars="200"/>
        <w:jc w:val="left"/>
        <w:textAlignment w:val="baseline"/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</w:pP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  <w:lang w:eastAsia="zh-CN"/>
        </w:rPr>
        <w:t>（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  <w:lang w:val="en-US" w:eastAsia="zh-CN"/>
        </w:rPr>
        <w:t>三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  <w:lang w:eastAsia="zh-CN"/>
        </w:rPr>
        <w:t>）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  <w:t>针对服务流程优不优，提升工作效率</w:t>
      </w:r>
    </w:p>
    <w:p w14:paraId="15F468FA">
      <w:pPr>
        <w:keepNext w:val="0"/>
        <w:keepLines w:val="0"/>
        <w:pageBreakBefore w:val="0"/>
        <w:widowControl/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line="310" w:lineRule="exact"/>
        <w:ind w:firstLine="420" w:firstLineChars="200"/>
        <w:jc w:val="both"/>
        <w:textAlignment w:val="baseline"/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</w:pP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  <w:t>针对各级各部门权责职能是否清晰、协同配合是否紧密；网办流程是否通畅、申请材料是否精简；环节设置是否可再优化、办理时限是否可再压缩；本部门牵头的“高效办成一件事”是否认真落实到位。着力解决工作人员时限意识不强、工作执行力不足、办事拖拉、效率低下等突出问题，进一步强化责任担当、提升工作效能，确保政务服务高效规范、群众办事便捷省心。</w:t>
      </w:r>
    </w:p>
    <w:p w14:paraId="4A302A63">
      <w:pPr>
        <w:keepNext w:val="0"/>
        <w:keepLines w:val="0"/>
        <w:pageBreakBefore w:val="0"/>
        <w:widowControl/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line="310" w:lineRule="exact"/>
        <w:ind w:firstLine="420" w:firstLineChars="200"/>
        <w:jc w:val="left"/>
        <w:textAlignment w:val="baseline"/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</w:pP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  <w:lang w:eastAsia="zh-CN"/>
        </w:rPr>
        <w:t>（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  <w:lang w:val="en-US" w:eastAsia="zh-CN"/>
        </w:rPr>
        <w:t>四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  <w:lang w:eastAsia="zh-CN"/>
        </w:rPr>
        <w:t>）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  <w:t>针对服务要素齐不齐，提升工作规范</w:t>
      </w:r>
    </w:p>
    <w:p w14:paraId="7FEE2C92">
      <w:pPr>
        <w:keepNext w:val="0"/>
        <w:keepLines w:val="0"/>
        <w:pageBreakBefore w:val="0"/>
        <w:widowControl/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line="310" w:lineRule="exact"/>
        <w:ind w:firstLine="420" w:firstLineChars="200"/>
        <w:jc w:val="left"/>
        <w:textAlignment w:val="baseline"/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</w:pP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  <w:t>针对相关部门授权是否到位，有无办事服务指南、一次性告知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  <w:lang w:val="en-US" w:eastAsia="zh-CN"/>
        </w:rPr>
        <w:t>单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  <w:t>等，解决工作程序混乱、配套制度缺失、操作难度高、工作台账缺少、网办事项不进系统等问题。</w:t>
      </w:r>
    </w:p>
    <w:p w14:paraId="771E5D4D">
      <w:pPr>
        <w:keepNext w:val="0"/>
        <w:keepLines w:val="0"/>
        <w:pageBreakBefore w:val="0"/>
        <w:widowControl/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line="310" w:lineRule="exact"/>
        <w:ind w:firstLine="420" w:firstLineChars="200"/>
        <w:jc w:val="left"/>
        <w:textAlignment w:val="baseline"/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</w:pP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  <w:lang w:eastAsia="zh-CN"/>
        </w:rPr>
        <w:t>（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  <w:lang w:val="en-US" w:eastAsia="zh-CN"/>
        </w:rPr>
        <w:t>五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  <w:lang w:eastAsia="zh-CN"/>
        </w:rPr>
        <w:t>）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  <w:t>针对服务效果佳不佳，提升工作作风</w:t>
      </w:r>
    </w:p>
    <w:p w14:paraId="703F3C2A">
      <w:pPr>
        <w:keepNext w:val="0"/>
        <w:keepLines w:val="0"/>
        <w:pageBreakBefore w:val="0"/>
        <w:widowControl/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line="310" w:lineRule="exact"/>
        <w:ind w:firstLine="420" w:firstLineChars="200"/>
        <w:jc w:val="left"/>
        <w:textAlignment w:val="baseline"/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</w:pP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  <w:t>针对政务服务事项是否按时办结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  <w:lang w:eastAsia="zh-CN"/>
        </w:rPr>
        <w:t>，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  <w:t>杜绝超期办理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  <w:lang w:eastAsia="zh-CN"/>
        </w:rPr>
        <w:t>；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  <w:t>结合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  <w:lang w:val="en-US" w:eastAsia="zh-CN"/>
        </w:rPr>
        <w:t>政务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  <w:t>服务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  <w:lang w:eastAsia="zh-CN"/>
        </w:rPr>
        <w:t>“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  <w:t>好差评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  <w:lang w:eastAsia="zh-CN"/>
        </w:rPr>
        <w:t>”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  <w:lang w:val="en-US" w:eastAsia="zh-CN"/>
        </w:rPr>
        <w:t>评价体系，精准掌握群众满意度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  <w:t>；聚焦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  <w:lang w:eastAsia="zh-CN"/>
        </w:rPr>
        <w:t>“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  <w:t>最多跑一次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  <w:lang w:eastAsia="zh-CN"/>
        </w:rPr>
        <w:t>”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  <w:lang w:val="en-US" w:eastAsia="zh-CN"/>
        </w:rPr>
        <w:t>改革成效，排查整治群众往返跑、重复跑问题；强化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  <w:t>部门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  <w:lang w:val="en-US" w:eastAsia="zh-CN"/>
        </w:rPr>
        <w:t>间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  <w:t>联动协同、并联审批，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  <w:lang w:val="en-US" w:eastAsia="zh-CN"/>
        </w:rPr>
        <w:t>实现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  <w:t>更多事项集成办理，全面提升政务服务质效。</w:t>
      </w:r>
    </w:p>
    <w:p w14:paraId="020B2885">
      <w:pPr>
        <w:keepNext w:val="0"/>
        <w:keepLines w:val="0"/>
        <w:pageBreakBefore w:val="0"/>
        <w:widowControl/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line="310" w:lineRule="exact"/>
        <w:ind w:firstLine="420" w:firstLineChars="200"/>
        <w:jc w:val="left"/>
        <w:textAlignment w:val="baseline"/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</w:pP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  <w:lang w:val="en-US" w:eastAsia="zh-CN"/>
        </w:rPr>
        <w:t>五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  <w:t>、工作要求</w:t>
      </w:r>
    </w:p>
    <w:p w14:paraId="0733642F">
      <w:pPr>
        <w:keepNext w:val="0"/>
        <w:keepLines w:val="0"/>
        <w:pageBreakBefore w:val="0"/>
        <w:widowControl/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line="310" w:lineRule="exact"/>
        <w:ind w:firstLine="420" w:firstLineChars="200"/>
        <w:jc w:val="left"/>
        <w:textAlignment w:val="baseline"/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</w:pP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  <w:lang w:eastAsia="zh-CN"/>
        </w:rPr>
        <w:t>（一）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  <w:t>加强领导，统一认识</w:t>
      </w:r>
    </w:p>
    <w:p w14:paraId="2FE693C1">
      <w:pPr>
        <w:keepNext w:val="0"/>
        <w:keepLines w:val="0"/>
        <w:pageBreakBefore w:val="0"/>
        <w:widowControl/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line="310" w:lineRule="exact"/>
        <w:ind w:firstLine="420" w:firstLineChars="200"/>
        <w:jc w:val="left"/>
        <w:textAlignment w:val="baseline"/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</w:pP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  <w:t>“一把手走流程”活动是新形势下优化营商环境建设的新模式。各进驻单位“一把手”要高度重视，将活动体验结果贯穿到行政审批、监管执法等工作中，以群众“懂不懂”、流程“通不通”、体验“好不好”为衡量标准，努力实现“发现一个、体验一个，解决一个，覆盖一类”。</w:t>
      </w:r>
    </w:p>
    <w:p w14:paraId="4C36B25B">
      <w:pPr>
        <w:keepNext w:val="0"/>
        <w:keepLines w:val="0"/>
        <w:pageBreakBefore w:val="0"/>
        <w:widowControl/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line="310" w:lineRule="exact"/>
        <w:ind w:firstLine="420" w:firstLineChars="200"/>
        <w:jc w:val="left"/>
        <w:textAlignment w:val="baseline"/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</w:pP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  <w:lang w:eastAsia="zh-CN"/>
        </w:rPr>
        <w:t>（二）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  <w:t>严格落实，注重实效</w:t>
      </w:r>
    </w:p>
    <w:p w14:paraId="05CED4E0">
      <w:pPr>
        <w:keepNext w:val="0"/>
        <w:keepLines w:val="0"/>
        <w:pageBreakBefore w:val="0"/>
        <w:widowControl/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line="310" w:lineRule="exact"/>
        <w:ind w:firstLine="420" w:firstLineChars="200"/>
        <w:jc w:val="left"/>
        <w:textAlignment w:val="baseline"/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</w:pP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  <w:t>要结合优化营商环境新形势，探索活动开展新模式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  <w:lang w:eastAsia="zh-CN"/>
        </w:rPr>
        <w:t>、新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  <w:t>做法，及时总结经验，不断提高解决市场主体在办事过程中存在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  <w:lang w:eastAsia="zh-CN"/>
        </w:rPr>
        <w:t>的流程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  <w:t>不优、运转不畅等问题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  <w:lang w:eastAsia="zh-CN"/>
        </w:rPr>
        <w:t>的能力，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  <w:t>确保各项工作举措落地落实。</w:t>
      </w:r>
    </w:p>
    <w:p w14:paraId="68867E5F">
      <w:pPr>
        <w:keepNext w:val="0"/>
        <w:keepLines w:val="0"/>
        <w:pageBreakBefore w:val="0"/>
        <w:widowControl/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line="310" w:lineRule="exact"/>
        <w:ind w:firstLine="420" w:firstLineChars="200"/>
        <w:jc w:val="left"/>
        <w:textAlignment w:val="baseline"/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</w:pP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  <w:lang w:eastAsia="zh-CN"/>
        </w:rPr>
        <w:t>（三）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  <w:t>沟通协调，解决问题</w:t>
      </w:r>
    </w:p>
    <w:p w14:paraId="3C5559A9">
      <w:pPr>
        <w:keepNext w:val="0"/>
        <w:keepLines w:val="0"/>
        <w:pageBreakBefore w:val="0"/>
        <w:widowControl/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line="310" w:lineRule="exact"/>
        <w:ind w:firstLine="420" w:firstLineChars="200"/>
        <w:jc w:val="left"/>
        <w:textAlignment w:val="baseline"/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</w:pP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  <w:t>各进驻单位“一把手”要切实履行职责，对“一把手”体验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  <w:lang w:eastAsia="zh-CN"/>
        </w:rPr>
        <w:t>中发现的简单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  <w:t>个性问题要立行立改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  <w:lang w:eastAsia="zh-CN"/>
        </w:rPr>
        <w:t>，对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  <w:t>复杂共性问题要建立台账，列出整改清单，制定整改措施。</w:t>
      </w:r>
    </w:p>
    <w:p w14:paraId="16B223DC">
      <w:pPr>
        <w:keepNext w:val="0"/>
        <w:keepLines w:val="0"/>
        <w:pageBreakBefore w:val="0"/>
        <w:widowControl/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line="310" w:lineRule="exact"/>
        <w:ind w:firstLine="420" w:firstLineChars="200"/>
        <w:jc w:val="left"/>
        <w:textAlignment w:val="baseline"/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</w:pP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  <w:lang w:eastAsia="zh-CN"/>
        </w:rPr>
        <w:t>（四）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  <w:t>建章立制，形成长效</w:t>
      </w:r>
    </w:p>
    <w:p w14:paraId="3B294D5C">
      <w:pPr>
        <w:keepNext w:val="0"/>
        <w:keepLines w:val="0"/>
        <w:pageBreakBefore w:val="0"/>
        <w:widowControl/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line="310" w:lineRule="exact"/>
        <w:ind w:firstLine="420" w:firstLineChars="200"/>
        <w:jc w:val="left"/>
        <w:textAlignment w:val="baseline"/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</w:pP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  <w:t>此项活动作为优化办事流程、提高窗口服务效能的一项常态化工作持续推进。各单位要坚持“用户思维”和“需求导向”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  <w:lang w:eastAsia="zh-CN"/>
        </w:rPr>
        <w:t>，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  <w:t>及时记录“走”的时间、体验的事项、发现的问题、整改的措施，确保“一把手走流程”换位体验活动取得实效。</w:t>
      </w:r>
    </w:p>
    <w:p w14:paraId="59282CD1">
      <w:pPr>
        <w:keepNext w:val="0"/>
        <w:keepLines w:val="0"/>
        <w:pageBreakBefore w:val="0"/>
        <w:widowControl/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line="310" w:lineRule="exact"/>
        <w:ind w:firstLine="420" w:firstLineChars="200"/>
        <w:jc w:val="left"/>
        <w:textAlignment w:val="baseline"/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</w:pP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  <w:lang w:eastAsia="zh-CN"/>
        </w:rPr>
        <w:t>（五）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  <w:t>强化宣传，提升质效</w:t>
      </w:r>
    </w:p>
    <w:p w14:paraId="3B4490F4">
      <w:pPr>
        <w:keepNext w:val="0"/>
        <w:keepLines w:val="0"/>
        <w:pageBreakBefore w:val="0"/>
        <w:widowControl/>
        <w:suppressLineNumbers w:val="0"/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line="310" w:lineRule="exact"/>
        <w:ind w:firstLine="420" w:firstLineChars="200"/>
        <w:jc w:val="left"/>
        <w:textAlignment w:val="baseline"/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</w:pP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  <w:t>各单位要强化多渠道联动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  <w:lang w:val="en-US" w:eastAsia="zh-CN"/>
        </w:rPr>
        <w:t>宣传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  <w:t>，扎实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  <w:lang w:val="en-US" w:eastAsia="zh-CN"/>
        </w:rPr>
        <w:t>开展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  <w:t>“一把手走流程”活动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  <w:lang w:eastAsia="zh-CN"/>
        </w:rPr>
        <w:t>。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  <w:t>入驻旗政务服务中心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  <w:lang w:eastAsia="zh-CN"/>
        </w:rPr>
        <w:t>、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  <w:lang w:val="en-US" w:eastAsia="zh-CN"/>
        </w:rPr>
        <w:t>棋蒙政务企业服务中心的各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  <w:t>单位主要负责人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  <w:lang w:eastAsia="zh-CN"/>
        </w:rPr>
        <w:t>，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  <w:lang w:val="en-US" w:eastAsia="zh-CN"/>
        </w:rPr>
        <w:t>需严格对照《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  <w:vertAlign w:val="baseline"/>
          <w:lang w:val="en-US" w:eastAsia="zh-CN"/>
        </w:rPr>
        <w:t>鄂托克旗“一把手走流程”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  <w:t>活动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  <w:lang w:val="en-US" w:eastAsia="zh-CN"/>
        </w:rPr>
        <w:t>涉及部门（单位）名单》，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  <w:t>每月至少开展1次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  <w:lang w:val="en-US" w:eastAsia="zh-CN"/>
        </w:rPr>
        <w:t>体验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  <w:t>活动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  <w:lang w:eastAsia="zh-CN"/>
        </w:rPr>
        <w:t>；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  <w:lang w:val="en-US" w:eastAsia="zh-CN"/>
        </w:rPr>
        <w:t>对于同时进驻旗级、棋蒙政务服务大厅的各单位主要领导，要统筹兼顾两个大厅工作，科学合理安排体验次数，确保活动全覆盖、无遗漏、见实效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  <w:t>。</w:t>
      </w:r>
    </w:p>
    <w:p w14:paraId="4049939B">
      <w:pPr>
        <w:keepNext w:val="0"/>
        <w:keepLines w:val="0"/>
        <w:pageBreakBefore w:val="0"/>
        <w:widowControl/>
        <w:suppressLineNumbers w:val="0"/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line="310" w:lineRule="exact"/>
        <w:ind w:firstLine="420" w:firstLineChars="200"/>
        <w:jc w:val="left"/>
        <w:textAlignment w:val="baseline"/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  <w:lang w:val="en-US" w:eastAsia="zh-CN"/>
        </w:rPr>
      </w:pP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  <w:lang w:val="en-US" w:eastAsia="zh-CN"/>
        </w:rPr>
        <w:t>各单位须在活动开展前五个工作日内向旗政数局报备，活动结束后一周内，将《鄂托克旗“一把手走流程”活动台账》及活动开展情况报送至旗政数局。</w:t>
      </w:r>
    </w:p>
    <w:p w14:paraId="0F3054F3">
      <w:pPr>
        <w:keepNext w:val="0"/>
        <w:keepLines w:val="0"/>
        <w:pageBreakBefore w:val="0"/>
        <w:widowControl/>
        <w:suppressLineNumbers w:val="0"/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line="310" w:lineRule="exact"/>
        <w:ind w:firstLine="420" w:firstLineChars="200"/>
        <w:jc w:val="left"/>
        <w:textAlignment w:val="baseline"/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  <w:lang w:val="en-US" w:eastAsia="zh-CN"/>
        </w:rPr>
      </w:pP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  <w:lang w:val="en-US" w:eastAsia="zh-CN"/>
        </w:rPr>
        <w:t>联系人：刘书宁     联系电话：0477-6211069</w:t>
      </w:r>
    </w:p>
    <w:p w14:paraId="3786E53B">
      <w:pPr>
        <w:keepNext w:val="0"/>
        <w:keepLines w:val="0"/>
        <w:pageBreakBefore w:val="0"/>
        <w:widowControl/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line="310" w:lineRule="exact"/>
        <w:jc w:val="left"/>
        <w:textAlignment w:val="baseline"/>
        <w:rPr>
          <w:rFonts w:hint="eastAsia" w:ascii="仿宋_GB2312" w:hAnsi="仿宋_GB2312" w:eastAsia="仿宋_GB2312" w:cs="仿宋_GB2312"/>
          <w:sz w:val="44"/>
          <w:szCs w:val="44"/>
          <w:highlight w:val="none"/>
          <w:lang w:val="en-US" w:eastAsia="zh-CN"/>
        </w:rPr>
        <w:sectPr>
          <w:type w:val="continuous"/>
          <w:pgSz w:w="11906" w:h="16838"/>
          <w:pgMar w:top="2154" w:right="1134" w:bottom="1701" w:left="1134" w:header="851" w:footer="992" w:gutter="0"/>
          <w:pgNumType w:fmt="decimal"/>
          <w:cols w:equalWidth="0" w:num="2">
            <w:col w:w="4606" w:space="425"/>
            <w:col w:w="4606"/>
          </w:cols>
          <w:docGrid w:type="lines" w:linePitch="312" w:charSpace="0"/>
        </w:sectPr>
      </w:pPr>
    </w:p>
    <w:p w14:paraId="50955827">
      <w:pPr>
        <w:keepNext w:val="0"/>
        <w:keepLines w:val="0"/>
        <w:pageBreakBefore w:val="0"/>
        <w:widowControl/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line="310" w:lineRule="exact"/>
        <w:jc w:val="left"/>
        <w:textAlignment w:val="baseline"/>
        <w:rPr>
          <w:rFonts w:hint="eastAsia" w:ascii="仿宋_GB2312" w:hAnsi="仿宋_GB2312" w:eastAsia="仿宋_GB2312" w:cs="仿宋_GB2312"/>
          <w:sz w:val="44"/>
          <w:szCs w:val="44"/>
          <w:highlight w:val="none"/>
          <w:lang w:val="en-US" w:eastAsia="zh-CN"/>
        </w:rPr>
      </w:pPr>
    </w:p>
    <w:p w14:paraId="74EEF3F8">
      <w:pPr>
        <w:keepNext w:val="0"/>
        <w:keepLines w:val="0"/>
        <w:pageBreakBefore w:val="0"/>
        <w:widowControl/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line="310" w:lineRule="exact"/>
        <w:jc w:val="left"/>
        <w:textAlignment w:val="baseline"/>
        <w:rPr>
          <w:rFonts w:hint="default" w:ascii="黑体" w:hAnsi="黑体" w:eastAsia="黑体" w:cs="黑体"/>
          <w:sz w:val="21"/>
          <w:szCs w:val="21"/>
          <w:lang w:val="en-US" w:eastAsia="zh-CN"/>
        </w:rPr>
      </w:pPr>
    </w:p>
    <w:p w14:paraId="1D54B5D1">
      <w:pPr>
        <w:keepNext w:val="0"/>
        <w:keepLines w:val="0"/>
        <w:pageBreakBefore w:val="0"/>
        <w:widowControl/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="仿宋_GB2312" w:hAnsi="仿宋_GB2312" w:eastAsia="仿宋_GB2312" w:cs="仿宋_GB2312"/>
          <w:sz w:val="44"/>
          <w:szCs w:val="44"/>
          <w:highlight w:val="none"/>
        </w:rPr>
      </w:pPr>
      <w:r>
        <w:rPr>
          <w:rFonts w:hint="eastAsia" w:ascii="仿宋_GB2312" w:hAnsi="仿宋_GB2312" w:eastAsia="仿宋_GB2312" w:cs="仿宋_GB2312"/>
          <w:sz w:val="44"/>
          <w:szCs w:val="44"/>
          <w:highlight w:val="none"/>
          <w:vertAlign w:val="baseline"/>
          <w:lang w:val="en-US" w:eastAsia="zh-CN"/>
        </w:rPr>
        <w:t>鄂托克旗“一把手走流程”</w:t>
      </w:r>
      <w:r>
        <w:rPr>
          <w:rFonts w:hint="eastAsia" w:ascii="仿宋_GB2312" w:hAnsi="仿宋_GB2312" w:eastAsia="仿宋_GB2312" w:cs="仿宋_GB2312"/>
          <w:sz w:val="44"/>
          <w:szCs w:val="44"/>
          <w:highlight w:val="none"/>
        </w:rPr>
        <w:t>活动</w:t>
      </w:r>
    </w:p>
    <w:p w14:paraId="250C2F03">
      <w:pPr>
        <w:keepNext w:val="0"/>
        <w:keepLines w:val="0"/>
        <w:pageBreakBefore w:val="0"/>
        <w:widowControl/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="仿宋_GB2312" w:hAnsi="仿宋_GB2312" w:eastAsia="仿宋_GB2312" w:cs="仿宋_GB2312"/>
          <w:sz w:val="44"/>
          <w:szCs w:val="4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44"/>
          <w:szCs w:val="44"/>
          <w:highlight w:val="none"/>
          <w:lang w:val="en-US" w:eastAsia="zh-CN"/>
        </w:rPr>
        <w:t>涉及部门（单位）名单</w:t>
      </w:r>
    </w:p>
    <w:p w14:paraId="2B91FA93">
      <w:pPr>
        <w:keepNext w:val="0"/>
        <w:keepLines w:val="0"/>
        <w:pageBreakBefore w:val="0"/>
        <w:widowControl/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="仿宋_GB2312" w:hAnsi="仿宋_GB2312" w:eastAsia="仿宋_GB2312" w:cs="仿宋_GB2312"/>
          <w:sz w:val="44"/>
          <w:szCs w:val="44"/>
          <w:highlight w:val="none"/>
          <w:lang w:val="en-US" w:eastAsia="zh-CN"/>
        </w:rPr>
      </w:pPr>
    </w:p>
    <w:p w14:paraId="6C644DA7">
      <w:pPr>
        <w:keepNext w:val="0"/>
        <w:keepLines w:val="0"/>
        <w:pageBreakBefore w:val="0"/>
        <w:widowControl/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sectPr>
          <w:type w:val="continuous"/>
          <w:pgSz w:w="11906" w:h="16838"/>
          <w:pgMar w:top="2154" w:right="1134" w:bottom="1701" w:left="1134" w:header="851" w:footer="992" w:gutter="0"/>
          <w:pgNumType w:fmt="decimal"/>
          <w:cols w:space="425" w:num="1"/>
          <w:docGrid w:type="lines" w:linePitch="312" w:charSpace="0"/>
        </w:sectPr>
      </w:pPr>
    </w:p>
    <w:p w14:paraId="4E9BB541">
      <w:pPr>
        <w:keepNext w:val="0"/>
        <w:keepLines w:val="0"/>
        <w:pageBreakBefore w:val="0"/>
        <w:widowControl/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line="310" w:lineRule="exact"/>
        <w:ind w:firstLine="420" w:firstLineChars="200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sectPr>
          <w:type w:val="continuous"/>
          <w:pgSz w:w="11906" w:h="16838"/>
          <w:pgMar w:top="2154" w:right="1134" w:bottom="1701" w:left="1134" w:header="851" w:footer="992" w:gutter="0"/>
          <w:pgNumType w:fmt="decimal"/>
          <w:cols w:equalWidth="0" w:num="2">
            <w:col w:w="4606" w:space="425"/>
            <w:col w:w="4606"/>
          </w:cols>
          <w:docGrid w:type="lines" w:linePitch="312" w:charSpace="0"/>
        </w:sectPr>
      </w:pP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  <w:lang w:val="en-US" w:eastAsia="zh-CN"/>
        </w:rPr>
        <w:t>旗发改委、残联、住建局、能源局、旗自然资源局、人社局、医保局、民族事务委员会、教育体育局、公安局、交通局、民政局、退役军人事务局、农牧局、水利局、政数局、林草局、文旅局、卫健委、应急管理局、城市管理综合行政执法局、市场监管局、生态环境分局、税务局、鄂托克高新技术产业开发区税务分局、烟草专卖局、住房公积金管理中心、保障性住房和房产交易中心、社会保险事业服务中心、交管大队、交通管理支队鄂托克旗大队棋盘井交通管理服务站、泰发祥水务有限公司、澄源水务有限责任公司、金奥绿源燃气有限责任公司、冠宇天然气销售有限责任公司、正胜供暖有限责任公司、诚园绿能投资有限责任公司、鄂尔多斯市西烨供热有限责任公司、内蒙古电力（集团）有限责任公司鄂尔多斯市鄂托克供电分公司、内蒙古电力（集团）有限责任公司鄂尔多斯供电分公司棋盘井供电分公司。</w:t>
      </w:r>
    </w:p>
    <w:p w14:paraId="088F8068">
      <w:pPr>
        <w:keepNext w:val="0"/>
        <w:keepLines w:val="0"/>
        <w:pageBreakBefore w:val="0"/>
        <w:widowControl/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690"/>
        <w:gridCol w:w="755"/>
        <w:gridCol w:w="750"/>
        <w:gridCol w:w="841"/>
        <w:gridCol w:w="933"/>
        <w:gridCol w:w="1181"/>
        <w:gridCol w:w="868"/>
        <w:gridCol w:w="868"/>
        <w:gridCol w:w="793"/>
        <w:gridCol w:w="750"/>
        <w:gridCol w:w="720"/>
      </w:tblGrid>
      <w:tr w14:paraId="762B8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14020" w:type="dxa"/>
            <w:gridSpan w:val="1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83440FA">
            <w:pPr>
              <w:keepNext w:val="0"/>
              <w:keepLines w:val="0"/>
              <w:pageBreakBefore w:val="0"/>
              <w:widowControl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44"/>
                <w:szCs w:val="4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44"/>
                <w:szCs w:val="44"/>
                <w:highlight w:val="none"/>
                <w:vertAlign w:val="baseline"/>
                <w:lang w:val="en-US" w:eastAsia="zh-CN"/>
              </w:rPr>
              <w:t>鄂托克旗“一把手走流程”</w:t>
            </w:r>
            <w:r>
              <w:rPr>
                <w:rFonts w:hint="eastAsia" w:ascii="仿宋_GB2312" w:hAnsi="仿宋_GB2312" w:eastAsia="仿宋_GB2312" w:cs="仿宋_GB2312"/>
                <w:sz w:val="44"/>
                <w:szCs w:val="44"/>
                <w:highlight w:val="none"/>
              </w:rPr>
              <w:t>活动</w:t>
            </w:r>
            <w:r>
              <w:rPr>
                <w:rFonts w:hint="eastAsia" w:ascii="仿宋_GB2312" w:hAnsi="仿宋_GB2312" w:eastAsia="仿宋_GB2312" w:cs="仿宋_GB2312"/>
                <w:sz w:val="44"/>
                <w:szCs w:val="44"/>
                <w:highlight w:val="none"/>
                <w:lang w:val="en-US" w:eastAsia="zh-CN"/>
              </w:rPr>
              <w:t>台账</w:t>
            </w:r>
          </w:p>
          <w:p w14:paraId="5DB64F3B">
            <w:pPr>
              <w:keepNext w:val="0"/>
              <w:keepLines w:val="0"/>
              <w:pageBreakBefore w:val="0"/>
              <w:widowControl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560" w:lineRule="exact"/>
              <w:jc w:val="left"/>
              <w:textAlignment w:val="baseline"/>
              <w:rPr>
                <w:rFonts w:hint="eastAsia" w:eastAsia="宋体"/>
                <w:highlight w:val="none"/>
                <w:vertAlign w:val="baseline"/>
                <w:lang w:val="en-US" w:eastAsia="zh-CN"/>
              </w:rPr>
            </w:pPr>
          </w:p>
        </w:tc>
      </w:tr>
      <w:tr w14:paraId="2B57C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950" w:type="dxa"/>
            <w:tcBorders>
              <w:top w:val="single" w:color="auto" w:sz="4" w:space="0"/>
            </w:tcBorders>
            <w:noWrap w:val="0"/>
            <w:vAlign w:val="center"/>
          </w:tcPr>
          <w:p w14:paraId="0800C904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center"/>
              <w:textAlignment w:val="baseline"/>
              <w:rPr>
                <w:rFonts w:hint="eastAsia" w:ascii="方正书宋简体" w:hAnsi="方正书宋简体" w:eastAsia="方正书宋简体" w:cs="方正书宋简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922" w:type="dxa"/>
            <w:tcBorders>
              <w:top w:val="single" w:color="auto" w:sz="4" w:space="0"/>
            </w:tcBorders>
            <w:noWrap w:val="0"/>
            <w:vAlign w:val="center"/>
          </w:tcPr>
          <w:p w14:paraId="4FCC3EE6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center"/>
              <w:textAlignment w:val="baseline"/>
              <w:rPr>
                <w:rFonts w:hint="eastAsia" w:ascii="方正书宋简体" w:hAnsi="方正书宋简体" w:eastAsia="方正书宋简体" w:cs="方正书宋简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部门</w:t>
            </w:r>
          </w:p>
        </w:tc>
        <w:tc>
          <w:tcPr>
            <w:tcW w:w="1044" w:type="dxa"/>
            <w:tcBorders>
              <w:top w:val="single" w:color="auto" w:sz="4" w:space="0"/>
            </w:tcBorders>
            <w:noWrap w:val="0"/>
            <w:vAlign w:val="center"/>
          </w:tcPr>
          <w:p w14:paraId="2921265E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center"/>
              <w:textAlignment w:val="baseline"/>
              <w:rPr>
                <w:rFonts w:hint="eastAsia" w:ascii="方正书宋简体" w:hAnsi="方正书宋简体" w:eastAsia="方正书宋简体" w:cs="方正书宋简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1034" w:type="dxa"/>
            <w:tcBorders>
              <w:top w:val="single" w:color="auto" w:sz="4" w:space="0"/>
            </w:tcBorders>
            <w:noWrap w:val="0"/>
            <w:vAlign w:val="center"/>
          </w:tcPr>
          <w:p w14:paraId="5E77B1B2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center"/>
              <w:textAlignment w:val="baseline"/>
              <w:rPr>
                <w:rFonts w:hint="eastAsia" w:ascii="方正书宋简体" w:hAnsi="方正书宋简体" w:eastAsia="方正书宋简体" w:cs="方正书宋简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职务</w:t>
            </w:r>
          </w:p>
        </w:tc>
        <w:tc>
          <w:tcPr>
            <w:tcW w:w="1206" w:type="dxa"/>
            <w:tcBorders>
              <w:top w:val="single" w:color="auto" w:sz="4" w:space="0"/>
            </w:tcBorders>
            <w:noWrap w:val="0"/>
            <w:vAlign w:val="center"/>
          </w:tcPr>
          <w:p w14:paraId="3B964750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center"/>
              <w:textAlignment w:val="baseline"/>
              <w:rPr>
                <w:rFonts w:hint="eastAsia" w:ascii="方正书宋简体" w:hAnsi="方正书宋简体" w:eastAsia="方正书宋简体" w:cs="方正书宋简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活动</w:t>
            </w:r>
          </w:p>
          <w:p w14:paraId="6B84E371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center"/>
              <w:textAlignment w:val="baseline"/>
              <w:rPr>
                <w:rFonts w:hint="eastAsia" w:ascii="方正书宋简体" w:hAnsi="方正书宋简体" w:eastAsia="方正书宋简体" w:cs="方正书宋简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时间</w:t>
            </w:r>
          </w:p>
        </w:tc>
        <w:tc>
          <w:tcPr>
            <w:tcW w:w="1378" w:type="dxa"/>
            <w:tcBorders>
              <w:top w:val="single" w:color="auto" w:sz="4" w:space="0"/>
            </w:tcBorders>
            <w:noWrap w:val="0"/>
            <w:vAlign w:val="center"/>
          </w:tcPr>
          <w:p w14:paraId="3D14A037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center"/>
              <w:textAlignment w:val="baseline"/>
              <w:rPr>
                <w:rFonts w:hint="eastAsia" w:ascii="方正书宋简体" w:hAnsi="方正书宋简体" w:eastAsia="方正书宋简体" w:cs="方正书宋简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活动</w:t>
            </w:r>
          </w:p>
          <w:p w14:paraId="09727A2B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center"/>
              <w:textAlignment w:val="baseline"/>
              <w:rPr>
                <w:rFonts w:hint="eastAsia" w:ascii="方正书宋简体" w:hAnsi="方正书宋简体" w:eastAsia="方正书宋简体" w:cs="方正书宋简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地点</w:t>
            </w:r>
          </w:p>
        </w:tc>
        <w:tc>
          <w:tcPr>
            <w:tcW w:w="1845" w:type="dxa"/>
            <w:tcBorders>
              <w:top w:val="single" w:color="auto" w:sz="4" w:space="0"/>
            </w:tcBorders>
            <w:noWrap w:val="0"/>
            <w:vAlign w:val="center"/>
          </w:tcPr>
          <w:p w14:paraId="387429D2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center"/>
              <w:textAlignment w:val="baseline"/>
              <w:rPr>
                <w:rFonts w:hint="eastAsia" w:ascii="方正书宋简体" w:hAnsi="方正书宋简体" w:eastAsia="方正书宋简体" w:cs="方正书宋简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办理的</w:t>
            </w:r>
          </w:p>
          <w:p w14:paraId="00C17F11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center"/>
              <w:textAlignment w:val="baseline"/>
              <w:rPr>
                <w:rFonts w:hint="eastAsia" w:ascii="方正书宋简体" w:hAnsi="方正书宋简体" w:eastAsia="方正书宋简体" w:cs="方正书宋简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事项名称</w:t>
            </w:r>
          </w:p>
        </w:tc>
        <w:tc>
          <w:tcPr>
            <w:tcW w:w="1256" w:type="dxa"/>
            <w:tcBorders>
              <w:top w:val="single" w:color="auto" w:sz="4" w:space="0"/>
            </w:tcBorders>
            <w:noWrap w:val="0"/>
            <w:vAlign w:val="center"/>
          </w:tcPr>
          <w:p w14:paraId="034B69CF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center"/>
              <w:textAlignment w:val="baseline"/>
              <w:rPr>
                <w:rFonts w:hint="eastAsia" w:ascii="方正书宋简体" w:hAnsi="方正书宋简体" w:eastAsia="方正书宋简体" w:cs="方正书宋简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体验</w:t>
            </w:r>
          </w:p>
          <w:p w14:paraId="1DA536E3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center"/>
              <w:textAlignment w:val="baseline"/>
              <w:rPr>
                <w:rFonts w:hint="eastAsia" w:ascii="方正书宋简体" w:hAnsi="方正书宋简体" w:eastAsia="方正书宋简体" w:cs="方正书宋简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方式</w:t>
            </w:r>
          </w:p>
        </w:tc>
        <w:tc>
          <w:tcPr>
            <w:tcW w:w="1257" w:type="dxa"/>
            <w:tcBorders>
              <w:top w:val="single" w:color="auto" w:sz="4" w:space="0"/>
            </w:tcBorders>
            <w:noWrap w:val="0"/>
            <w:vAlign w:val="center"/>
          </w:tcPr>
          <w:p w14:paraId="3F647718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center"/>
              <w:textAlignment w:val="baseline"/>
              <w:rPr>
                <w:rFonts w:hint="eastAsia" w:ascii="方正书宋简体" w:hAnsi="方正书宋简体" w:eastAsia="方正书宋简体" w:cs="方正书宋简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发现</w:t>
            </w:r>
          </w:p>
          <w:p w14:paraId="23EBFEDA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center"/>
              <w:textAlignment w:val="baseline"/>
              <w:rPr>
                <w:rFonts w:hint="eastAsia" w:ascii="方正书宋简体" w:hAnsi="方正书宋简体" w:eastAsia="方正书宋简体" w:cs="方正书宋简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问题</w:t>
            </w:r>
          </w:p>
        </w:tc>
        <w:tc>
          <w:tcPr>
            <w:tcW w:w="1115" w:type="dxa"/>
            <w:tcBorders>
              <w:top w:val="single" w:color="auto" w:sz="4" w:space="0"/>
            </w:tcBorders>
            <w:noWrap w:val="0"/>
            <w:vAlign w:val="center"/>
          </w:tcPr>
          <w:p w14:paraId="3E9EE4EA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center"/>
              <w:textAlignment w:val="baseline"/>
              <w:rPr>
                <w:rFonts w:hint="eastAsia" w:ascii="方正书宋简体" w:hAnsi="方正书宋简体" w:eastAsia="方正书宋简体" w:cs="方正书宋简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解决</w:t>
            </w:r>
          </w:p>
          <w:p w14:paraId="281A2140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center"/>
              <w:textAlignment w:val="baseline"/>
              <w:rPr>
                <w:rFonts w:hint="eastAsia" w:ascii="方正书宋简体" w:hAnsi="方正书宋简体" w:eastAsia="方正书宋简体" w:cs="方正书宋简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措施</w:t>
            </w:r>
          </w:p>
        </w:tc>
        <w:tc>
          <w:tcPr>
            <w:tcW w:w="1034" w:type="dxa"/>
            <w:tcBorders>
              <w:top w:val="single" w:color="auto" w:sz="4" w:space="0"/>
            </w:tcBorders>
            <w:noWrap w:val="0"/>
            <w:vAlign w:val="center"/>
          </w:tcPr>
          <w:p w14:paraId="39FA7D00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center"/>
              <w:textAlignment w:val="baseline"/>
              <w:rPr>
                <w:rFonts w:hint="eastAsia" w:ascii="方正书宋简体" w:hAnsi="方正书宋简体" w:eastAsia="方正书宋简体" w:cs="方正书宋简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完成</w:t>
            </w:r>
          </w:p>
          <w:p w14:paraId="66AC7CC0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center"/>
              <w:textAlignment w:val="baseline"/>
              <w:rPr>
                <w:rFonts w:hint="eastAsia" w:ascii="方正书宋简体" w:hAnsi="方正书宋简体" w:eastAsia="方正书宋简体" w:cs="方正书宋简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时限</w:t>
            </w:r>
          </w:p>
        </w:tc>
        <w:tc>
          <w:tcPr>
            <w:tcW w:w="979" w:type="dxa"/>
            <w:tcBorders>
              <w:top w:val="single" w:color="auto" w:sz="4" w:space="0"/>
            </w:tcBorders>
            <w:noWrap w:val="0"/>
            <w:vAlign w:val="center"/>
          </w:tcPr>
          <w:p w14:paraId="28B6C167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center"/>
              <w:textAlignment w:val="baseline"/>
              <w:rPr>
                <w:rFonts w:hint="eastAsia" w:ascii="方正书宋简体" w:hAnsi="方正书宋简体" w:eastAsia="方正书宋简体" w:cs="方正书宋简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完成</w:t>
            </w:r>
          </w:p>
          <w:p w14:paraId="6E757F2A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center"/>
              <w:textAlignment w:val="baseline"/>
              <w:rPr>
                <w:rFonts w:hint="eastAsia" w:ascii="方正书宋简体" w:hAnsi="方正书宋简体" w:eastAsia="方正书宋简体" w:cs="方正书宋简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情况</w:t>
            </w:r>
          </w:p>
        </w:tc>
      </w:tr>
      <w:tr w14:paraId="1CD2A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950" w:type="dxa"/>
            <w:noWrap w:val="0"/>
            <w:vAlign w:val="center"/>
          </w:tcPr>
          <w:p w14:paraId="5719B048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center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922" w:type="dxa"/>
            <w:noWrap w:val="0"/>
            <w:vAlign w:val="center"/>
          </w:tcPr>
          <w:p w14:paraId="04D2EB1F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044" w:type="dxa"/>
            <w:noWrap w:val="0"/>
            <w:vAlign w:val="center"/>
          </w:tcPr>
          <w:p w14:paraId="32540376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034" w:type="dxa"/>
            <w:noWrap w:val="0"/>
            <w:vAlign w:val="center"/>
          </w:tcPr>
          <w:p w14:paraId="1BCDA863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206" w:type="dxa"/>
            <w:noWrap w:val="0"/>
            <w:vAlign w:val="center"/>
          </w:tcPr>
          <w:p w14:paraId="6BAE4D45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378" w:type="dxa"/>
            <w:noWrap w:val="0"/>
            <w:vAlign w:val="center"/>
          </w:tcPr>
          <w:p w14:paraId="6E6F4306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845" w:type="dxa"/>
            <w:noWrap w:val="0"/>
            <w:vAlign w:val="center"/>
          </w:tcPr>
          <w:p w14:paraId="47164779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256" w:type="dxa"/>
            <w:noWrap w:val="0"/>
            <w:vAlign w:val="center"/>
          </w:tcPr>
          <w:p w14:paraId="6B3D7F75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257" w:type="dxa"/>
            <w:noWrap w:val="0"/>
            <w:vAlign w:val="center"/>
          </w:tcPr>
          <w:p w14:paraId="28159090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115" w:type="dxa"/>
            <w:noWrap w:val="0"/>
            <w:vAlign w:val="center"/>
          </w:tcPr>
          <w:p w14:paraId="221FD2BE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034" w:type="dxa"/>
            <w:noWrap w:val="0"/>
            <w:vAlign w:val="center"/>
          </w:tcPr>
          <w:p w14:paraId="4D5F3BFE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979" w:type="dxa"/>
            <w:noWrap w:val="0"/>
            <w:vAlign w:val="center"/>
          </w:tcPr>
          <w:p w14:paraId="05DCAF14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</w:tr>
      <w:tr w14:paraId="6DF2B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950" w:type="dxa"/>
            <w:noWrap w:val="0"/>
            <w:vAlign w:val="center"/>
          </w:tcPr>
          <w:p w14:paraId="7D9355C2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center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922" w:type="dxa"/>
            <w:noWrap w:val="0"/>
            <w:vAlign w:val="center"/>
          </w:tcPr>
          <w:p w14:paraId="1019B4A6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044" w:type="dxa"/>
            <w:noWrap w:val="0"/>
            <w:vAlign w:val="center"/>
          </w:tcPr>
          <w:p w14:paraId="74F9E6E9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034" w:type="dxa"/>
            <w:noWrap w:val="0"/>
            <w:vAlign w:val="center"/>
          </w:tcPr>
          <w:p w14:paraId="43FAA4AD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206" w:type="dxa"/>
            <w:noWrap w:val="0"/>
            <w:vAlign w:val="center"/>
          </w:tcPr>
          <w:p w14:paraId="71A19527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378" w:type="dxa"/>
            <w:noWrap w:val="0"/>
            <w:vAlign w:val="center"/>
          </w:tcPr>
          <w:p w14:paraId="489654F8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845" w:type="dxa"/>
            <w:noWrap w:val="0"/>
            <w:vAlign w:val="center"/>
          </w:tcPr>
          <w:p w14:paraId="29DD0E3C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256" w:type="dxa"/>
            <w:noWrap w:val="0"/>
            <w:vAlign w:val="center"/>
          </w:tcPr>
          <w:p w14:paraId="588AE36B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257" w:type="dxa"/>
            <w:noWrap w:val="0"/>
            <w:vAlign w:val="center"/>
          </w:tcPr>
          <w:p w14:paraId="16884E7B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115" w:type="dxa"/>
            <w:noWrap w:val="0"/>
            <w:vAlign w:val="center"/>
          </w:tcPr>
          <w:p w14:paraId="635C414F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034" w:type="dxa"/>
            <w:noWrap w:val="0"/>
            <w:vAlign w:val="center"/>
          </w:tcPr>
          <w:p w14:paraId="0CCCB3B9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979" w:type="dxa"/>
            <w:noWrap w:val="0"/>
            <w:vAlign w:val="center"/>
          </w:tcPr>
          <w:p w14:paraId="33E912F9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</w:tr>
      <w:tr w14:paraId="51E76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950" w:type="dxa"/>
            <w:noWrap w:val="0"/>
            <w:vAlign w:val="center"/>
          </w:tcPr>
          <w:p w14:paraId="129071BC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center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922" w:type="dxa"/>
            <w:noWrap w:val="0"/>
            <w:vAlign w:val="center"/>
          </w:tcPr>
          <w:p w14:paraId="05E00507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044" w:type="dxa"/>
            <w:noWrap w:val="0"/>
            <w:vAlign w:val="center"/>
          </w:tcPr>
          <w:p w14:paraId="041525FE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034" w:type="dxa"/>
            <w:noWrap w:val="0"/>
            <w:vAlign w:val="center"/>
          </w:tcPr>
          <w:p w14:paraId="20A710F2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206" w:type="dxa"/>
            <w:noWrap w:val="0"/>
            <w:vAlign w:val="center"/>
          </w:tcPr>
          <w:p w14:paraId="7730E820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378" w:type="dxa"/>
            <w:noWrap w:val="0"/>
            <w:vAlign w:val="center"/>
          </w:tcPr>
          <w:p w14:paraId="3DC0372B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845" w:type="dxa"/>
            <w:noWrap w:val="0"/>
            <w:vAlign w:val="center"/>
          </w:tcPr>
          <w:p w14:paraId="633ADCE2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256" w:type="dxa"/>
            <w:noWrap w:val="0"/>
            <w:vAlign w:val="center"/>
          </w:tcPr>
          <w:p w14:paraId="0CA560A5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257" w:type="dxa"/>
            <w:noWrap w:val="0"/>
            <w:vAlign w:val="center"/>
          </w:tcPr>
          <w:p w14:paraId="681A8F8B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115" w:type="dxa"/>
            <w:noWrap w:val="0"/>
            <w:vAlign w:val="center"/>
          </w:tcPr>
          <w:p w14:paraId="6F9F64B5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034" w:type="dxa"/>
            <w:noWrap w:val="0"/>
            <w:vAlign w:val="center"/>
          </w:tcPr>
          <w:p w14:paraId="4AC76D3D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979" w:type="dxa"/>
            <w:noWrap w:val="0"/>
            <w:vAlign w:val="center"/>
          </w:tcPr>
          <w:p w14:paraId="664AF5DC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</w:tr>
      <w:tr w14:paraId="0ECB6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950" w:type="dxa"/>
            <w:noWrap w:val="0"/>
            <w:vAlign w:val="center"/>
          </w:tcPr>
          <w:p w14:paraId="16887DD7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center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922" w:type="dxa"/>
            <w:noWrap w:val="0"/>
            <w:vAlign w:val="center"/>
          </w:tcPr>
          <w:p w14:paraId="16DA47DB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044" w:type="dxa"/>
            <w:noWrap w:val="0"/>
            <w:vAlign w:val="center"/>
          </w:tcPr>
          <w:p w14:paraId="552533A4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034" w:type="dxa"/>
            <w:noWrap w:val="0"/>
            <w:vAlign w:val="center"/>
          </w:tcPr>
          <w:p w14:paraId="668387A5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206" w:type="dxa"/>
            <w:noWrap w:val="0"/>
            <w:vAlign w:val="center"/>
          </w:tcPr>
          <w:p w14:paraId="6E8E0550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378" w:type="dxa"/>
            <w:noWrap w:val="0"/>
            <w:vAlign w:val="center"/>
          </w:tcPr>
          <w:p w14:paraId="473251B5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845" w:type="dxa"/>
            <w:noWrap w:val="0"/>
            <w:vAlign w:val="center"/>
          </w:tcPr>
          <w:p w14:paraId="4411495C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256" w:type="dxa"/>
            <w:noWrap w:val="0"/>
            <w:vAlign w:val="center"/>
          </w:tcPr>
          <w:p w14:paraId="10B91B0B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257" w:type="dxa"/>
            <w:noWrap w:val="0"/>
            <w:vAlign w:val="center"/>
          </w:tcPr>
          <w:p w14:paraId="5D4F06A1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115" w:type="dxa"/>
            <w:noWrap w:val="0"/>
            <w:vAlign w:val="center"/>
          </w:tcPr>
          <w:p w14:paraId="109B5E21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034" w:type="dxa"/>
            <w:noWrap w:val="0"/>
            <w:vAlign w:val="center"/>
          </w:tcPr>
          <w:p w14:paraId="43EFBDF4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979" w:type="dxa"/>
            <w:noWrap w:val="0"/>
            <w:vAlign w:val="center"/>
          </w:tcPr>
          <w:p w14:paraId="45ED58AC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</w:tr>
      <w:tr w14:paraId="20F9D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950" w:type="dxa"/>
            <w:noWrap w:val="0"/>
            <w:vAlign w:val="center"/>
          </w:tcPr>
          <w:p w14:paraId="39D91CE8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center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922" w:type="dxa"/>
            <w:noWrap w:val="0"/>
            <w:vAlign w:val="center"/>
          </w:tcPr>
          <w:p w14:paraId="021E05DB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044" w:type="dxa"/>
            <w:noWrap w:val="0"/>
            <w:vAlign w:val="center"/>
          </w:tcPr>
          <w:p w14:paraId="2BF013EE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034" w:type="dxa"/>
            <w:noWrap w:val="0"/>
            <w:vAlign w:val="center"/>
          </w:tcPr>
          <w:p w14:paraId="60D41A92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206" w:type="dxa"/>
            <w:noWrap w:val="0"/>
            <w:vAlign w:val="center"/>
          </w:tcPr>
          <w:p w14:paraId="0D2BFE89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378" w:type="dxa"/>
            <w:noWrap w:val="0"/>
            <w:vAlign w:val="center"/>
          </w:tcPr>
          <w:p w14:paraId="78E323FA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845" w:type="dxa"/>
            <w:noWrap w:val="0"/>
            <w:vAlign w:val="center"/>
          </w:tcPr>
          <w:p w14:paraId="207B8EFD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256" w:type="dxa"/>
            <w:noWrap w:val="0"/>
            <w:vAlign w:val="center"/>
          </w:tcPr>
          <w:p w14:paraId="623087D0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257" w:type="dxa"/>
            <w:noWrap w:val="0"/>
            <w:vAlign w:val="center"/>
          </w:tcPr>
          <w:p w14:paraId="5A9432F5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115" w:type="dxa"/>
            <w:noWrap w:val="0"/>
            <w:vAlign w:val="center"/>
          </w:tcPr>
          <w:p w14:paraId="33EBB649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034" w:type="dxa"/>
            <w:noWrap w:val="0"/>
            <w:vAlign w:val="center"/>
          </w:tcPr>
          <w:p w14:paraId="7DBF423F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979" w:type="dxa"/>
            <w:noWrap w:val="0"/>
            <w:vAlign w:val="center"/>
          </w:tcPr>
          <w:p w14:paraId="097B83D4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</w:tr>
      <w:tr w14:paraId="08AEF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950" w:type="dxa"/>
            <w:noWrap w:val="0"/>
            <w:vAlign w:val="center"/>
          </w:tcPr>
          <w:p w14:paraId="1D5D36F7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center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922" w:type="dxa"/>
            <w:noWrap w:val="0"/>
            <w:vAlign w:val="center"/>
          </w:tcPr>
          <w:p w14:paraId="212695FD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044" w:type="dxa"/>
            <w:noWrap w:val="0"/>
            <w:vAlign w:val="center"/>
          </w:tcPr>
          <w:p w14:paraId="2A742018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034" w:type="dxa"/>
            <w:noWrap w:val="0"/>
            <w:vAlign w:val="center"/>
          </w:tcPr>
          <w:p w14:paraId="17F3433D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206" w:type="dxa"/>
            <w:noWrap w:val="0"/>
            <w:vAlign w:val="center"/>
          </w:tcPr>
          <w:p w14:paraId="0E693805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378" w:type="dxa"/>
            <w:noWrap w:val="0"/>
            <w:vAlign w:val="center"/>
          </w:tcPr>
          <w:p w14:paraId="50BE94D0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845" w:type="dxa"/>
            <w:noWrap w:val="0"/>
            <w:vAlign w:val="center"/>
          </w:tcPr>
          <w:p w14:paraId="494CE45D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256" w:type="dxa"/>
            <w:noWrap w:val="0"/>
            <w:vAlign w:val="center"/>
          </w:tcPr>
          <w:p w14:paraId="3DCEACA6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257" w:type="dxa"/>
            <w:noWrap w:val="0"/>
            <w:vAlign w:val="center"/>
          </w:tcPr>
          <w:p w14:paraId="58A343FE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115" w:type="dxa"/>
            <w:noWrap w:val="0"/>
            <w:vAlign w:val="center"/>
          </w:tcPr>
          <w:p w14:paraId="157B2B2E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034" w:type="dxa"/>
            <w:noWrap w:val="0"/>
            <w:vAlign w:val="center"/>
          </w:tcPr>
          <w:p w14:paraId="38894B9A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979" w:type="dxa"/>
            <w:noWrap w:val="0"/>
            <w:vAlign w:val="center"/>
          </w:tcPr>
          <w:p w14:paraId="74557B16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</w:tr>
      <w:tr w14:paraId="1A2D6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950" w:type="dxa"/>
            <w:noWrap w:val="0"/>
            <w:vAlign w:val="center"/>
          </w:tcPr>
          <w:p w14:paraId="3F79421B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center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  <w:lang w:val="en-US" w:eastAsia="zh-CN"/>
              </w:rPr>
              <w:t>7</w:t>
            </w:r>
          </w:p>
        </w:tc>
        <w:tc>
          <w:tcPr>
            <w:tcW w:w="922" w:type="dxa"/>
            <w:noWrap w:val="0"/>
            <w:vAlign w:val="center"/>
          </w:tcPr>
          <w:p w14:paraId="11C8F355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044" w:type="dxa"/>
            <w:noWrap w:val="0"/>
            <w:vAlign w:val="center"/>
          </w:tcPr>
          <w:p w14:paraId="41418001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034" w:type="dxa"/>
            <w:noWrap w:val="0"/>
            <w:vAlign w:val="center"/>
          </w:tcPr>
          <w:p w14:paraId="3F49CAE3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206" w:type="dxa"/>
            <w:noWrap w:val="0"/>
            <w:vAlign w:val="center"/>
          </w:tcPr>
          <w:p w14:paraId="6469D9A3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378" w:type="dxa"/>
            <w:noWrap w:val="0"/>
            <w:vAlign w:val="center"/>
          </w:tcPr>
          <w:p w14:paraId="2BC6A65A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845" w:type="dxa"/>
            <w:noWrap w:val="0"/>
            <w:vAlign w:val="center"/>
          </w:tcPr>
          <w:p w14:paraId="742A8C7E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256" w:type="dxa"/>
            <w:noWrap w:val="0"/>
            <w:vAlign w:val="center"/>
          </w:tcPr>
          <w:p w14:paraId="535CACD3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257" w:type="dxa"/>
            <w:noWrap w:val="0"/>
            <w:vAlign w:val="center"/>
          </w:tcPr>
          <w:p w14:paraId="0D95B1B6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115" w:type="dxa"/>
            <w:noWrap w:val="0"/>
            <w:vAlign w:val="center"/>
          </w:tcPr>
          <w:p w14:paraId="37A99C4A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034" w:type="dxa"/>
            <w:noWrap w:val="0"/>
            <w:vAlign w:val="center"/>
          </w:tcPr>
          <w:p w14:paraId="150585AD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979" w:type="dxa"/>
            <w:noWrap w:val="0"/>
            <w:vAlign w:val="center"/>
          </w:tcPr>
          <w:p w14:paraId="179636E6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</w:tr>
      <w:tr w14:paraId="614E6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950" w:type="dxa"/>
            <w:noWrap w:val="0"/>
            <w:vAlign w:val="center"/>
          </w:tcPr>
          <w:p w14:paraId="3BDE214A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center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922" w:type="dxa"/>
            <w:noWrap w:val="0"/>
            <w:vAlign w:val="center"/>
          </w:tcPr>
          <w:p w14:paraId="6BF0E28B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044" w:type="dxa"/>
            <w:noWrap w:val="0"/>
            <w:vAlign w:val="center"/>
          </w:tcPr>
          <w:p w14:paraId="577938DE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034" w:type="dxa"/>
            <w:noWrap w:val="0"/>
            <w:vAlign w:val="center"/>
          </w:tcPr>
          <w:p w14:paraId="7CCA9DB6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206" w:type="dxa"/>
            <w:noWrap w:val="0"/>
            <w:vAlign w:val="center"/>
          </w:tcPr>
          <w:p w14:paraId="5B575A9B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378" w:type="dxa"/>
            <w:noWrap w:val="0"/>
            <w:vAlign w:val="center"/>
          </w:tcPr>
          <w:p w14:paraId="5EB1BFAB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845" w:type="dxa"/>
            <w:noWrap w:val="0"/>
            <w:vAlign w:val="center"/>
          </w:tcPr>
          <w:p w14:paraId="71AE65A0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256" w:type="dxa"/>
            <w:noWrap w:val="0"/>
            <w:vAlign w:val="center"/>
          </w:tcPr>
          <w:p w14:paraId="115B6B9F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257" w:type="dxa"/>
            <w:noWrap w:val="0"/>
            <w:vAlign w:val="center"/>
          </w:tcPr>
          <w:p w14:paraId="795B8C69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115" w:type="dxa"/>
            <w:noWrap w:val="0"/>
            <w:vAlign w:val="center"/>
          </w:tcPr>
          <w:p w14:paraId="2A7E9873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034" w:type="dxa"/>
            <w:noWrap w:val="0"/>
            <w:vAlign w:val="center"/>
          </w:tcPr>
          <w:p w14:paraId="7FEA5882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979" w:type="dxa"/>
            <w:noWrap w:val="0"/>
            <w:vAlign w:val="center"/>
          </w:tcPr>
          <w:p w14:paraId="71F1E0CD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before="4" w:line="310" w:lineRule="exact"/>
              <w:jc w:val="left"/>
              <w:textAlignment w:val="baseline"/>
              <w:rPr>
                <w:rFonts w:hint="eastAsia" w:ascii="方正书宋简体" w:hAnsi="方正书宋简体" w:eastAsia="方正书宋简体" w:cs="方正书宋简体"/>
                <w:sz w:val="21"/>
                <w:szCs w:val="21"/>
                <w:highlight w:val="none"/>
                <w:vertAlign w:val="baseline"/>
              </w:rPr>
            </w:pPr>
          </w:p>
        </w:tc>
      </w:tr>
    </w:tbl>
    <w:p w14:paraId="368464E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10" w:lineRule="exact"/>
        <w:jc w:val="left"/>
        <w:textAlignment w:val="auto"/>
        <w:rPr>
          <w:rFonts w:hint="eastAsia" w:ascii="黑体" w:hAnsi="黑体" w:eastAsia="黑体" w:cs="黑体"/>
          <w:sz w:val="21"/>
          <w:szCs w:val="21"/>
          <w:lang w:val="en-US" w:eastAsia="zh-CN"/>
        </w:rPr>
      </w:pPr>
    </w:p>
    <w:p w14:paraId="1764104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10" w:lineRule="exact"/>
        <w:jc w:val="left"/>
        <w:textAlignment w:val="auto"/>
        <w:rPr>
          <w:rFonts w:hint="eastAsia" w:ascii="黑体" w:hAnsi="黑体" w:eastAsia="黑体" w:cs="黑体"/>
          <w:sz w:val="21"/>
          <w:szCs w:val="21"/>
          <w:lang w:val="en-US" w:eastAsia="zh-CN"/>
        </w:rPr>
      </w:pP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>附件2</w:t>
      </w:r>
    </w:p>
    <w:p w14:paraId="10D6977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10" w:lineRule="exact"/>
        <w:jc w:val="left"/>
        <w:textAlignment w:val="auto"/>
        <w:rPr>
          <w:rFonts w:hint="eastAsia" w:ascii="黑体" w:hAnsi="黑体" w:eastAsia="黑体" w:cs="黑体"/>
          <w:sz w:val="21"/>
          <w:szCs w:val="21"/>
          <w:lang w:val="en-US" w:eastAsia="zh-CN"/>
        </w:rPr>
      </w:pPr>
    </w:p>
    <w:p w14:paraId="122A96D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黑体" w:hAnsi="黑体" w:eastAsia="黑体" w:cs="黑体"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44"/>
          <w:szCs w:val="44"/>
          <w:lang w:val="en-US" w:eastAsia="zh-CN" w:bidi="ar"/>
        </w:rPr>
        <w:t>优化营商环境“负面案例”通报制度</w:t>
      </w:r>
    </w:p>
    <w:p w14:paraId="6E1D6C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0" w:lineRule="exact"/>
        <w:ind w:left="0" w:leftChars="0" w:firstLine="420" w:firstLineChars="200"/>
        <w:jc w:val="center"/>
        <w:textAlignment w:val="auto"/>
        <w:rPr>
          <w:rFonts w:hint="eastAsia" w:ascii="方正书宋简体" w:hAnsi="方正书宋简体" w:eastAsia="方正书宋简体" w:cs="方正书宋简体"/>
          <w:sz w:val="21"/>
          <w:szCs w:val="21"/>
          <w:lang w:val="en-US" w:eastAsia="zh-CN"/>
        </w:rPr>
      </w:pPr>
      <w:r>
        <w:rPr>
          <w:rFonts w:hint="eastAsia" w:ascii="方正书宋简体" w:hAnsi="方正书宋简体" w:eastAsia="方正书宋简体" w:cs="方正书宋简体"/>
          <w:sz w:val="21"/>
          <w:szCs w:val="21"/>
          <w:lang w:val="en-US" w:eastAsia="zh-CN"/>
        </w:rPr>
        <w:t xml:space="preserve">    </w:t>
      </w:r>
    </w:p>
    <w:p w14:paraId="15C4AE0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10" w:lineRule="exact"/>
        <w:ind w:left="0" w:leftChars="0" w:firstLine="420" w:firstLineChars="200"/>
        <w:jc w:val="both"/>
        <w:textAlignment w:val="auto"/>
        <w:rPr>
          <w:rFonts w:hint="eastAsia" w:ascii="方正书宋简体" w:hAnsi="方正书宋简体" w:eastAsia="方正书宋简体" w:cs="方正书宋简体"/>
          <w:b w:val="0"/>
          <w:bCs w:val="0"/>
          <w:kern w:val="0"/>
          <w:sz w:val="21"/>
          <w:szCs w:val="21"/>
          <w:lang w:val="en-US" w:eastAsia="zh-CN" w:bidi="ar"/>
        </w:rPr>
        <w:sectPr>
          <w:type w:val="continuous"/>
          <w:pgSz w:w="11906" w:h="16838"/>
          <w:pgMar w:top="2154" w:right="1134" w:bottom="1701" w:left="1134" w:header="851" w:footer="992" w:gutter="0"/>
          <w:pgNumType w:fmt="decimal"/>
          <w:cols w:space="425" w:num="1"/>
          <w:docGrid w:type="lines" w:linePitch="312" w:charSpace="0"/>
        </w:sectPr>
      </w:pPr>
    </w:p>
    <w:p w14:paraId="32D5449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10" w:lineRule="exact"/>
        <w:ind w:left="0" w:leftChars="0" w:firstLine="420" w:firstLineChars="200"/>
        <w:jc w:val="both"/>
        <w:textAlignment w:val="auto"/>
        <w:rPr>
          <w:rFonts w:hint="eastAsia" w:ascii="方正书宋简体" w:hAnsi="方正书宋简体" w:eastAsia="方正书宋简体" w:cs="方正书宋简体"/>
          <w:b w:val="0"/>
          <w:bCs w:val="0"/>
          <w:sz w:val="21"/>
          <w:szCs w:val="21"/>
        </w:rPr>
      </w:pPr>
      <w:r>
        <w:rPr>
          <w:rFonts w:hint="eastAsia" w:ascii="方正书宋简体" w:hAnsi="方正书宋简体" w:eastAsia="方正书宋简体" w:cs="方正书宋简体"/>
          <w:b w:val="0"/>
          <w:bCs w:val="0"/>
          <w:kern w:val="0"/>
          <w:sz w:val="21"/>
          <w:szCs w:val="21"/>
          <w:lang w:val="en-US" w:eastAsia="zh-CN" w:bidi="ar"/>
        </w:rPr>
        <w:t>为全面贯彻落实国务院《优化营商环境条例》、自治区《内蒙古自治区加快打造市场化法治化国际化一流营商环境实施方案》、市政府《鄂尔多斯市持续打造一流营商环境行动方案（2026年）》、旗委《鄂托克旗党建领航“强队伍、转作风、优服务”专项行动工作方案》精神，深入推进市场化、法治化、国际化一流营商环境建设，进一步压实各级工作责任，结合我旗实际，建立营商环境“负面案例”通报制度，制定如下具体举措。</w:t>
      </w:r>
    </w:p>
    <w:p w14:paraId="6B354FDC"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10" w:lineRule="exact"/>
        <w:ind w:left="0" w:leftChars="0" w:firstLine="420" w:firstLineChars="200"/>
        <w:jc w:val="left"/>
        <w:textAlignment w:val="auto"/>
        <w:rPr>
          <w:rFonts w:hint="eastAsia" w:ascii="方正书宋简体" w:hAnsi="方正书宋简体" w:eastAsia="方正书宋简体" w:cs="方正书宋简体"/>
          <w:b w:val="0"/>
          <w:bCs w:val="0"/>
          <w:sz w:val="21"/>
          <w:szCs w:val="21"/>
        </w:rPr>
      </w:pPr>
      <w:r>
        <w:rPr>
          <w:rFonts w:hint="eastAsia" w:ascii="方正书宋简体" w:hAnsi="方正书宋简体" w:eastAsia="方正书宋简体" w:cs="方正书宋简体"/>
          <w:b w:val="0"/>
          <w:bCs w:val="0"/>
          <w:sz w:val="21"/>
          <w:szCs w:val="21"/>
        </w:rPr>
        <w:t>一、强化政治引领，明确职级干部专职职责</w:t>
      </w:r>
    </w:p>
    <w:p w14:paraId="7097EF4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10" w:lineRule="exact"/>
        <w:ind w:left="0" w:leftChars="0" w:firstLine="420" w:firstLineChars="200"/>
        <w:jc w:val="both"/>
        <w:textAlignment w:val="auto"/>
        <w:rPr>
          <w:rFonts w:hint="eastAsia" w:ascii="方正书宋简体" w:hAnsi="方正书宋简体" w:eastAsia="方正书宋简体" w:cs="方正书宋简体"/>
          <w:b w:val="0"/>
          <w:bCs w:val="0"/>
          <w:sz w:val="21"/>
          <w:szCs w:val="21"/>
        </w:rPr>
      </w:pPr>
      <w:r>
        <w:rPr>
          <w:rFonts w:hint="eastAsia" w:ascii="方正书宋简体" w:hAnsi="方正书宋简体" w:eastAsia="方正书宋简体" w:cs="方正书宋简体"/>
          <w:b w:val="0"/>
          <w:bCs w:val="0"/>
          <w:kern w:val="0"/>
          <w:sz w:val="21"/>
          <w:szCs w:val="21"/>
          <w:lang w:val="en-US" w:eastAsia="zh-CN" w:bidi="ar"/>
        </w:rPr>
        <w:t>坚持以习近平新时代中国特色社会主义思想为指导，深刻认识优化营商环境对服务构建新发展格局、激发市场主体活力、提升区域核心竞争力的极端重要性，将优化营商环境作为重大政治任务，切实提高政治判断力、政治领悟力、政治执行力。各单位要立足自身职能，明确职级干部专职负责优化营商环境工作，做到责任到人、任务到岗、落实到位。</w:t>
      </w:r>
    </w:p>
    <w:p w14:paraId="4D8375E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10" w:lineRule="exact"/>
        <w:ind w:left="0" w:leftChars="0" w:firstLine="420" w:firstLineChars="200"/>
        <w:jc w:val="both"/>
        <w:textAlignment w:val="auto"/>
        <w:rPr>
          <w:rFonts w:hint="eastAsia" w:ascii="方正书宋简体" w:hAnsi="方正书宋简体" w:eastAsia="方正书宋简体" w:cs="方正书宋简体"/>
          <w:b w:val="0"/>
          <w:bCs w:val="0"/>
          <w:sz w:val="21"/>
          <w:szCs w:val="21"/>
        </w:rPr>
      </w:pPr>
      <w:r>
        <w:rPr>
          <w:rFonts w:hint="eastAsia" w:ascii="方正书宋简体" w:hAnsi="方正书宋简体" w:eastAsia="方正书宋简体" w:cs="方正书宋简体"/>
          <w:b w:val="0"/>
          <w:bCs w:val="0"/>
          <w:kern w:val="0"/>
          <w:sz w:val="21"/>
          <w:szCs w:val="21"/>
          <w:lang w:val="en-US" w:eastAsia="zh-CN" w:bidi="ar"/>
        </w:rPr>
        <w:t>一是明确专职分工。各单位结合职级干部岗位职责，指定1名职级干部专职牵头负责本单位营商环境优化工作。该专职职级干部作为本单位营商环境工作第一责任人，全面统筹各项优化举措落地实施，协调解决企业合理诉求，对接落实上级营商环境工作部署，定期向本单位主要负责人汇报工作进展，坚决杜绝工作走过场、流于形式。</w:t>
      </w:r>
    </w:p>
    <w:p w14:paraId="61EDFCB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10" w:lineRule="exact"/>
        <w:ind w:left="0" w:leftChars="0" w:firstLine="420" w:firstLineChars="200"/>
        <w:jc w:val="both"/>
        <w:textAlignment w:val="auto"/>
        <w:rPr>
          <w:rFonts w:hint="eastAsia" w:ascii="方正书宋简体" w:hAnsi="方正书宋简体" w:eastAsia="方正书宋简体" w:cs="方正书宋简体"/>
          <w:b w:val="0"/>
          <w:bCs w:val="0"/>
          <w:sz w:val="21"/>
          <w:szCs w:val="21"/>
        </w:rPr>
      </w:pPr>
      <w:r>
        <w:rPr>
          <w:rFonts w:hint="eastAsia" w:ascii="方正书宋简体" w:hAnsi="方正书宋简体" w:eastAsia="方正书宋简体" w:cs="方正书宋简体"/>
          <w:b w:val="0"/>
          <w:bCs w:val="0"/>
          <w:kern w:val="0"/>
          <w:sz w:val="21"/>
          <w:szCs w:val="21"/>
          <w:lang w:val="en-US" w:eastAsia="zh-CN" w:bidi="ar"/>
        </w:rPr>
        <w:t>二是强化能力提升。建立常态化培训机制，定期组织专职职级干部开展营商环境政策培训和业务交流，重点学习优化营商环境相关法律法规、政策文件，借鉴先进地区在简化审批流程、提升服务效能、破解企业发展难题等方面的成熟经验。通过专题讲座、案例分析、座谈研讨、实地观摩等多种形式，提升专职职级干部业务素养，增强其政策理解、统筹协调、问题解决和服务企业的能力，确保其熟练掌握政策、精准对接需求、高效开展工作，为我旗营商环境优化提供有力支撑。</w:t>
      </w:r>
    </w:p>
    <w:p w14:paraId="44CFAAE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10" w:lineRule="exact"/>
        <w:ind w:left="0" w:leftChars="0" w:firstLine="420" w:firstLineChars="200"/>
        <w:jc w:val="both"/>
        <w:textAlignment w:val="auto"/>
        <w:rPr>
          <w:rFonts w:hint="eastAsia" w:ascii="方正书宋简体" w:hAnsi="方正书宋简体" w:eastAsia="方正书宋简体" w:cs="方正书宋简体"/>
          <w:b w:val="0"/>
          <w:bCs w:val="0"/>
          <w:kern w:val="0"/>
          <w:sz w:val="21"/>
          <w:szCs w:val="21"/>
          <w:lang w:val="en-US" w:eastAsia="zh-CN" w:bidi="ar"/>
        </w:rPr>
      </w:pPr>
      <w:r>
        <w:rPr>
          <w:rFonts w:hint="eastAsia" w:ascii="方正书宋简体" w:hAnsi="方正书宋简体" w:eastAsia="方正书宋简体" w:cs="方正书宋简体"/>
          <w:b w:val="0"/>
          <w:bCs w:val="0"/>
          <w:kern w:val="0"/>
          <w:sz w:val="21"/>
          <w:szCs w:val="21"/>
          <w:lang w:val="en-US" w:eastAsia="zh-CN" w:bidi="ar"/>
        </w:rPr>
        <w:t>三是深化一线服务。依托12345便民热线、人民网留言等诉求渠道，精准掌握企业群众反映的堵点、难点、痛点问题。建立问题台账，实行清单化管理、闭环式推进，逐一明确解决路径和时限，全程跟踪督办，确保企业群众诉求“件件有回音、事事有着落”。同时，主动深入企业开展走访调研，倾听企业诉求，收集企业在生产经营、政策享受、手续办理等方面的实际困难，精准提供帮扶服务，把问题解决在企业需求前端，推动由“接诉即办”向“未诉先办”转变，切实提升企业获得感和满意度。</w:t>
      </w:r>
    </w:p>
    <w:p w14:paraId="6BDD01DA"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10" w:lineRule="exact"/>
        <w:ind w:left="0" w:leftChars="0" w:firstLine="420" w:firstLineChars="200"/>
        <w:jc w:val="left"/>
        <w:textAlignment w:val="auto"/>
        <w:rPr>
          <w:rFonts w:hint="eastAsia" w:ascii="方正书宋简体" w:hAnsi="方正书宋简体" w:eastAsia="方正书宋简体" w:cs="方正书宋简体"/>
          <w:b w:val="0"/>
          <w:bCs w:val="0"/>
          <w:sz w:val="21"/>
          <w:szCs w:val="21"/>
        </w:rPr>
      </w:pPr>
      <w:r>
        <w:rPr>
          <w:rFonts w:hint="eastAsia" w:ascii="方正书宋简体" w:hAnsi="方正书宋简体" w:eastAsia="方正书宋简体" w:cs="方正书宋简体"/>
          <w:b w:val="0"/>
          <w:bCs w:val="0"/>
          <w:sz w:val="21"/>
          <w:szCs w:val="21"/>
        </w:rPr>
        <w:t>二、健全通报制度，强化负面案例警示震慑</w:t>
      </w:r>
    </w:p>
    <w:p w14:paraId="5BA3174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10" w:lineRule="exact"/>
        <w:ind w:left="0" w:leftChars="0" w:firstLine="420" w:firstLineChars="200"/>
        <w:jc w:val="both"/>
        <w:textAlignment w:val="auto"/>
        <w:rPr>
          <w:rFonts w:hint="eastAsia" w:ascii="方正书宋简体" w:hAnsi="方正书宋简体" w:eastAsia="方正书宋简体" w:cs="方正书宋简体"/>
          <w:b w:val="0"/>
          <w:bCs w:val="0"/>
          <w:sz w:val="21"/>
          <w:szCs w:val="21"/>
        </w:rPr>
      </w:pPr>
      <w:r>
        <w:rPr>
          <w:rFonts w:hint="eastAsia" w:ascii="方正书宋简体" w:hAnsi="方正书宋简体" w:eastAsia="方正书宋简体" w:cs="方正书宋简体"/>
          <w:b w:val="0"/>
          <w:bCs w:val="0"/>
          <w:kern w:val="0"/>
          <w:sz w:val="21"/>
          <w:szCs w:val="21"/>
          <w:lang w:val="en-US" w:eastAsia="zh-CN" w:bidi="ar"/>
        </w:rPr>
        <w:t>坚持问题导向、目标导向、结果导向相统一，建立健全营商环境“负面案例”通报制度，以典型案例为警示，深挖问题根源、堵塞制度漏洞、强化警示教育，切实维护市场主体合法权益，推动营商环境持续优化。</w:t>
      </w:r>
    </w:p>
    <w:p w14:paraId="4894D85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10" w:lineRule="exact"/>
        <w:ind w:left="0" w:leftChars="0" w:firstLine="420" w:firstLineChars="200"/>
        <w:jc w:val="both"/>
        <w:textAlignment w:val="auto"/>
        <w:rPr>
          <w:rFonts w:hint="eastAsia" w:ascii="方正书宋简体" w:hAnsi="方正书宋简体" w:eastAsia="方正书宋简体" w:cs="方正书宋简体"/>
          <w:b w:val="0"/>
          <w:bCs w:val="0"/>
          <w:sz w:val="21"/>
          <w:szCs w:val="21"/>
        </w:rPr>
      </w:pPr>
      <w:r>
        <w:rPr>
          <w:rFonts w:hint="eastAsia" w:ascii="方正书宋简体" w:hAnsi="方正书宋简体" w:eastAsia="方正书宋简体" w:cs="方正书宋简体"/>
          <w:b w:val="0"/>
          <w:bCs w:val="0"/>
          <w:kern w:val="0"/>
          <w:sz w:val="21"/>
          <w:szCs w:val="21"/>
          <w:lang w:val="en-US" w:eastAsia="zh-CN" w:bidi="ar"/>
        </w:rPr>
        <w:t>一是规范案例收集核查。聚焦企业群众反映最强烈、最突出的问题，优化营商环境牵头部门要明确专人负责负面案例收集工作，通过企业投诉举报、日常督查检查、第三方评估、群众反馈等多种渠道，全面收集损害营商环境的典型案例，重点收集不作为、慢作为、乱作为，滥用职权、吃拿卡要、徇私舞弊，政策落实“打折扣、搞变通”，行政审批效率低下、办事服务态度恶劣等突出问题案例。通过实地走访、座谈了解、查阅资料等方式，对收集到的案例逐一核实、精准认定，确保案例真实、数据准确、事实清楚，坚决杜绝虚假案例和不实信息。</w:t>
      </w:r>
    </w:p>
    <w:p w14:paraId="1CBB5DB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10" w:lineRule="exact"/>
        <w:ind w:left="0" w:leftChars="0" w:firstLine="420" w:firstLineChars="200"/>
        <w:jc w:val="both"/>
        <w:textAlignment w:val="auto"/>
        <w:rPr>
          <w:rFonts w:hint="eastAsia" w:ascii="方正书宋简体" w:hAnsi="方正书宋简体" w:eastAsia="方正书宋简体" w:cs="方正书宋简体"/>
          <w:b w:val="0"/>
          <w:bCs w:val="0"/>
          <w:kern w:val="0"/>
          <w:sz w:val="21"/>
          <w:szCs w:val="21"/>
          <w:lang w:val="en-US" w:eastAsia="zh-CN" w:bidi="ar"/>
        </w:rPr>
      </w:pPr>
      <w:r>
        <w:rPr>
          <w:rFonts w:hint="eastAsia" w:ascii="方正书宋简体" w:hAnsi="方正书宋简体" w:eastAsia="方正书宋简体" w:cs="方正书宋简体"/>
          <w:b w:val="0"/>
          <w:bCs w:val="0"/>
          <w:kern w:val="0"/>
          <w:sz w:val="21"/>
          <w:szCs w:val="21"/>
          <w:lang w:val="en-US" w:eastAsia="zh-CN" w:bidi="ar"/>
        </w:rPr>
        <w:t>二是定期通报曝光案例。坚持问题导向、靶向发力，以公开促整改、以曝光强警示。牵头部门每月汇总核查确认的负面案例，每季度集中通报；对社会影响恶劣、企业群众反映强烈、破坏营商环境情节严重的典型案例，要即时通报、重点曝光。通报内容要明确案例基本情况、问题具体表现、责任单位和处理结果，不回避问题、不遮掩矛盾，确保通报具有针对性和震慑力，真正实现“通报一起、警示一片”的效果。</w:t>
      </w:r>
    </w:p>
    <w:p w14:paraId="3484E88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10" w:lineRule="exact"/>
        <w:ind w:left="0" w:leftChars="0" w:firstLine="420" w:firstLineChars="200"/>
        <w:jc w:val="both"/>
        <w:textAlignment w:val="auto"/>
        <w:rPr>
          <w:rFonts w:hint="eastAsia" w:ascii="方正书宋简体" w:hAnsi="方正书宋简体" w:eastAsia="方正书宋简体" w:cs="方正书宋简体"/>
          <w:b w:val="0"/>
          <w:bCs w:val="0"/>
          <w:kern w:val="0"/>
          <w:sz w:val="21"/>
          <w:szCs w:val="21"/>
          <w:lang w:val="en-US" w:eastAsia="zh-CN" w:bidi="ar"/>
        </w:rPr>
      </w:pPr>
      <w:r>
        <w:rPr>
          <w:rFonts w:hint="eastAsia" w:ascii="方正书宋简体" w:hAnsi="方正书宋简体" w:eastAsia="方正书宋简体" w:cs="方正书宋简体"/>
          <w:b w:val="0"/>
          <w:bCs w:val="0"/>
          <w:kern w:val="0"/>
          <w:sz w:val="21"/>
          <w:szCs w:val="21"/>
          <w:lang w:val="en-US" w:eastAsia="zh-CN" w:bidi="ar"/>
        </w:rPr>
        <w:t>三是深挖根源整改提升。针对每一起通报的负面案例，建立整改台账、实行销号管理，严格落实“一案一剖析、一案一整改、一案一警示”工作要求，组织责任单位深入剖析问题产生的根源，找准制度漏洞、监管短板和作风建设薄弱环节，精准制定针对性整改措施，明确整改目标、整改时限和责任人员，确保整改不走过场、不留死角、取得实效。</w:t>
      </w:r>
    </w:p>
    <w:p w14:paraId="5ACF2912"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10" w:lineRule="exact"/>
        <w:ind w:left="0" w:leftChars="0" w:firstLine="420" w:firstLineChars="200"/>
        <w:jc w:val="left"/>
        <w:textAlignment w:val="auto"/>
        <w:rPr>
          <w:rFonts w:hint="eastAsia" w:ascii="方正书宋简体" w:hAnsi="方正书宋简体" w:eastAsia="方正书宋简体" w:cs="方正书宋简体"/>
          <w:b w:val="0"/>
          <w:bCs w:val="0"/>
          <w:sz w:val="21"/>
          <w:szCs w:val="21"/>
        </w:rPr>
      </w:pPr>
      <w:r>
        <w:rPr>
          <w:rFonts w:hint="eastAsia" w:ascii="方正书宋简体" w:hAnsi="方正书宋简体" w:eastAsia="方正书宋简体" w:cs="方正书宋简体"/>
          <w:b w:val="0"/>
          <w:bCs w:val="0"/>
          <w:sz w:val="21"/>
          <w:szCs w:val="21"/>
        </w:rPr>
        <w:t>三、强化保障措施，确保各项工作落地见效</w:t>
      </w:r>
    </w:p>
    <w:p w14:paraId="24E94EF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10" w:lineRule="exact"/>
        <w:ind w:left="0" w:leftChars="0" w:firstLine="420" w:firstLineChars="200"/>
        <w:jc w:val="both"/>
        <w:textAlignment w:val="auto"/>
        <w:rPr>
          <w:rFonts w:hint="eastAsia" w:ascii="方正书宋简体" w:hAnsi="方正书宋简体" w:eastAsia="方正书宋简体" w:cs="方正书宋简体"/>
          <w:b w:val="0"/>
          <w:bCs w:val="0"/>
          <w:kern w:val="0"/>
          <w:sz w:val="21"/>
          <w:szCs w:val="21"/>
          <w:lang w:val="en-US" w:eastAsia="zh-CN" w:bidi="ar"/>
        </w:rPr>
      </w:pPr>
      <w:r>
        <w:rPr>
          <w:rFonts w:hint="eastAsia" w:ascii="方正书宋简体" w:hAnsi="方正书宋简体" w:eastAsia="方正书宋简体" w:cs="方正书宋简体"/>
          <w:b w:val="0"/>
          <w:bCs w:val="0"/>
          <w:kern w:val="0"/>
          <w:sz w:val="21"/>
          <w:szCs w:val="21"/>
          <w:lang w:val="en-US" w:eastAsia="zh-CN" w:bidi="ar"/>
        </w:rPr>
        <w:t>一是加强组织领导。由旗优化营商环境工作专班统筹推进，职级干部专职负责、负面案例通报等各项工作，定期研究解决工作中存在的问题，协调推动各项举措落地落实。各单位要提高思想认识，切实加强对本单位营商环境工作的组织领导，积极配合做好案例收集、核查、整改等工作，形成上下联动、齐抓共管的工作格局。</w:t>
      </w:r>
    </w:p>
    <w:p w14:paraId="31159D0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10" w:lineRule="exact"/>
        <w:ind w:left="0" w:leftChars="0" w:firstLine="420" w:firstLineChars="200"/>
        <w:jc w:val="both"/>
        <w:textAlignment w:val="auto"/>
        <w:rPr>
          <w:rFonts w:hint="eastAsia" w:ascii="方正书宋简体" w:hAnsi="方正书宋简体" w:eastAsia="方正书宋简体" w:cs="方正书宋简体"/>
          <w:b w:val="0"/>
          <w:bCs w:val="0"/>
          <w:kern w:val="0"/>
          <w:sz w:val="21"/>
          <w:szCs w:val="21"/>
          <w:lang w:val="en-US" w:eastAsia="zh-CN" w:bidi="ar"/>
        </w:rPr>
      </w:pPr>
      <w:r>
        <w:rPr>
          <w:rFonts w:hint="eastAsia" w:ascii="方正书宋简体" w:hAnsi="方正书宋简体" w:eastAsia="方正书宋简体" w:cs="方正书宋简体"/>
          <w:b w:val="0"/>
          <w:bCs w:val="0"/>
          <w:kern w:val="0"/>
          <w:sz w:val="21"/>
          <w:szCs w:val="21"/>
          <w:lang w:val="en-US" w:eastAsia="zh-CN" w:bidi="ar"/>
        </w:rPr>
        <w:t>二是强化协同推进。聚焦营商环境建设重点领域和关键环节，打破部门壁垒，健全跨部门协同工作机制，明确各单位职责分工，细化工作任务清单，推动各项工作有序衔接、高效推进。建立工作台账，对重点任务实行清单化管理、项目化推进，定期梳理工作进展，及时协调解决协同推进中出现的堵点难点问题，确保各项举措同向发力、落地见效，切实提升企业和群众办事便利度。</w:t>
      </w:r>
    </w:p>
    <w:p w14:paraId="221E4DA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10" w:lineRule="exact"/>
        <w:ind w:left="0" w:leftChars="0" w:firstLine="420" w:firstLineChars="200"/>
        <w:jc w:val="both"/>
        <w:textAlignment w:val="auto"/>
        <w:rPr>
          <w:rFonts w:hint="eastAsia" w:ascii="方正书宋简体" w:hAnsi="方正书宋简体" w:eastAsia="方正书宋简体" w:cs="方正书宋简体"/>
          <w:b w:val="0"/>
          <w:bCs w:val="0"/>
          <w:kern w:val="0"/>
          <w:sz w:val="21"/>
          <w:szCs w:val="21"/>
          <w:lang w:val="en-US" w:eastAsia="zh-CN" w:bidi="ar"/>
        </w:rPr>
      </w:pPr>
      <w:r>
        <w:rPr>
          <w:rFonts w:hint="eastAsia" w:ascii="方正书宋简体" w:hAnsi="方正书宋简体" w:eastAsia="方正书宋简体" w:cs="方正书宋简体"/>
          <w:b w:val="0"/>
          <w:bCs w:val="0"/>
          <w:kern w:val="0"/>
          <w:sz w:val="21"/>
          <w:szCs w:val="21"/>
          <w:lang w:val="en-US" w:eastAsia="zh-CN" w:bidi="ar"/>
        </w:rPr>
        <w:t>三是健全长效机制。结合负面案例剖析整改情况，进一步完善优化营商环境相关制度规定，堵塞制度漏洞，推动营商环境建设常态化、规范化。加强宣传引导，广泛宣传优化营商环境的政策举措、先进经验和工作成效，适时曝光负面案例，营造“人人关心营商环境、人人维护营商环境”的良好社会氛围，为我旗高质量发展提供坚强的营商环境保障。</w:t>
      </w:r>
    </w:p>
    <w:p w14:paraId="10C53B7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10" w:lineRule="exact"/>
        <w:ind w:left="0" w:leftChars="0" w:firstLine="420" w:firstLineChars="200"/>
        <w:jc w:val="both"/>
        <w:textAlignment w:val="auto"/>
        <w:rPr>
          <w:rFonts w:hint="eastAsia" w:ascii="方正书宋简体" w:hAnsi="方正书宋简体" w:eastAsia="方正书宋简体" w:cs="方正书宋简体"/>
          <w:b w:val="0"/>
          <w:bCs w:val="0"/>
          <w:kern w:val="0"/>
          <w:sz w:val="21"/>
          <w:szCs w:val="21"/>
          <w:lang w:val="en-US" w:eastAsia="zh-CN" w:bidi="ar"/>
        </w:rPr>
      </w:pPr>
    </w:p>
    <w:p w14:paraId="516A98E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10" w:lineRule="exact"/>
        <w:ind w:left="0" w:leftChars="0" w:firstLine="420" w:firstLineChars="200"/>
        <w:jc w:val="both"/>
        <w:textAlignment w:val="auto"/>
        <w:rPr>
          <w:rFonts w:hint="eastAsia" w:ascii="方正书宋简体" w:hAnsi="方正书宋简体" w:eastAsia="方正书宋简体" w:cs="方正书宋简体"/>
          <w:b w:val="0"/>
          <w:bCs w:val="0"/>
          <w:kern w:val="0"/>
          <w:sz w:val="21"/>
          <w:szCs w:val="21"/>
          <w:lang w:val="en-US" w:eastAsia="zh-CN" w:bidi="ar"/>
        </w:rPr>
      </w:pPr>
    </w:p>
    <w:p w14:paraId="527A964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10" w:lineRule="exact"/>
        <w:ind w:left="0" w:leftChars="0" w:firstLine="420" w:firstLineChars="200"/>
        <w:jc w:val="both"/>
        <w:textAlignment w:val="auto"/>
        <w:rPr>
          <w:rFonts w:hint="eastAsia" w:ascii="方正书宋简体" w:hAnsi="方正书宋简体" w:eastAsia="方正书宋简体" w:cs="方正书宋简体"/>
          <w:b w:val="0"/>
          <w:bCs w:val="0"/>
          <w:kern w:val="0"/>
          <w:sz w:val="21"/>
          <w:szCs w:val="21"/>
          <w:lang w:val="en-US" w:eastAsia="zh-CN" w:bidi="ar"/>
        </w:rPr>
      </w:pPr>
    </w:p>
    <w:p w14:paraId="614A22C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10" w:lineRule="exact"/>
        <w:ind w:left="0" w:leftChars="0" w:firstLine="420" w:firstLineChars="200"/>
        <w:jc w:val="both"/>
        <w:textAlignment w:val="auto"/>
        <w:rPr>
          <w:rFonts w:hint="eastAsia" w:ascii="方正书宋简体" w:hAnsi="方正书宋简体" w:eastAsia="方正书宋简体" w:cs="方正书宋简体"/>
          <w:b w:val="0"/>
          <w:bCs w:val="0"/>
          <w:kern w:val="0"/>
          <w:sz w:val="21"/>
          <w:szCs w:val="21"/>
          <w:lang w:val="en-US" w:eastAsia="zh-CN" w:bidi="ar"/>
        </w:rPr>
      </w:pPr>
    </w:p>
    <w:p w14:paraId="36138E6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10" w:lineRule="exact"/>
        <w:ind w:left="0" w:leftChars="0" w:firstLine="420" w:firstLineChars="200"/>
        <w:jc w:val="both"/>
        <w:textAlignment w:val="auto"/>
        <w:rPr>
          <w:rFonts w:hint="eastAsia" w:ascii="方正书宋简体" w:hAnsi="方正书宋简体" w:eastAsia="方正书宋简体" w:cs="方正书宋简体"/>
          <w:b w:val="0"/>
          <w:bCs w:val="0"/>
          <w:kern w:val="0"/>
          <w:sz w:val="21"/>
          <w:szCs w:val="21"/>
          <w:lang w:val="en-US" w:eastAsia="zh-CN" w:bidi="ar"/>
        </w:rPr>
      </w:pPr>
    </w:p>
    <w:p w14:paraId="7E36EAA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10" w:lineRule="exact"/>
        <w:ind w:left="0" w:leftChars="0" w:firstLine="420" w:firstLineChars="200"/>
        <w:jc w:val="both"/>
        <w:textAlignment w:val="auto"/>
        <w:rPr>
          <w:rFonts w:hint="eastAsia" w:ascii="方正书宋简体" w:hAnsi="方正书宋简体" w:eastAsia="方正书宋简体" w:cs="方正书宋简体"/>
          <w:b w:val="0"/>
          <w:bCs w:val="0"/>
          <w:kern w:val="0"/>
          <w:sz w:val="21"/>
          <w:szCs w:val="21"/>
          <w:lang w:val="en-US" w:eastAsia="zh-CN" w:bidi="ar"/>
        </w:rPr>
      </w:pPr>
    </w:p>
    <w:p w14:paraId="34B42A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0" w:lineRule="exact"/>
        <w:jc w:val="left"/>
        <w:textAlignment w:val="auto"/>
        <w:rPr>
          <w:rFonts w:hint="eastAsia" w:ascii="黑体" w:hAnsi="黑体" w:eastAsia="黑体" w:cs="黑体"/>
          <w:sz w:val="21"/>
          <w:szCs w:val="21"/>
          <w:lang w:val="en-US" w:eastAsia="zh-CN"/>
        </w:rPr>
      </w:pP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>附件3</w:t>
      </w:r>
    </w:p>
    <w:p w14:paraId="256648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0" w:lineRule="exact"/>
        <w:jc w:val="left"/>
        <w:textAlignment w:val="auto"/>
        <w:rPr>
          <w:rFonts w:hint="eastAsia" w:ascii="黑体" w:hAnsi="黑体" w:eastAsia="黑体" w:cs="黑体"/>
          <w:sz w:val="21"/>
          <w:szCs w:val="21"/>
          <w:lang w:val="en-US" w:eastAsia="zh-CN"/>
        </w:rPr>
      </w:pPr>
    </w:p>
    <w:p w14:paraId="2842E26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10" w:lineRule="exact"/>
        <w:ind w:left="0" w:leftChars="0" w:firstLine="420" w:firstLineChars="200"/>
        <w:jc w:val="both"/>
        <w:textAlignment w:val="auto"/>
        <w:rPr>
          <w:rFonts w:hint="eastAsia" w:ascii="方正书宋简体" w:hAnsi="方正书宋简体" w:eastAsia="方正书宋简体" w:cs="方正书宋简体"/>
          <w:b w:val="0"/>
          <w:bCs w:val="0"/>
          <w:kern w:val="0"/>
          <w:sz w:val="21"/>
          <w:szCs w:val="21"/>
          <w:lang w:val="en-US" w:eastAsia="zh-CN" w:bidi="ar"/>
        </w:rPr>
      </w:pPr>
    </w:p>
    <w:p w14:paraId="5F3173F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10" w:lineRule="exact"/>
        <w:ind w:left="0" w:leftChars="0" w:firstLine="880" w:firstLineChars="200"/>
        <w:jc w:val="both"/>
        <w:textAlignment w:val="auto"/>
        <w:rPr>
          <w:rFonts w:hint="eastAsia" w:ascii="仿宋_GB2312" w:hAnsi="仿宋_GB2312" w:eastAsia="仿宋_GB2312" w:cs="仿宋_GB2312"/>
          <w:sz w:val="44"/>
          <w:szCs w:val="44"/>
        </w:rPr>
        <w:sectPr>
          <w:type w:val="continuous"/>
          <w:pgSz w:w="11906" w:h="16838"/>
          <w:pgMar w:top="2154" w:right="1134" w:bottom="1701" w:left="1134" w:header="851" w:footer="992" w:gutter="0"/>
          <w:pgNumType w:fmt="decimal"/>
          <w:cols w:equalWidth="0" w:num="2">
            <w:col w:w="4606" w:space="425"/>
            <w:col w:w="4606"/>
          </w:cols>
          <w:docGrid w:type="lines" w:linePitch="312" w:charSpace="0"/>
        </w:sectPr>
      </w:pPr>
    </w:p>
    <w:p w14:paraId="05FDD4D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书宋简体" w:hAnsi="方正书宋简体" w:eastAsia="方正书宋简体" w:cs="方正书宋简体"/>
          <w:b w:val="0"/>
          <w:bCs w:val="0"/>
          <w:kern w:val="0"/>
          <w:sz w:val="21"/>
          <w:szCs w:val="21"/>
          <w:lang w:val="en-US" w:eastAsia="zh-CN" w:bidi="ar"/>
        </w:rPr>
      </w:pPr>
      <w:r>
        <w:rPr>
          <w:rFonts w:hint="eastAsia" w:ascii="仿宋_GB2312" w:hAnsi="仿宋_GB2312" w:eastAsia="仿宋_GB2312" w:cs="仿宋_GB2312"/>
          <w:sz w:val="44"/>
          <w:szCs w:val="44"/>
        </w:rPr>
        <w:t>优化营商环境务虚会工作制度</w:t>
      </w:r>
    </w:p>
    <w:p w14:paraId="031CC9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0" w:lineRule="exact"/>
        <w:ind w:left="0" w:leftChars="0" w:firstLine="420" w:firstLineChars="200"/>
        <w:jc w:val="left"/>
        <w:textAlignment w:val="auto"/>
        <w:rPr>
          <w:rFonts w:hint="eastAsia" w:ascii="方正书宋简体" w:hAnsi="方正书宋简体" w:eastAsia="方正书宋简体" w:cs="方正书宋简体"/>
          <w:sz w:val="21"/>
          <w:szCs w:val="21"/>
          <w:lang w:val="en-US" w:eastAsia="zh-CN"/>
        </w:rPr>
      </w:pPr>
    </w:p>
    <w:p w14:paraId="5F85F9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0" w:lineRule="exact"/>
        <w:ind w:left="0" w:leftChars="0" w:firstLine="420" w:firstLineChars="200"/>
        <w:jc w:val="left"/>
        <w:textAlignment w:val="auto"/>
        <w:rPr>
          <w:rFonts w:hint="eastAsia" w:ascii="方正书宋简体" w:hAnsi="方正书宋简体" w:eastAsia="方正书宋简体" w:cs="方正书宋简体"/>
          <w:sz w:val="21"/>
          <w:szCs w:val="21"/>
          <w:lang w:val="en-US" w:eastAsia="zh-CN"/>
        </w:rPr>
      </w:pPr>
    </w:p>
    <w:p w14:paraId="68AAA3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0" w:lineRule="exact"/>
        <w:ind w:left="0" w:leftChars="0" w:firstLine="420" w:firstLineChars="200"/>
        <w:jc w:val="both"/>
        <w:textAlignment w:val="auto"/>
        <w:rPr>
          <w:rFonts w:hint="eastAsia" w:ascii="方正书宋简体" w:hAnsi="方正书宋简体" w:eastAsia="方正书宋简体" w:cs="方正书宋简体"/>
          <w:sz w:val="21"/>
          <w:szCs w:val="21"/>
          <w:lang w:val="en-US" w:eastAsia="zh-CN"/>
        </w:rPr>
        <w:sectPr>
          <w:type w:val="continuous"/>
          <w:pgSz w:w="11906" w:h="16838"/>
          <w:pgMar w:top="2154" w:right="1134" w:bottom="1701" w:left="1134" w:header="851" w:footer="992" w:gutter="0"/>
          <w:pgNumType w:fmt="decimal"/>
          <w:cols w:space="425" w:num="1"/>
          <w:docGrid w:type="lines" w:linePitch="312" w:charSpace="0"/>
        </w:sectPr>
      </w:pPr>
    </w:p>
    <w:p w14:paraId="0DB1E6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0" w:lineRule="exact"/>
        <w:ind w:left="0" w:leftChars="0" w:firstLine="420" w:firstLineChars="200"/>
        <w:jc w:val="both"/>
        <w:textAlignment w:val="auto"/>
        <w:rPr>
          <w:rFonts w:hint="eastAsia" w:ascii="方正书宋简体" w:hAnsi="方正书宋简体" w:eastAsia="方正书宋简体" w:cs="方正书宋简体"/>
          <w:sz w:val="21"/>
          <w:szCs w:val="21"/>
        </w:rPr>
      </w:pPr>
      <w:r>
        <w:rPr>
          <w:rFonts w:hint="eastAsia" w:ascii="方正书宋简体" w:hAnsi="方正书宋简体" w:eastAsia="方正书宋简体" w:cs="方正书宋简体"/>
          <w:sz w:val="21"/>
          <w:szCs w:val="21"/>
          <w:lang w:val="en-US" w:eastAsia="zh-CN"/>
        </w:rPr>
        <w:t>为深入贯彻落实党中央、国务院及自治区、鄂尔多斯市关于优化营商环境的决策部署，聚焦我旗营商环境建设目标，破解制约我旗营商环境提升的痛点、难点、堵点问题，凝聚各方智慧力量，搭建建言献策平台，结合我旗实际，特制定本制度。</w:t>
      </w:r>
    </w:p>
    <w:p w14:paraId="7F2FB6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0" w:lineRule="exact"/>
        <w:ind w:left="0" w:leftChars="0" w:firstLine="420" w:firstLineChars="200"/>
        <w:jc w:val="both"/>
        <w:textAlignment w:val="auto"/>
        <w:rPr>
          <w:rFonts w:hint="eastAsia" w:ascii="方正书宋简体" w:hAnsi="方正书宋简体" w:eastAsia="方正书宋简体" w:cs="方正书宋简体"/>
          <w:sz w:val="21"/>
          <w:szCs w:val="21"/>
          <w:lang w:val="en-US" w:eastAsia="zh-CN"/>
        </w:rPr>
      </w:pPr>
      <w:r>
        <w:rPr>
          <w:rFonts w:hint="eastAsia" w:ascii="方正书宋简体" w:hAnsi="方正书宋简体" w:eastAsia="方正书宋简体" w:cs="方正书宋简体"/>
          <w:sz w:val="21"/>
          <w:szCs w:val="21"/>
          <w:lang w:val="en-US" w:eastAsia="zh-CN"/>
        </w:rPr>
        <w:t>第一条 本制度所称优化营商环境务虚会（以下简称“务虚会”），是指每年定期召开，以集思广益、谋划思路、破解难题为核心，侧重理念创新、路径探索、策略研讨的专题会议，不局限于具体工作部署。</w:t>
      </w:r>
    </w:p>
    <w:p w14:paraId="6AB064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0" w:lineRule="exact"/>
        <w:ind w:left="0" w:leftChars="0" w:firstLine="420" w:firstLineChars="200"/>
        <w:jc w:val="both"/>
        <w:textAlignment w:val="auto"/>
        <w:rPr>
          <w:rFonts w:hint="eastAsia" w:ascii="方正书宋简体" w:hAnsi="方正书宋简体" w:eastAsia="方正书宋简体" w:cs="方正书宋简体"/>
          <w:sz w:val="21"/>
          <w:szCs w:val="21"/>
          <w:lang w:val="en-US" w:eastAsia="zh-CN"/>
        </w:rPr>
      </w:pPr>
      <w:r>
        <w:rPr>
          <w:rFonts w:hint="eastAsia" w:ascii="方正书宋简体" w:hAnsi="方正书宋简体" w:eastAsia="方正书宋简体" w:cs="方正书宋简体"/>
          <w:sz w:val="21"/>
          <w:szCs w:val="21"/>
          <w:lang w:val="en-US" w:eastAsia="zh-CN"/>
        </w:rPr>
        <w:t>第二条 务虚会鼓励打破思维定势、大胆建言献策，注重理论与实践相结合、问题导向与目标导向相统一，确保会议成果能够转化为优化营商环境的具体举措。</w:t>
      </w:r>
    </w:p>
    <w:p w14:paraId="714385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0" w:lineRule="exact"/>
        <w:ind w:left="0" w:leftChars="0" w:firstLine="420" w:firstLineChars="200"/>
        <w:jc w:val="both"/>
        <w:textAlignment w:val="auto"/>
        <w:rPr>
          <w:rFonts w:hint="eastAsia" w:ascii="方正书宋简体" w:hAnsi="方正书宋简体" w:eastAsia="方正书宋简体" w:cs="方正书宋简体"/>
          <w:sz w:val="21"/>
          <w:szCs w:val="21"/>
          <w:lang w:eastAsia="zh-CN"/>
        </w:rPr>
      </w:pPr>
      <w:r>
        <w:rPr>
          <w:rFonts w:hint="eastAsia" w:ascii="方正书宋简体" w:hAnsi="方正书宋简体" w:eastAsia="方正书宋简体" w:cs="方正书宋简体"/>
          <w:sz w:val="21"/>
          <w:szCs w:val="21"/>
        </w:rPr>
        <w:t>第</w:t>
      </w:r>
      <w:r>
        <w:rPr>
          <w:rFonts w:hint="eastAsia" w:ascii="方正书宋简体" w:hAnsi="方正书宋简体" w:eastAsia="方正书宋简体" w:cs="方正书宋简体"/>
          <w:sz w:val="21"/>
          <w:szCs w:val="21"/>
          <w:lang w:val="en-US" w:eastAsia="zh-CN"/>
        </w:rPr>
        <w:t>三</w:t>
      </w:r>
      <w:r>
        <w:rPr>
          <w:rFonts w:hint="eastAsia" w:ascii="方正书宋简体" w:hAnsi="方正书宋简体" w:eastAsia="方正书宋简体" w:cs="方正书宋简体"/>
          <w:sz w:val="21"/>
          <w:szCs w:val="21"/>
        </w:rPr>
        <w:t xml:space="preserve">条 </w:t>
      </w:r>
      <w:r>
        <w:rPr>
          <w:rFonts w:hint="eastAsia" w:ascii="方正书宋简体" w:hAnsi="方正书宋简体" w:eastAsia="方正书宋简体" w:cs="方正书宋简体"/>
          <w:sz w:val="21"/>
          <w:szCs w:val="21"/>
          <w:lang w:val="en-US" w:eastAsia="zh-CN"/>
        </w:rPr>
        <w:t>务虚会</w:t>
      </w:r>
      <w:r>
        <w:rPr>
          <w:rFonts w:hint="eastAsia" w:ascii="方正书宋简体" w:hAnsi="方正书宋简体" w:eastAsia="方正书宋简体" w:cs="方正书宋简体"/>
          <w:sz w:val="21"/>
          <w:szCs w:val="21"/>
        </w:rPr>
        <w:t>由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  <w:t>营商环境工作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  <w:lang w:val="en-US" w:eastAsia="zh-CN"/>
        </w:rPr>
        <w:t>专班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  <w:t>（</w:t>
      </w:r>
      <w:r>
        <w:rPr>
          <w:rFonts w:hint="eastAsia" w:ascii="方正书宋简体" w:hAnsi="方正书宋简体" w:eastAsia="方正书宋简体" w:cs="方正书宋简体"/>
          <w:sz w:val="21"/>
          <w:szCs w:val="21"/>
        </w:rPr>
        <w:t>或牵头单位）</w:t>
      </w:r>
      <w:r>
        <w:rPr>
          <w:rFonts w:hint="eastAsia" w:ascii="方正书宋简体" w:hAnsi="方正书宋简体" w:eastAsia="方正书宋简体" w:cs="方正书宋简体"/>
          <w:sz w:val="21"/>
          <w:szCs w:val="21"/>
          <w:lang w:val="en-US" w:eastAsia="zh-CN"/>
        </w:rPr>
        <w:t>定期</w:t>
      </w:r>
      <w:r>
        <w:rPr>
          <w:rFonts w:hint="eastAsia" w:ascii="方正书宋简体" w:hAnsi="方正书宋简体" w:eastAsia="方正书宋简体" w:cs="方正书宋简体"/>
          <w:sz w:val="21"/>
          <w:szCs w:val="21"/>
        </w:rPr>
        <w:t>组织召开</w:t>
      </w:r>
      <w:r>
        <w:rPr>
          <w:rFonts w:hint="eastAsia" w:ascii="方正书宋简体" w:hAnsi="方正书宋简体" w:eastAsia="方正书宋简体" w:cs="方正书宋简体"/>
          <w:sz w:val="21"/>
          <w:szCs w:val="21"/>
          <w:lang w:eastAsia="zh-CN"/>
        </w:rPr>
        <w:t>，</w:t>
      </w:r>
      <w:r>
        <w:rPr>
          <w:rFonts w:hint="eastAsia" w:ascii="方正书宋简体" w:hAnsi="方正书宋简体" w:eastAsia="方正书宋简体" w:cs="方正书宋简体"/>
          <w:sz w:val="21"/>
          <w:szCs w:val="21"/>
          <w:lang w:val="en-US" w:eastAsia="zh-CN"/>
        </w:rPr>
        <w:t>于</w:t>
      </w:r>
      <w:r>
        <w:rPr>
          <w:rFonts w:hint="eastAsia" w:ascii="方正书宋简体" w:hAnsi="方正书宋简体" w:eastAsia="方正书宋简体" w:cs="方正书宋简体"/>
          <w:sz w:val="21"/>
          <w:szCs w:val="21"/>
        </w:rPr>
        <w:t>每年</w:t>
      </w:r>
      <w:r>
        <w:rPr>
          <w:rFonts w:hint="eastAsia" w:ascii="方正书宋简体" w:hAnsi="方正书宋简体" w:eastAsia="方正书宋简体" w:cs="方正书宋简体"/>
          <w:sz w:val="21"/>
          <w:szCs w:val="21"/>
          <w:lang w:val="en-US" w:eastAsia="zh-CN"/>
        </w:rPr>
        <w:t>一季度结束前</w:t>
      </w:r>
      <w:r>
        <w:rPr>
          <w:rFonts w:hint="eastAsia" w:ascii="方正书宋简体" w:hAnsi="方正书宋简体" w:eastAsia="方正书宋简体" w:cs="方正书宋简体"/>
          <w:sz w:val="21"/>
          <w:szCs w:val="21"/>
        </w:rPr>
        <w:t>召开</w:t>
      </w:r>
      <w:r>
        <w:rPr>
          <w:rFonts w:hint="eastAsia" w:ascii="方正书宋简体" w:hAnsi="方正书宋简体" w:eastAsia="方正书宋简体" w:cs="方正书宋简体"/>
          <w:sz w:val="21"/>
          <w:szCs w:val="21"/>
          <w:lang w:val="en-US" w:eastAsia="zh-CN"/>
        </w:rPr>
        <w:t>一次</w:t>
      </w:r>
      <w:r>
        <w:rPr>
          <w:rFonts w:hint="eastAsia" w:ascii="方正书宋简体" w:hAnsi="方正书宋简体" w:eastAsia="方正书宋简体" w:cs="方正书宋简体"/>
          <w:sz w:val="21"/>
          <w:szCs w:val="21"/>
          <w:lang w:eastAsia="zh-CN"/>
        </w:rPr>
        <w:t>。</w:t>
      </w:r>
    </w:p>
    <w:p w14:paraId="57258C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0" w:lineRule="exact"/>
        <w:ind w:left="0" w:leftChars="0" w:firstLine="420" w:firstLineChars="200"/>
        <w:jc w:val="left"/>
        <w:textAlignment w:val="auto"/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  <w:lang w:val="en-US" w:eastAsia="zh-CN"/>
        </w:rPr>
      </w:pP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  <w:t>第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  <w:lang w:val="en-US" w:eastAsia="zh-CN"/>
        </w:rPr>
        <w:t>四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  <w:t xml:space="preserve">条 </w:t>
      </w: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  <w:lang w:val="en-US" w:eastAsia="zh-CN"/>
        </w:rPr>
        <w:t>会议要求</w:t>
      </w:r>
    </w:p>
    <w:p w14:paraId="4CF50A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0" w:lineRule="exact"/>
        <w:ind w:left="0" w:leftChars="0" w:firstLine="420" w:firstLineChars="200"/>
        <w:jc w:val="both"/>
        <w:textAlignment w:val="auto"/>
        <w:rPr>
          <w:rFonts w:hint="eastAsia" w:ascii="方正书宋简体" w:hAnsi="方正书宋简体" w:eastAsia="方正书宋简体" w:cs="方正书宋简体"/>
          <w:sz w:val="21"/>
          <w:szCs w:val="21"/>
          <w:lang w:val="en-US" w:eastAsia="zh-CN"/>
        </w:rPr>
      </w:pPr>
      <w:r>
        <w:rPr>
          <w:rFonts w:hint="eastAsia" w:ascii="方正书宋简体" w:hAnsi="方正书宋简体" w:eastAsia="方正书宋简体" w:cs="方正书宋简体"/>
          <w:sz w:val="21"/>
          <w:szCs w:val="21"/>
          <w:lang w:val="en-US" w:eastAsia="zh-CN"/>
        </w:rPr>
        <w:t>务虚会聚焦优化营商环境重点、难点、热点问题，以交流研讨、建言献策为主要形式，重点围绕以下内容开展：</w:t>
      </w:r>
    </w:p>
    <w:p w14:paraId="291063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0" w:lineRule="exact"/>
        <w:ind w:left="0" w:leftChars="0" w:firstLine="420" w:firstLineChars="200"/>
        <w:jc w:val="both"/>
        <w:textAlignment w:val="auto"/>
        <w:rPr>
          <w:rFonts w:hint="eastAsia" w:ascii="方正书宋简体" w:hAnsi="方正书宋简体" w:eastAsia="方正书宋简体" w:cs="方正书宋简体"/>
          <w:sz w:val="21"/>
          <w:szCs w:val="21"/>
          <w:lang w:val="en-US" w:eastAsia="zh-CN"/>
        </w:rPr>
      </w:pPr>
      <w:r>
        <w:rPr>
          <w:rFonts w:hint="eastAsia" w:ascii="方正书宋简体" w:hAnsi="方正书宋简体" w:eastAsia="方正书宋简体" w:cs="方正书宋简体"/>
          <w:sz w:val="21"/>
          <w:szCs w:val="21"/>
          <w:lang w:val="en-US" w:eastAsia="zh-CN"/>
        </w:rPr>
        <w:t>（一）总结复盘：回顾上一年度我旗优化营商环境工作成效，梳理惠企政策落实、政务服务提升、法治保障等方面亮点经验，分析存在的突出问题、薄弱环节及根源，重点关注企业反映强烈的审批效率、要素保障、执法监管等痛点堵点。</w:t>
      </w:r>
    </w:p>
    <w:p w14:paraId="7F89A1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0" w:lineRule="exact"/>
        <w:ind w:left="0" w:leftChars="0" w:firstLine="420" w:firstLineChars="200"/>
        <w:jc w:val="both"/>
        <w:textAlignment w:val="auto"/>
        <w:rPr>
          <w:rFonts w:hint="eastAsia" w:ascii="方正书宋简体" w:hAnsi="方正书宋简体" w:eastAsia="方正书宋简体" w:cs="方正书宋简体"/>
          <w:sz w:val="21"/>
          <w:szCs w:val="21"/>
          <w:lang w:val="en-US" w:eastAsia="zh-CN"/>
        </w:rPr>
      </w:pPr>
      <w:r>
        <w:rPr>
          <w:rFonts w:hint="eastAsia" w:ascii="方正书宋简体" w:hAnsi="方正书宋简体" w:eastAsia="方正书宋简体" w:cs="方正书宋简体"/>
          <w:sz w:val="21"/>
          <w:szCs w:val="21"/>
          <w:lang w:val="en-US" w:eastAsia="zh-CN"/>
        </w:rPr>
        <w:t>（二）理念创新：围绕市场化、法治化、国际化营商环境建设要求，结合我旗产业发展实际，研究讨论优化营商环境工作的新理念、新路径，借鉴先进地区经验，结合我旗现有工作基础，探索贴合本地实际的营商环境提升模式。</w:t>
      </w:r>
    </w:p>
    <w:p w14:paraId="2A1980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0" w:lineRule="exact"/>
        <w:ind w:left="0" w:leftChars="0" w:firstLine="420" w:firstLineChars="200"/>
        <w:jc w:val="both"/>
        <w:textAlignment w:val="auto"/>
        <w:rPr>
          <w:rFonts w:hint="eastAsia" w:ascii="方正书宋简体" w:hAnsi="方正书宋简体" w:eastAsia="方正书宋简体" w:cs="方正书宋简体"/>
          <w:sz w:val="21"/>
          <w:szCs w:val="21"/>
          <w:lang w:val="en-US" w:eastAsia="zh-CN"/>
        </w:rPr>
      </w:pPr>
      <w:r>
        <w:rPr>
          <w:rFonts w:hint="eastAsia" w:ascii="方正书宋简体" w:hAnsi="方正书宋简体" w:eastAsia="方正书宋简体" w:cs="方正书宋简体"/>
          <w:sz w:val="21"/>
          <w:szCs w:val="21"/>
          <w:lang w:val="en-US" w:eastAsia="zh-CN"/>
        </w:rPr>
        <w:t>（三）重点谋划：聚焦本年度优化营商环境工作重点，围绕政务服务提质增效、惠企政策精准直达、要素保障强化、市场主体培育、法治环境优化、政商关系构建等方面，建言献策，明确工作思路、创新举措和工作目标。</w:t>
      </w:r>
    </w:p>
    <w:p w14:paraId="437C65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0" w:lineRule="exact"/>
        <w:ind w:left="0" w:leftChars="0" w:firstLine="420" w:firstLineChars="200"/>
        <w:jc w:val="both"/>
        <w:textAlignment w:val="auto"/>
        <w:rPr>
          <w:rFonts w:hint="eastAsia" w:ascii="方正书宋简体" w:hAnsi="方正书宋简体" w:eastAsia="方正书宋简体" w:cs="方正书宋简体"/>
          <w:sz w:val="21"/>
          <w:szCs w:val="21"/>
          <w:lang w:val="en-US" w:eastAsia="zh-CN"/>
        </w:rPr>
      </w:pPr>
      <w:r>
        <w:rPr>
          <w:rFonts w:hint="eastAsia" w:ascii="方正书宋简体" w:hAnsi="方正书宋简体" w:eastAsia="方正书宋简体" w:cs="方正书宋简体"/>
          <w:sz w:val="21"/>
          <w:szCs w:val="21"/>
          <w:lang w:val="en-US" w:eastAsia="zh-CN"/>
        </w:rPr>
        <w:t>（四）问题破解：针对我旗营商环境建设中存在的审批流程繁琐、部门协同不畅、政策落地梗阻、企业诉求响应不及时等突出问题，探索切实可行的破解路径和解决办法。</w:t>
      </w:r>
    </w:p>
    <w:p w14:paraId="29D188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0" w:lineRule="exact"/>
        <w:ind w:left="0" w:leftChars="0" w:firstLine="420" w:firstLineChars="200"/>
        <w:jc w:val="both"/>
        <w:textAlignment w:val="auto"/>
        <w:rPr>
          <w:rFonts w:hint="eastAsia" w:ascii="方正书宋简体" w:hAnsi="方正书宋简体" w:eastAsia="方正书宋简体" w:cs="方正书宋简体"/>
          <w:sz w:val="21"/>
          <w:szCs w:val="21"/>
          <w:lang w:val="en-US" w:eastAsia="zh-CN"/>
        </w:rPr>
      </w:pPr>
      <w:r>
        <w:rPr>
          <w:rFonts w:hint="eastAsia" w:ascii="方正书宋简体" w:hAnsi="方正书宋简体" w:eastAsia="方正书宋简体" w:cs="方正书宋简体"/>
          <w:sz w:val="21"/>
          <w:szCs w:val="21"/>
          <w:lang w:val="en-US" w:eastAsia="zh-CN"/>
        </w:rPr>
        <w:t>（五）其他事项：研究讨论优化营商环境工作中需要统筹协调、创新突破的其他重大问题，听取参会人员提出的合理化建议，凝聚工作共识。</w:t>
      </w:r>
    </w:p>
    <w:p w14:paraId="53BFEC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0" w:lineRule="exact"/>
        <w:ind w:left="0" w:leftChars="0" w:firstLine="420" w:firstLineChars="200"/>
        <w:jc w:val="left"/>
        <w:textAlignment w:val="auto"/>
        <w:rPr>
          <w:rFonts w:hint="eastAsia" w:ascii="方正书宋简体" w:hAnsi="方正书宋简体" w:eastAsia="方正书宋简体" w:cs="方正书宋简体"/>
          <w:sz w:val="21"/>
          <w:szCs w:val="21"/>
        </w:rPr>
      </w:pPr>
      <w:r>
        <w:rPr>
          <w:rFonts w:hint="eastAsia" w:ascii="方正书宋简体" w:hAnsi="方正书宋简体" w:eastAsia="方正书宋简体" w:cs="方正书宋简体"/>
          <w:sz w:val="21"/>
          <w:szCs w:val="21"/>
        </w:rPr>
        <w:t>第六条 参会对象</w:t>
      </w:r>
    </w:p>
    <w:p w14:paraId="0AE1D1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0" w:lineRule="exact"/>
        <w:ind w:left="0" w:leftChars="0" w:firstLine="420" w:firstLineChars="200"/>
        <w:jc w:val="left"/>
        <w:textAlignment w:val="auto"/>
        <w:rPr>
          <w:rFonts w:hint="eastAsia" w:ascii="方正书宋简体" w:hAnsi="方正书宋简体" w:eastAsia="方正书宋简体" w:cs="方正书宋简体"/>
          <w:sz w:val="21"/>
          <w:szCs w:val="21"/>
        </w:rPr>
      </w:pPr>
      <w:r>
        <w:rPr>
          <w:rFonts w:hint="eastAsia" w:ascii="方正书宋简体" w:hAnsi="方正书宋简体" w:eastAsia="方正书宋简体" w:cs="方正书宋简体"/>
          <w:sz w:val="21"/>
          <w:szCs w:val="21"/>
          <w:lang w:eastAsia="zh-CN"/>
        </w:rPr>
        <w:t>（</w:t>
      </w:r>
      <w:r>
        <w:rPr>
          <w:rFonts w:hint="eastAsia" w:ascii="方正书宋简体" w:hAnsi="方正书宋简体" w:eastAsia="方正书宋简体" w:cs="方正书宋简体"/>
          <w:sz w:val="21"/>
          <w:szCs w:val="21"/>
          <w:lang w:val="en-US" w:eastAsia="zh-CN"/>
        </w:rPr>
        <w:t>一</w:t>
      </w:r>
      <w:r>
        <w:rPr>
          <w:rFonts w:hint="eastAsia" w:ascii="方正书宋简体" w:hAnsi="方正书宋简体" w:eastAsia="方正书宋简体" w:cs="方正书宋简体"/>
          <w:sz w:val="21"/>
          <w:szCs w:val="21"/>
          <w:lang w:eastAsia="zh-CN"/>
        </w:rPr>
        <w:t>）</w:t>
      </w:r>
      <w:r>
        <w:rPr>
          <w:rFonts w:hint="eastAsia" w:ascii="方正书宋简体" w:hAnsi="方正书宋简体" w:eastAsia="方正书宋简体" w:cs="方正书宋简体"/>
          <w:sz w:val="21"/>
          <w:szCs w:val="21"/>
        </w:rPr>
        <w:t>领导小组组长、副组长及成员单位负责人；</w:t>
      </w:r>
    </w:p>
    <w:p w14:paraId="4762E8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0" w:lineRule="exact"/>
        <w:ind w:left="0" w:leftChars="0" w:firstLine="420" w:firstLineChars="200"/>
        <w:jc w:val="left"/>
        <w:textAlignment w:val="auto"/>
        <w:rPr>
          <w:rFonts w:hint="eastAsia" w:ascii="方正书宋简体" w:hAnsi="方正书宋简体" w:eastAsia="方正书宋简体" w:cs="方正书宋简体"/>
          <w:sz w:val="21"/>
          <w:szCs w:val="21"/>
        </w:rPr>
      </w:pPr>
      <w:r>
        <w:rPr>
          <w:rFonts w:hint="eastAsia" w:ascii="方正书宋简体" w:hAnsi="方正书宋简体" w:eastAsia="方正书宋简体" w:cs="方正书宋简体"/>
          <w:sz w:val="21"/>
          <w:szCs w:val="21"/>
          <w:lang w:eastAsia="zh-CN"/>
        </w:rPr>
        <w:t>（</w:t>
      </w:r>
      <w:r>
        <w:rPr>
          <w:rFonts w:hint="eastAsia" w:ascii="方正书宋简体" w:hAnsi="方正书宋简体" w:eastAsia="方正书宋简体" w:cs="方正书宋简体"/>
          <w:sz w:val="21"/>
          <w:szCs w:val="21"/>
          <w:lang w:val="en-US" w:eastAsia="zh-CN"/>
        </w:rPr>
        <w:t>二</w:t>
      </w:r>
      <w:r>
        <w:rPr>
          <w:rFonts w:hint="eastAsia" w:ascii="方正书宋简体" w:hAnsi="方正书宋简体" w:eastAsia="方正书宋简体" w:cs="方正书宋简体"/>
          <w:sz w:val="21"/>
          <w:szCs w:val="21"/>
          <w:lang w:eastAsia="zh-CN"/>
        </w:rPr>
        <w:t>）</w:t>
      </w:r>
      <w:r>
        <w:rPr>
          <w:rFonts w:hint="eastAsia" w:ascii="方正书宋简体" w:hAnsi="方正书宋简体" w:eastAsia="方正书宋简体" w:cs="方正书宋简体"/>
          <w:sz w:val="21"/>
          <w:szCs w:val="21"/>
        </w:rPr>
        <w:t>相关窗口单位负责人；</w:t>
      </w:r>
    </w:p>
    <w:p w14:paraId="28BA68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0" w:lineRule="exact"/>
        <w:ind w:left="0" w:leftChars="0" w:firstLine="420" w:firstLineChars="200"/>
        <w:jc w:val="left"/>
        <w:textAlignment w:val="auto"/>
        <w:rPr>
          <w:rFonts w:hint="eastAsia" w:ascii="方正书宋简体" w:hAnsi="方正书宋简体" w:eastAsia="方正书宋简体" w:cs="方正书宋简体"/>
          <w:sz w:val="21"/>
          <w:szCs w:val="21"/>
        </w:rPr>
      </w:pPr>
      <w:r>
        <w:rPr>
          <w:rFonts w:hint="eastAsia" w:ascii="方正书宋简体" w:hAnsi="方正书宋简体" w:eastAsia="方正书宋简体" w:cs="方正书宋简体"/>
          <w:sz w:val="21"/>
          <w:szCs w:val="21"/>
          <w:lang w:eastAsia="zh-CN"/>
        </w:rPr>
        <w:t>（</w:t>
      </w:r>
      <w:r>
        <w:rPr>
          <w:rFonts w:hint="eastAsia" w:ascii="方正书宋简体" w:hAnsi="方正书宋简体" w:eastAsia="方正书宋简体" w:cs="方正书宋简体"/>
          <w:sz w:val="21"/>
          <w:szCs w:val="21"/>
          <w:lang w:val="en-US" w:eastAsia="zh-CN"/>
        </w:rPr>
        <w:t>三</w:t>
      </w:r>
      <w:r>
        <w:rPr>
          <w:rFonts w:hint="eastAsia" w:ascii="方正书宋简体" w:hAnsi="方正书宋简体" w:eastAsia="方正书宋简体" w:cs="方正书宋简体"/>
          <w:sz w:val="21"/>
          <w:szCs w:val="21"/>
          <w:lang w:eastAsia="zh-CN"/>
        </w:rPr>
        <w:t>）</w:t>
      </w:r>
      <w:r>
        <w:rPr>
          <w:rFonts w:hint="eastAsia" w:ascii="方正书宋简体" w:hAnsi="方正书宋简体" w:eastAsia="方正书宋简体" w:cs="方正书宋简体"/>
          <w:sz w:val="21"/>
          <w:szCs w:val="21"/>
        </w:rPr>
        <w:t>重点企业（按需邀请）；</w:t>
      </w:r>
    </w:p>
    <w:p w14:paraId="4EA487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0" w:lineRule="exact"/>
        <w:ind w:left="0" w:leftChars="0" w:firstLine="420" w:firstLineChars="200"/>
        <w:jc w:val="left"/>
        <w:textAlignment w:val="auto"/>
        <w:rPr>
          <w:rFonts w:hint="eastAsia" w:ascii="方正书宋简体" w:hAnsi="方正书宋简体" w:eastAsia="方正书宋简体" w:cs="方正书宋简体"/>
          <w:sz w:val="21"/>
          <w:szCs w:val="21"/>
        </w:rPr>
      </w:pPr>
      <w:r>
        <w:rPr>
          <w:rFonts w:hint="eastAsia" w:ascii="方正书宋简体" w:hAnsi="方正书宋简体" w:eastAsia="方正书宋简体" w:cs="方正书宋简体"/>
          <w:sz w:val="21"/>
          <w:szCs w:val="21"/>
          <w:lang w:eastAsia="zh-CN"/>
        </w:rPr>
        <w:t>（</w:t>
      </w:r>
      <w:r>
        <w:rPr>
          <w:rFonts w:hint="eastAsia" w:ascii="方正书宋简体" w:hAnsi="方正书宋简体" w:eastAsia="方正书宋简体" w:cs="方正书宋简体"/>
          <w:sz w:val="21"/>
          <w:szCs w:val="21"/>
          <w:lang w:val="en-US" w:eastAsia="zh-CN"/>
        </w:rPr>
        <w:t>四</w:t>
      </w:r>
      <w:r>
        <w:rPr>
          <w:rFonts w:hint="eastAsia" w:ascii="方正书宋简体" w:hAnsi="方正书宋简体" w:eastAsia="方正书宋简体" w:cs="方正书宋简体"/>
          <w:sz w:val="21"/>
          <w:szCs w:val="21"/>
          <w:lang w:eastAsia="zh-CN"/>
        </w:rPr>
        <w:t>）</w:t>
      </w:r>
      <w:r>
        <w:rPr>
          <w:rFonts w:hint="eastAsia" w:ascii="方正书宋简体" w:hAnsi="方正书宋简体" w:eastAsia="方正书宋简体" w:cs="方正书宋简体"/>
          <w:sz w:val="21"/>
          <w:szCs w:val="21"/>
        </w:rPr>
        <w:t>涉及营商环境的执法、监管、服务保障单位。</w:t>
      </w:r>
    </w:p>
    <w:p w14:paraId="4C4600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0" w:lineRule="exact"/>
        <w:ind w:left="0" w:leftChars="0" w:firstLine="420" w:firstLineChars="200"/>
        <w:jc w:val="left"/>
        <w:textAlignment w:val="auto"/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</w:pPr>
      <w:r>
        <w:rPr>
          <w:rFonts w:hint="eastAsia" w:ascii="方正书宋简体" w:hAnsi="方正书宋简体" w:eastAsia="方正书宋简体" w:cs="方正书宋简体"/>
          <w:sz w:val="21"/>
          <w:szCs w:val="21"/>
          <w:highlight w:val="none"/>
        </w:rPr>
        <w:t>第七条 核心研讨内容</w:t>
      </w:r>
    </w:p>
    <w:p w14:paraId="14D2AB2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10" w:lineRule="exact"/>
        <w:ind w:left="0" w:leftChars="0" w:firstLine="420" w:firstLineChars="200"/>
        <w:jc w:val="both"/>
        <w:textAlignment w:val="auto"/>
        <w:rPr>
          <w:rFonts w:hint="eastAsia" w:ascii="方正书宋简体" w:hAnsi="方正书宋简体" w:eastAsia="方正书宋简体" w:cs="方正书宋简体"/>
          <w:sz w:val="21"/>
          <w:szCs w:val="21"/>
        </w:rPr>
      </w:pPr>
      <w:r>
        <w:rPr>
          <w:rFonts w:hint="eastAsia" w:ascii="方正书宋简体" w:hAnsi="方正书宋简体" w:eastAsia="方正书宋简体" w:cs="方正书宋简体"/>
          <w:kern w:val="0"/>
          <w:sz w:val="21"/>
          <w:szCs w:val="21"/>
          <w:lang w:val="en-US" w:eastAsia="zh-CN" w:bidi="ar"/>
        </w:rPr>
        <w:t>（一）传达学习上级关于优化营商环境的最新政策、会议精神、考核要求，准确把握营商环境建设的新形势、新任务、新导向；全面解读营商环境考核评价体系、评分标准、考核流程，明确考核重点、失分风险点和改进方向，确保各项工作始终与上级要求同频共振、同向发力，推动政策红利精准直达市场主体。</w:t>
      </w:r>
    </w:p>
    <w:p w14:paraId="6F47F80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10" w:lineRule="exact"/>
        <w:ind w:left="0" w:leftChars="0" w:firstLine="420" w:firstLineChars="200"/>
        <w:jc w:val="both"/>
        <w:textAlignment w:val="auto"/>
        <w:rPr>
          <w:rFonts w:hint="eastAsia" w:ascii="方正书宋简体" w:hAnsi="方正书宋简体" w:eastAsia="方正书宋简体" w:cs="方正书宋简体"/>
          <w:sz w:val="21"/>
          <w:szCs w:val="21"/>
        </w:rPr>
      </w:pPr>
      <w:r>
        <w:rPr>
          <w:rFonts w:hint="eastAsia" w:ascii="方正书宋简体" w:hAnsi="方正书宋简体" w:eastAsia="方正书宋简体" w:cs="方正书宋简体"/>
          <w:kern w:val="0"/>
          <w:sz w:val="21"/>
          <w:szCs w:val="21"/>
          <w:lang w:val="en-US" w:eastAsia="zh-CN" w:bidi="ar"/>
        </w:rPr>
        <w:t>（二）分析当前营商环境建设存在的突出问题、薄弱环节，聚焦市场准入、政务服务、要素保障、执法监管、法治环境、政商关系等关键领域，全面梳理当前营商环境建设中存在的突出问题，重点剖析流程繁琐、效率不高、服务不优、政策落实不到位等薄弱环节；精准排查各类潜在风险隐患，包括政策执行偏差、部门协同不畅、涉企投诉处置不及时、市场主体获得感不强等方面，深入分析问题产生的根源、影响范围和发展趋势，形成问题清单、明确整改方向，为后续精准施策、补齐短板提供依据。</w:t>
      </w:r>
    </w:p>
    <w:p w14:paraId="1BDA538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10" w:lineRule="exact"/>
        <w:ind w:left="0" w:leftChars="0" w:firstLine="420" w:firstLineChars="200"/>
        <w:jc w:val="both"/>
        <w:textAlignment w:val="auto"/>
        <w:rPr>
          <w:rFonts w:hint="eastAsia" w:ascii="方正书宋简体" w:hAnsi="方正书宋简体" w:eastAsia="方正书宋简体" w:cs="方正书宋简体"/>
          <w:sz w:val="21"/>
          <w:szCs w:val="21"/>
        </w:rPr>
      </w:pPr>
      <w:r>
        <w:rPr>
          <w:rFonts w:hint="eastAsia" w:ascii="方正书宋简体" w:hAnsi="方正书宋简体" w:eastAsia="方正书宋简体" w:cs="方正书宋简体"/>
          <w:kern w:val="0"/>
          <w:sz w:val="21"/>
          <w:szCs w:val="21"/>
          <w:lang w:val="en-US" w:eastAsia="zh-CN" w:bidi="ar"/>
        </w:rPr>
        <w:t>（三）研究跨部门、跨领域协同联动机制、难点堵点解决方案。针对营商环境建设中涉及的跨部门、跨领域工作事项，重点研究健全协同联动工作机制，明确各部门职责分工、沟通渠道、协作流程和责任追究办法，打破部门壁垒、打通工作堵点，提升工作协同效能；围绕企业开办、项目审批、税费缴纳、融资信贷、不动产登记等高频事项中的难点堵点问题，集思广益研讨切实可行的解决方案，明确解决路径、责任主体和完成时限，推动各类事项高效办理、闭环落实，提升政务服务一体化水平。</w:t>
      </w:r>
    </w:p>
    <w:p w14:paraId="0A91605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10" w:lineRule="exact"/>
        <w:ind w:left="0" w:leftChars="0" w:firstLine="420" w:firstLineChars="200"/>
        <w:jc w:val="both"/>
        <w:textAlignment w:val="auto"/>
        <w:rPr>
          <w:rFonts w:hint="eastAsia" w:ascii="方正书宋简体" w:hAnsi="方正书宋简体" w:eastAsia="方正书宋简体" w:cs="方正书宋简体"/>
          <w:sz w:val="21"/>
          <w:szCs w:val="21"/>
        </w:rPr>
      </w:pPr>
      <w:r>
        <w:rPr>
          <w:rFonts w:hint="eastAsia" w:ascii="方正书宋简体" w:hAnsi="方正书宋简体" w:eastAsia="方正书宋简体" w:cs="方正书宋简体"/>
          <w:kern w:val="0"/>
          <w:sz w:val="21"/>
          <w:szCs w:val="21"/>
          <w:lang w:val="en-US" w:eastAsia="zh-CN" w:bidi="ar"/>
        </w:rPr>
        <w:t>（四）广泛听取企业、群众意见建议，研究惠企便民服务提升路径。收集各类市场主体（含中小微企业、个体工商户、重点企业等）和群众意见建议，重点关注企业在生产经营、政策享受、诉求解决等方面需求，以及群众在政务服务、办事便利度等方面的合理诉求；对收集到的意见建议进行分类梳理、汇总分析，研究针对性的回应和解决措施，探索惠企便民服务提升路径增强市场主体和群众的获得感、满意度。</w:t>
      </w:r>
    </w:p>
    <w:p w14:paraId="104FE1C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10" w:lineRule="exact"/>
        <w:ind w:left="0" w:leftChars="0" w:firstLine="420" w:firstLineChars="200"/>
        <w:jc w:val="both"/>
        <w:textAlignment w:val="auto"/>
        <w:rPr>
          <w:rFonts w:hint="eastAsia" w:ascii="方正书宋简体" w:hAnsi="方正书宋简体" w:eastAsia="方正书宋简体" w:cs="方正书宋简体"/>
          <w:sz w:val="21"/>
          <w:szCs w:val="21"/>
        </w:rPr>
      </w:pPr>
      <w:r>
        <w:rPr>
          <w:rFonts w:hint="eastAsia" w:ascii="方正书宋简体" w:hAnsi="方正书宋简体" w:eastAsia="方正书宋简体" w:cs="方正书宋简体"/>
          <w:kern w:val="0"/>
          <w:sz w:val="21"/>
          <w:szCs w:val="21"/>
          <w:lang w:val="en-US" w:eastAsia="zh-CN" w:bidi="ar"/>
        </w:rPr>
        <w:t>（五）谋划品牌打造、典型案例培育等重点工作。结合本地营商环境建设实际，谋划营商环境特色品牌打造工作，明确品牌定位、创建思路、重点举措和推广方案，打造具有辨识度、影响力的营商环境品牌；聚焦政策落实、服务创新、协同高效等方面，培育一批可复制、可推广的优化营商环境典型案例，深入挖掘案例背后的经验做法和创新举措，总结提炼工作成效，推动营商环境建设持续走深走实。</w:t>
      </w:r>
    </w:p>
    <w:p w14:paraId="0FDDDE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0" w:lineRule="exact"/>
        <w:ind w:left="0" w:leftChars="0" w:firstLine="420" w:firstLineChars="200"/>
        <w:jc w:val="left"/>
        <w:textAlignment w:val="auto"/>
        <w:rPr>
          <w:rFonts w:hint="eastAsia" w:ascii="方正书宋简体" w:hAnsi="方正书宋简体" w:eastAsia="方正书宋简体" w:cs="方正书宋简体"/>
          <w:sz w:val="21"/>
          <w:szCs w:val="21"/>
        </w:rPr>
      </w:pPr>
      <w:r>
        <w:rPr>
          <w:rFonts w:hint="eastAsia" w:ascii="方正书宋简体" w:hAnsi="方正书宋简体" w:eastAsia="方正书宋简体" w:cs="方正书宋简体"/>
          <w:sz w:val="21"/>
          <w:szCs w:val="21"/>
        </w:rPr>
        <w:t>第八条 会前筹备</w:t>
      </w:r>
    </w:p>
    <w:p w14:paraId="614A2E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0" w:lineRule="exact"/>
        <w:ind w:left="0" w:leftChars="0" w:firstLine="420" w:firstLineChars="200"/>
        <w:jc w:val="both"/>
        <w:textAlignment w:val="auto"/>
        <w:rPr>
          <w:rFonts w:hint="eastAsia" w:ascii="方正书宋简体" w:hAnsi="方正书宋简体" w:eastAsia="方正书宋简体" w:cs="方正书宋简体"/>
          <w:sz w:val="21"/>
          <w:szCs w:val="21"/>
          <w:lang w:val="en-US" w:eastAsia="zh-CN"/>
        </w:rPr>
      </w:pPr>
      <w:r>
        <w:rPr>
          <w:rFonts w:hint="eastAsia" w:ascii="方正书宋简体" w:hAnsi="方正书宋简体" w:eastAsia="方正书宋简体" w:cs="方正书宋简体"/>
          <w:sz w:val="21"/>
          <w:szCs w:val="21"/>
          <w:lang w:val="en-US" w:eastAsia="zh-CN"/>
        </w:rPr>
        <w:t>为确保务虚会充分发挥会议研讨、谋划、推动工作的作用，会前需扎实做好各项筹备工作，具体要求如下：</w:t>
      </w:r>
    </w:p>
    <w:p w14:paraId="79C937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0" w:lineRule="exact"/>
        <w:ind w:left="0" w:leftChars="0" w:firstLine="420" w:firstLineChars="200"/>
        <w:jc w:val="both"/>
        <w:textAlignment w:val="auto"/>
        <w:rPr>
          <w:rFonts w:hint="eastAsia" w:ascii="方正书宋简体" w:hAnsi="方正书宋简体" w:eastAsia="方正书宋简体" w:cs="方正书宋简体"/>
          <w:sz w:val="21"/>
          <w:szCs w:val="21"/>
          <w:lang w:val="en-US" w:eastAsia="zh-CN"/>
        </w:rPr>
      </w:pPr>
      <w:r>
        <w:rPr>
          <w:rFonts w:hint="eastAsia" w:ascii="方正书宋简体" w:hAnsi="方正书宋简体" w:eastAsia="方正书宋简体" w:cs="方正书宋简体"/>
          <w:sz w:val="21"/>
          <w:szCs w:val="21"/>
          <w:lang w:val="en-US" w:eastAsia="zh-CN"/>
        </w:rPr>
        <w:t>（一）各相关单位提前梳理汇总相关材料。各参会单位要结合自身工作职责，全面梳理本领域、本行业营商环境建设中存在的突出问题、工作思路、推进举措及需跨部门协调解决的事项，明确问题核心症结、举措具体方向和协调重点，形成规范的书面材料。书面材料需内容详实、重点突出、数据准确，确保筹备内容贴合会议研讨需求，为会议高效开展奠定坚实基础。</w:t>
      </w:r>
    </w:p>
    <w:p w14:paraId="3EB4AD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0" w:lineRule="exact"/>
        <w:ind w:left="0" w:leftChars="0" w:firstLine="420" w:firstLineChars="200"/>
        <w:jc w:val="both"/>
        <w:textAlignment w:val="auto"/>
        <w:rPr>
          <w:rFonts w:hint="eastAsia" w:ascii="方正书宋简体" w:hAnsi="方正书宋简体" w:eastAsia="方正书宋简体" w:cs="方正书宋简体"/>
          <w:sz w:val="21"/>
          <w:szCs w:val="21"/>
          <w:lang w:val="en-US" w:eastAsia="zh-CN"/>
        </w:rPr>
      </w:pPr>
      <w:r>
        <w:rPr>
          <w:rFonts w:hint="eastAsia" w:ascii="方正书宋简体" w:hAnsi="方正书宋简体" w:eastAsia="方正书宋简体" w:cs="方正书宋简体"/>
          <w:sz w:val="21"/>
          <w:szCs w:val="21"/>
          <w:lang w:val="en-US" w:eastAsia="zh-CN"/>
        </w:rPr>
        <w:t>（二）扎实开展会前调研与材料收集。由旗营商环境工作专班牵头，联合相关职能部门，采取实地走访、座谈交流、电话回访等多种形式，广泛收集各类市场主体（含中小微企业、个体工商户、重点项目企业等）的诉求建议，全面梳理上级部门反馈的营商环境考核问题、督查意见及相关政策文件。同时，做好调研成果的梳理汇总、分析研判，筛选出具有代表性、紧迫性的问题和建议，整理形成调研报告及相关佐证材料，提前发至各参会单位，确保参会人员精准掌握相关情况、提前思考谋划。</w:t>
      </w:r>
    </w:p>
    <w:p w14:paraId="602C81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0" w:lineRule="exact"/>
        <w:ind w:left="0" w:leftChars="0" w:firstLine="420" w:firstLineChars="200"/>
        <w:jc w:val="both"/>
        <w:textAlignment w:val="auto"/>
        <w:rPr>
          <w:rFonts w:hint="eastAsia" w:ascii="方正书宋简体" w:hAnsi="方正书宋简体" w:eastAsia="方正书宋简体" w:cs="方正书宋简体"/>
          <w:sz w:val="21"/>
          <w:szCs w:val="21"/>
          <w:lang w:val="en-US" w:eastAsia="zh-CN"/>
        </w:rPr>
      </w:pPr>
      <w:r>
        <w:rPr>
          <w:rFonts w:hint="eastAsia" w:ascii="方正书宋简体" w:hAnsi="方正书宋简体" w:eastAsia="方正书宋简体" w:cs="方正书宋简体"/>
          <w:sz w:val="21"/>
          <w:szCs w:val="21"/>
          <w:lang w:val="en-US" w:eastAsia="zh-CN"/>
        </w:rPr>
        <w:t>（三）严格遵守会议纪律。参会人员须准时参会，严格遵守会议时间要求，不得无故缺席、迟到、早退。确因特殊情况无法参会的，须提前向会议主办单位履行书面请假手续，经批准后方可缺席，不得擅自缺席、顶替参会。</w:t>
      </w:r>
    </w:p>
    <w:p w14:paraId="18789F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0" w:lineRule="exact"/>
        <w:ind w:left="0" w:leftChars="0" w:firstLine="420" w:firstLineChars="200"/>
        <w:jc w:val="left"/>
        <w:textAlignment w:val="auto"/>
        <w:rPr>
          <w:rFonts w:hint="eastAsia" w:ascii="方正书宋简体" w:hAnsi="方正书宋简体" w:eastAsia="方正书宋简体" w:cs="方正书宋简体"/>
          <w:sz w:val="21"/>
          <w:szCs w:val="21"/>
        </w:rPr>
      </w:pPr>
      <w:r>
        <w:rPr>
          <w:rFonts w:hint="eastAsia" w:ascii="方正书宋简体" w:hAnsi="方正书宋简体" w:eastAsia="方正书宋简体" w:cs="方正书宋简体"/>
          <w:sz w:val="21"/>
          <w:szCs w:val="21"/>
        </w:rPr>
        <w:t>第</w:t>
      </w:r>
      <w:r>
        <w:rPr>
          <w:rFonts w:hint="eastAsia" w:ascii="方正书宋简体" w:hAnsi="方正书宋简体" w:eastAsia="方正书宋简体" w:cs="方正书宋简体"/>
          <w:sz w:val="21"/>
          <w:szCs w:val="21"/>
          <w:lang w:val="en-US" w:eastAsia="zh-CN"/>
        </w:rPr>
        <w:t>九条</w:t>
      </w:r>
      <w:r>
        <w:rPr>
          <w:rFonts w:hint="eastAsia" w:ascii="方正书宋简体" w:hAnsi="方正书宋简体" w:eastAsia="方正书宋简体" w:cs="方正书宋简体"/>
          <w:sz w:val="21"/>
          <w:szCs w:val="21"/>
        </w:rPr>
        <w:t xml:space="preserve"> 会议成果与落实</w:t>
      </w:r>
    </w:p>
    <w:p w14:paraId="0A2A2A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0" w:lineRule="exact"/>
        <w:ind w:left="0" w:leftChars="0" w:firstLine="420" w:firstLineChars="200"/>
        <w:jc w:val="both"/>
        <w:textAlignment w:val="auto"/>
        <w:rPr>
          <w:rFonts w:hint="eastAsia" w:ascii="方正书宋简体" w:hAnsi="方正书宋简体" w:eastAsia="方正书宋简体" w:cs="方正书宋简体"/>
          <w:sz w:val="21"/>
          <w:szCs w:val="21"/>
        </w:rPr>
      </w:pPr>
      <w:r>
        <w:rPr>
          <w:rFonts w:hint="eastAsia" w:ascii="方正书宋简体" w:hAnsi="方正书宋简体" w:eastAsia="方正书宋简体" w:cs="方正书宋简体"/>
          <w:sz w:val="21"/>
          <w:szCs w:val="21"/>
        </w:rPr>
        <w:t>（一）会后及时梳理会议成果，形成三张清单，确保内容全面、责任清晰、可落地：</w:t>
      </w:r>
    </w:p>
    <w:p w14:paraId="021E4A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0" w:lineRule="exact"/>
        <w:ind w:left="0" w:leftChars="0" w:firstLine="420" w:firstLineChars="200"/>
        <w:jc w:val="both"/>
        <w:textAlignment w:val="auto"/>
        <w:rPr>
          <w:rFonts w:hint="eastAsia" w:ascii="方正书宋简体" w:hAnsi="方正书宋简体" w:eastAsia="方正书宋简体" w:cs="方正书宋简体"/>
          <w:sz w:val="21"/>
          <w:szCs w:val="21"/>
        </w:rPr>
      </w:pPr>
      <w:r>
        <w:rPr>
          <w:rFonts w:hint="eastAsia" w:ascii="方正书宋简体" w:hAnsi="方正书宋简体" w:eastAsia="方正书宋简体" w:cs="方正书宋简体"/>
          <w:sz w:val="21"/>
          <w:szCs w:val="21"/>
        </w:rPr>
        <w:t>1.问题清单：明确列明营商环境建设中的堵点难点问题、企业反映的合理诉求，标注问题来源、具体表现，确保问题底数清、情况明；</w:t>
      </w:r>
    </w:p>
    <w:p w14:paraId="468369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0" w:lineRule="exact"/>
        <w:ind w:left="0" w:leftChars="0" w:firstLine="420" w:firstLineChars="200"/>
        <w:jc w:val="both"/>
        <w:textAlignment w:val="auto"/>
        <w:rPr>
          <w:rFonts w:hint="eastAsia" w:ascii="方正书宋简体" w:hAnsi="方正书宋简体" w:eastAsia="方正书宋简体" w:cs="方正书宋简体"/>
          <w:sz w:val="21"/>
          <w:szCs w:val="21"/>
        </w:rPr>
      </w:pPr>
      <w:r>
        <w:rPr>
          <w:rFonts w:hint="eastAsia" w:ascii="方正书宋简体" w:hAnsi="方正书宋简体" w:eastAsia="方正书宋简体" w:cs="方正书宋简体"/>
          <w:sz w:val="21"/>
          <w:szCs w:val="21"/>
        </w:rPr>
        <w:t>2.任务清单：对应问题清单，明确重点工作任务、具体推进举措，细化工作步骤，确保每项任务有抓手、有路径；</w:t>
      </w:r>
    </w:p>
    <w:p w14:paraId="76575D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0" w:lineRule="exact"/>
        <w:ind w:left="0" w:leftChars="0" w:firstLine="420" w:firstLineChars="200"/>
        <w:jc w:val="both"/>
        <w:textAlignment w:val="auto"/>
        <w:rPr>
          <w:rFonts w:hint="eastAsia" w:ascii="方正书宋简体" w:hAnsi="方正书宋简体" w:eastAsia="方正书宋简体" w:cs="方正书宋简体"/>
          <w:sz w:val="21"/>
          <w:szCs w:val="21"/>
        </w:rPr>
      </w:pPr>
      <w:r>
        <w:rPr>
          <w:rFonts w:hint="eastAsia" w:ascii="方正书宋简体" w:hAnsi="方正书宋简体" w:eastAsia="方正书宋简体" w:cs="方正书宋简体"/>
          <w:sz w:val="21"/>
          <w:szCs w:val="21"/>
        </w:rPr>
        <w:t>3.责任清单：明确各项任务的责任单位、具体责任人、完成时限，做到责任到人、时限到天，确保各项任务有人抓、有人管、有成效。</w:t>
      </w:r>
    </w:p>
    <w:p w14:paraId="3928D3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0" w:lineRule="exact"/>
        <w:ind w:left="0" w:leftChars="0" w:firstLine="420" w:firstLineChars="200"/>
        <w:jc w:val="both"/>
        <w:textAlignment w:val="auto"/>
        <w:rPr>
          <w:rFonts w:hint="eastAsia" w:ascii="方正书宋简体" w:hAnsi="方正书宋简体" w:eastAsia="方正书宋简体" w:cs="方正书宋简体"/>
          <w:sz w:val="21"/>
          <w:szCs w:val="21"/>
        </w:rPr>
      </w:pPr>
      <w:r>
        <w:rPr>
          <w:rFonts w:hint="eastAsia" w:ascii="方正书宋简体" w:hAnsi="方正书宋简体" w:eastAsia="方正书宋简体" w:cs="方正书宋简体"/>
          <w:sz w:val="21"/>
          <w:szCs w:val="21"/>
        </w:rPr>
        <w:t>（二）旗营商环境工作专班对会议确定的各项事项实行台账管理，建立健全跟踪督办机制，定期对任务推进情况进行督查检查，实行销号管理，确保各项任务闭环落实。</w:t>
      </w:r>
    </w:p>
    <w:p w14:paraId="67DFC2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0" w:lineRule="exact"/>
        <w:ind w:left="0" w:leftChars="0" w:firstLine="420" w:firstLineChars="200"/>
        <w:jc w:val="both"/>
        <w:textAlignment w:val="auto"/>
        <w:rPr>
          <w:rFonts w:hint="eastAsia" w:ascii="方正书宋简体" w:hAnsi="方正书宋简体" w:eastAsia="方正书宋简体" w:cs="方正书宋简体"/>
          <w:sz w:val="21"/>
          <w:szCs w:val="21"/>
        </w:rPr>
      </w:pPr>
      <w:r>
        <w:rPr>
          <w:rFonts w:hint="eastAsia" w:ascii="方正书宋简体" w:hAnsi="方正书宋简体" w:eastAsia="方正书宋简体" w:cs="方正书宋简体"/>
          <w:sz w:val="21"/>
          <w:szCs w:val="21"/>
        </w:rPr>
        <w:t>（三）定期通报会议确定事项落实情况，对按时完成、落实成效好的单位予以肯定，对未按时完成、推进不力的单位</w:t>
      </w:r>
      <w:bookmarkStart w:id="0" w:name="_GoBack"/>
      <w:bookmarkEnd w:id="0"/>
      <w:r>
        <w:rPr>
          <w:rFonts w:hint="eastAsia" w:ascii="方正书宋简体" w:hAnsi="方正书宋简体" w:eastAsia="方正书宋简体" w:cs="方正书宋简体"/>
          <w:sz w:val="21"/>
          <w:szCs w:val="21"/>
        </w:rPr>
        <w:t>进行提醒、约谈，督促其限期整改，确保各项任务落地见效。</w:t>
      </w:r>
    </w:p>
    <w:p w14:paraId="3459CB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0" w:lineRule="exact"/>
        <w:ind w:left="0" w:leftChars="0" w:firstLine="420" w:firstLineChars="200"/>
        <w:jc w:val="left"/>
        <w:textAlignment w:val="auto"/>
        <w:rPr>
          <w:rFonts w:hint="eastAsia" w:ascii="方正书宋简体" w:hAnsi="方正书宋简体" w:eastAsia="方正书宋简体" w:cs="方正书宋简体"/>
          <w:sz w:val="21"/>
          <w:szCs w:val="21"/>
        </w:rPr>
      </w:pPr>
      <w:r>
        <w:rPr>
          <w:rFonts w:hint="eastAsia" w:ascii="方正书宋简体" w:hAnsi="方正书宋简体" w:eastAsia="方正书宋简体" w:cs="方正书宋简体"/>
          <w:sz w:val="21"/>
          <w:szCs w:val="21"/>
        </w:rPr>
        <w:t>第十一条 附则</w:t>
      </w:r>
    </w:p>
    <w:p w14:paraId="54E578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0" w:lineRule="exact"/>
        <w:ind w:left="0" w:leftChars="0" w:firstLine="420" w:firstLineChars="200"/>
        <w:jc w:val="both"/>
        <w:textAlignment w:val="auto"/>
        <w:rPr>
          <w:rFonts w:hint="eastAsia" w:ascii="方正书宋简体" w:hAnsi="方正书宋简体" w:eastAsia="方正书宋简体" w:cs="方正书宋简体"/>
          <w:sz w:val="21"/>
          <w:szCs w:val="21"/>
          <w:lang w:val="en-US" w:eastAsia="zh-CN"/>
        </w:rPr>
        <w:sectPr>
          <w:type w:val="continuous"/>
          <w:pgSz w:w="11906" w:h="16838"/>
          <w:pgMar w:top="2154" w:right="1134" w:bottom="1701" w:left="1134" w:header="851" w:footer="992" w:gutter="0"/>
          <w:pgNumType w:fmt="decimal"/>
          <w:cols w:equalWidth="0" w:num="2">
            <w:col w:w="4606" w:space="425"/>
            <w:col w:w="4606"/>
          </w:cols>
          <w:docGrid w:type="lines" w:linePitch="312" w:charSpace="0"/>
        </w:sectPr>
      </w:pPr>
      <w:r>
        <w:rPr>
          <w:rFonts w:hint="eastAsia" w:ascii="方正书宋简体" w:hAnsi="方正书宋简体" w:eastAsia="方正书宋简体" w:cs="方正书宋简体"/>
          <w:sz w:val="21"/>
          <w:szCs w:val="21"/>
        </w:rPr>
        <w:t>本制度由旗营商环境工作专班负责解释，本制度自印发之日起施行</w:t>
      </w:r>
      <w:r>
        <w:rPr>
          <w:rFonts w:hint="eastAsia" w:ascii="方正书宋简体" w:hAnsi="方正书宋简体" w:eastAsia="方正书宋简体" w:cs="方正书宋简体"/>
          <w:sz w:val="21"/>
          <w:szCs w:val="21"/>
          <w:lang w:eastAsia="zh-CN"/>
        </w:rPr>
        <w:t>。</w:t>
      </w:r>
    </w:p>
    <w:p w14:paraId="30A8E1E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54875EB-5917-4CBE-96D5-56CD1822F8A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9F1E1D0A-F59F-4E92-9E12-B791EC3A33D2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4DE42ED9-874B-41A9-8824-23D166565A42}"/>
  </w:font>
  <w:font w:name="方正书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4AD8B823-FE4A-4A4D-9952-46B433B2021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F16E08"/>
    <w:rsid w:val="7AF16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2026-07-30T01:56:00Z</dcterms:created>
  <dc:creator>aying</dc:creator>
  <cp:lastModifiedBy>aying</cp:lastModifiedBy>
  <dcterms:modified xsi:type="dcterms:W3CDTF">2026-07-30T01:57:23Z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FA81C21962EB40D7A369D064822D7316_11</vt:lpwstr>
  </property>
  <property fmtid="{D5CDD505-2E9C-101B-9397-08002B2CF9AE}" pid="4" name="KSOTemplateDocerSaveRecord">
    <vt:lpwstr>eyJoZGlkIjoiZjljY2Q5YjI3OWFkZTE2NWRhMGM2ZGM5YTNhOGIwODAiLCJ1c2VySWQiOiIyNTEwMDI3NzUifQ==</vt:lpwstr>
  </property>
</Properties>
</file>