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61A29">
      <w:pPr>
        <w:keepNext w:val="0"/>
        <w:keepLines w:val="0"/>
        <w:pageBreakBefore w:val="0"/>
        <w:widowControl/>
        <w:kinsoku/>
        <w:wordWrap/>
        <w:overflowPunct/>
        <w:topLinePunct w:val="0"/>
        <w:autoSpaceDE w:val="0"/>
        <w:autoSpaceDN w:val="0"/>
        <w:bidi w:val="0"/>
        <w:adjustRightInd w:val="0"/>
        <w:snapToGrid w:val="0"/>
        <w:spacing w:before="94" w:line="310" w:lineRule="exact"/>
        <w:jc w:val="left"/>
        <w:textAlignment w:val="baseline"/>
        <w:rPr>
          <w:rFonts w:hint="eastAsia" w:ascii="方正小标宋简体" w:hAnsi="方正小标宋简体" w:eastAsia="方正小标宋简体" w:cs="方正小标宋简体"/>
          <w:color w:val="auto"/>
          <w:spacing w:val="11"/>
          <w:sz w:val="44"/>
          <w:szCs w:val="44"/>
          <w:lang w:val="en-US" w:eastAsia="zh-CN"/>
        </w:rPr>
      </w:pPr>
      <w:bookmarkStart w:id="3" w:name="_GoBack"/>
      <w:bookmarkEnd w:id="3"/>
      <w:r>
        <w:rPr>
          <w:rFonts w:ascii="黑体" w:hAnsi="黑体" w:eastAsia="黑体" w:cs="黑体"/>
          <w:b w:val="0"/>
          <w:bCs w:val="0"/>
          <w:snapToGrid w:val="0"/>
          <w:color w:val="000000"/>
          <w:spacing w:val="11"/>
          <w:kern w:val="0"/>
          <w:sz w:val="21"/>
          <w:szCs w:val="21"/>
        </w:rPr>
        <w:t>附件</w:t>
      </w:r>
      <w:r>
        <w:rPr>
          <w:rFonts w:hint="eastAsia" w:ascii="黑体" w:hAnsi="黑体" w:eastAsia="黑体" w:cs="黑体"/>
          <w:b w:val="0"/>
          <w:bCs w:val="0"/>
          <w:snapToGrid w:val="0"/>
          <w:color w:val="000000"/>
          <w:spacing w:val="11"/>
          <w:kern w:val="0"/>
          <w:sz w:val="21"/>
          <w:szCs w:val="21"/>
          <w:lang w:val="en-US" w:eastAsia="zh-CN"/>
        </w:rPr>
        <w:t>1</w:t>
      </w:r>
    </w:p>
    <w:p w14:paraId="2F49C8C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p>
    <w:p w14:paraId="177E385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p>
    <w:p w14:paraId="34A48A3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p>
    <w:p w14:paraId="2DA7F80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p>
    <w:p w14:paraId="41EDC32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鄂托克旗在建项目劳动用工</w:t>
      </w:r>
    </w:p>
    <w:p w14:paraId="4C2F3C8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规范化管理指导手册</w:t>
      </w:r>
    </w:p>
    <w:p w14:paraId="43E1556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52A00C3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135113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3BDD4E5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587DAFF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160DE17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3CE5C37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26F3774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337A63E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1C7F56B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7A29121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4E7761D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251FD4A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065371C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381D39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pacing w:val="11"/>
          <w:sz w:val="32"/>
          <w:szCs w:val="32"/>
          <w:lang w:val="en-US" w:eastAsia="zh-CN"/>
        </w:rPr>
      </w:pPr>
      <w:r>
        <w:rPr>
          <w:rFonts w:hint="eastAsia" w:ascii="仿宋_GB2312" w:hAnsi="仿宋_GB2312" w:eastAsia="仿宋_GB2312" w:cs="仿宋_GB2312"/>
          <w:b/>
          <w:bCs/>
          <w:color w:val="auto"/>
          <w:spacing w:val="11"/>
          <w:sz w:val="32"/>
          <w:szCs w:val="32"/>
          <w:lang w:val="en-US" w:eastAsia="zh-CN"/>
        </w:rPr>
        <w:t>2026年1月</w:t>
      </w:r>
    </w:p>
    <w:p w14:paraId="3E6F5C99">
      <w:pPr>
        <w:keepNext w:val="0"/>
        <w:keepLines w:val="0"/>
        <w:pageBreakBefore w:val="0"/>
        <w:widowControl/>
        <w:kinsoku/>
        <w:wordWrap/>
        <w:overflowPunct/>
        <w:topLinePunct w:val="0"/>
        <w:autoSpaceDE w:val="0"/>
        <w:autoSpaceDN w:val="0"/>
        <w:bidi w:val="0"/>
        <w:adjustRightInd w:val="0"/>
        <w:snapToGrid w:val="0"/>
        <w:spacing w:before="94" w:line="310" w:lineRule="exact"/>
        <w:jc w:val="left"/>
        <w:textAlignment w:val="baseline"/>
        <w:rPr>
          <w:rFonts w:ascii="黑体" w:hAnsi="黑体" w:eastAsia="黑体" w:cs="黑体"/>
          <w:b w:val="0"/>
          <w:bCs w:val="0"/>
          <w:snapToGrid w:val="0"/>
          <w:color w:val="000000"/>
          <w:spacing w:val="11"/>
          <w:kern w:val="0"/>
          <w:sz w:val="21"/>
          <w:szCs w:val="21"/>
        </w:rPr>
      </w:pPr>
    </w:p>
    <w:p w14:paraId="657791C5">
      <w:pPr>
        <w:keepNext w:val="0"/>
        <w:keepLines w:val="0"/>
        <w:pageBreakBefore w:val="0"/>
        <w:widowControl/>
        <w:kinsoku/>
        <w:wordWrap/>
        <w:overflowPunct/>
        <w:topLinePunct w:val="0"/>
        <w:autoSpaceDE w:val="0"/>
        <w:autoSpaceDN w:val="0"/>
        <w:bidi w:val="0"/>
        <w:adjustRightInd w:val="0"/>
        <w:snapToGrid w:val="0"/>
        <w:spacing w:before="94" w:line="310" w:lineRule="exact"/>
        <w:jc w:val="left"/>
        <w:textAlignment w:val="baseline"/>
        <w:rPr>
          <w:rFonts w:ascii="黑体" w:hAnsi="黑体" w:eastAsia="黑体" w:cs="黑体"/>
          <w:b w:val="0"/>
          <w:bCs w:val="0"/>
          <w:snapToGrid w:val="0"/>
          <w:color w:val="000000"/>
          <w:spacing w:val="11"/>
          <w:kern w:val="0"/>
          <w:sz w:val="21"/>
          <w:szCs w:val="21"/>
        </w:rPr>
      </w:pPr>
    </w:p>
    <w:p w14:paraId="6FA6F390">
      <w:pPr>
        <w:keepNext w:val="0"/>
        <w:keepLines w:val="0"/>
        <w:pageBreakBefore w:val="0"/>
        <w:widowControl/>
        <w:kinsoku/>
        <w:wordWrap/>
        <w:overflowPunct/>
        <w:topLinePunct w:val="0"/>
        <w:autoSpaceDE w:val="0"/>
        <w:autoSpaceDN w:val="0"/>
        <w:bidi w:val="0"/>
        <w:adjustRightInd w:val="0"/>
        <w:snapToGrid w:val="0"/>
        <w:spacing w:before="94" w:line="310" w:lineRule="exact"/>
        <w:jc w:val="left"/>
        <w:textAlignment w:val="baseline"/>
        <w:rPr>
          <w:rFonts w:ascii="黑体" w:hAnsi="黑体" w:eastAsia="黑体" w:cs="黑体"/>
          <w:b w:val="0"/>
          <w:bCs w:val="0"/>
          <w:snapToGrid w:val="0"/>
          <w:color w:val="000000"/>
          <w:spacing w:val="11"/>
          <w:kern w:val="0"/>
          <w:sz w:val="21"/>
          <w:szCs w:val="21"/>
        </w:rPr>
      </w:pPr>
    </w:p>
    <w:p w14:paraId="2843B31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目  录</w:t>
      </w:r>
    </w:p>
    <w:p w14:paraId="22007543">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p>
    <w:p w14:paraId="192DA3C2">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default" w:ascii="方正书宋简体" w:hAnsi="方正书宋简体" w:eastAsia="方正书宋简体" w:cs="方正书宋简体"/>
          <w:sz w:val="21"/>
          <w:szCs w:val="21"/>
          <w:lang w:val="en-US" w:eastAsia="zh-CN"/>
        </w:rPr>
      </w:pPr>
      <w:r>
        <w:rPr>
          <w:rFonts w:hint="eastAsia" w:ascii="黑体" w:hAnsi="黑体" w:eastAsia="黑体" w:cs="黑体"/>
          <w:sz w:val="21"/>
          <w:szCs w:val="21"/>
          <w:lang w:val="en-US" w:eastAsia="zh-CN"/>
        </w:rPr>
        <w:t>一、总则</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33</w:t>
      </w:r>
    </w:p>
    <w:p w14:paraId="1EB71DA0">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default" w:ascii="方正书宋简体" w:hAnsi="方正书宋简体" w:eastAsia="方正书宋简体" w:cs="方正书宋简体"/>
          <w:sz w:val="21"/>
          <w:szCs w:val="21"/>
          <w:lang w:val="en-US" w:eastAsia="zh-CN"/>
        </w:rPr>
      </w:pPr>
      <w:r>
        <w:rPr>
          <w:rFonts w:hint="eastAsia" w:ascii="黑体" w:hAnsi="黑体" w:eastAsia="黑体" w:cs="黑体"/>
          <w:sz w:val="21"/>
          <w:szCs w:val="21"/>
          <w:lang w:val="en-US" w:eastAsia="zh-CN"/>
        </w:rPr>
        <w:t>二、适用范围</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33</w:t>
      </w:r>
    </w:p>
    <w:p w14:paraId="3627D3D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default" w:ascii="方正书宋简体" w:hAnsi="方正书宋简体" w:eastAsia="方正书宋简体" w:cs="方正书宋简体"/>
          <w:sz w:val="21"/>
          <w:szCs w:val="21"/>
          <w:lang w:val="en-US" w:eastAsia="zh-CN"/>
        </w:rPr>
      </w:pPr>
      <w:r>
        <w:rPr>
          <w:rFonts w:hint="eastAsia" w:ascii="黑体" w:hAnsi="黑体" w:eastAsia="黑体" w:cs="黑体"/>
          <w:sz w:val="21"/>
          <w:szCs w:val="21"/>
          <w:lang w:val="en-US" w:eastAsia="zh-CN"/>
        </w:rPr>
        <w:t>三、规范化管理内容</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33</w:t>
      </w:r>
    </w:p>
    <w:p w14:paraId="091E6FE4">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（一）施工准备阶段</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33</w:t>
      </w:r>
    </w:p>
    <w:p w14:paraId="6F562E7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（二）进场施工阶段</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35</w:t>
      </w:r>
    </w:p>
    <w:p w14:paraId="6D5D2E7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（三）退场完工阶段</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36</w:t>
      </w:r>
    </w:p>
    <w:p w14:paraId="174B65F2">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outlineLvl w:val="0"/>
        <w:rPr>
          <w:rFonts w:hint="default" w:ascii="方正书宋简体" w:hAnsi="方正书宋简体" w:eastAsia="方正书宋简体" w:cs="方正书宋简体"/>
          <w:sz w:val="21"/>
          <w:szCs w:val="21"/>
          <w:lang w:val="en-US" w:eastAsia="zh-CN"/>
        </w:rPr>
      </w:pPr>
      <w:bookmarkStart w:id="0" w:name="_Toc13248"/>
      <w:r>
        <w:rPr>
          <w:rFonts w:hint="eastAsia" w:ascii="黑体" w:hAnsi="黑体" w:eastAsia="黑体" w:cs="黑体"/>
          <w:sz w:val="21"/>
          <w:szCs w:val="21"/>
          <w:lang w:val="en-US" w:eastAsia="zh-CN"/>
        </w:rPr>
        <w:t>四、农民工工资支付相关违法行为的惩戒</w:t>
      </w:r>
      <w:bookmarkEnd w:id="0"/>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01B3942D">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（一）工程建设领域拖欠农民工工资</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798AFB23">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（二）以实物、有价证券等形式代替货币支付农民工工资</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423C4AE5">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（三）未编制工资支付台账并依法保存，或者未向农民工提供工资清单</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731E39D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（四）扣押或者变相扣押用于支付农民工工资的银行账户所绑定的农民工本人社会保障卡或者银行卡37</w:t>
      </w:r>
    </w:p>
    <w:p w14:paraId="5B58134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（五）总包单位未按规定开设或者使用农民工工资专用账户</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56EFD3C1">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（六）总包单位未按规定存储工资保证金或者未提供金融机构保函</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3007869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（七）施工总承包单位、分包单位未实行劳动用工实名制管理</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5FED31CC">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（八）分包单位未按月考核农民工工作量、编制工资支付表并经农民工本人签字确认的</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4906D26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（九）总包单位未对分包单位劳动用工实施监督管理</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3D2E6FCA">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（十）分包单位未配合施工总承包单位对其劳动用工进行监督管理</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37</w:t>
      </w:r>
    </w:p>
    <w:p w14:paraId="17760535">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（十一）总包单位未实行施工现场维权信息公示制度</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5D35F31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（十二）建设单位未依法提供工程款支付担保</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2B484F9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（十三）建设单位未按约定及时足额向农民工工资专用账户拨付工程款中的人工费用</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271A4212">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（十四）建设单位或总包单位拒不提供或者无法提供工程施工合同、农民工工资专用账户有关资料</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6ECF726A">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（十五）不依法配合人力资源和社会保障行政部门查询相关单位金融账户</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4EBEBC65">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（十六）政府投资项目政府投资资金不到位拖欠农民工工资</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6024E3C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jc w:val="distribute"/>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（十七）政府投资项目建设单位未经批准立项建设、擅自扩大建设规模、擅自增加投资概算、未及时拨付工程款等导致拖欠农民工工资</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1B7FEAF9">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（十八）社会投资工程建设项目建设单位建设资金不到位、违法违规开工建设，拖欠农民工工资</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72F5A5FD">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宋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（十九）用人单位伪造、编造、隐瞒、藏匿工资支付台账或者不依法提供相关工作台账</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lang w:val="en-US" w:eastAsia="zh-CN"/>
        </w:rPr>
        <w:t>38</w:t>
      </w:r>
    </w:p>
    <w:p w14:paraId="1A5796FD">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jc w:val="distribute"/>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（二十）工程建设领域施工总承包单位未通过农民工工资支付监控预警平台上传工资支付表或者未及时处置农民工工资支付监控预警平台预警信息</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3FF8923B">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jc w:val="distribute"/>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二十一）建设单位、施工总承包单位未按时将在建项目纳入农民工工资支付监控预警平台监管；施工总承包单位、分包单位未及时将参建单位信息、工程施工许可、工程款支付担保、用工管理、工资发放等信息上传至农民工工资支付监控预警平台；未通过实名制考勤设备如实记录并上传所招用农民工信息化实名制考勤情况</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61972492">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二十二）政府、国有企业投资项目所需资金不到位或者被挤占、挪用导致拖欠农民工工资的，由上一级人力资源社会保障行政部门或者其他有关部门按照职责约谈责任单位负责人，并作为其业绩考核、薪酬分配、评优评先、职务晋升等的重要依据；情节严重的，由自治区人力资源社会保障行政部门或者其他有关部门进行通报，约谈项目所在地旗县级人民政府主要负责人或者国有企业负责人</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38</w:t>
      </w:r>
    </w:p>
    <w:p w14:paraId="2681A58C">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outlineLvl w:val="0"/>
        <w:rPr>
          <w:rFonts w:hint="default" w:ascii="方正书宋简体" w:hAnsi="方正书宋简体" w:eastAsia="方正书宋简体" w:cs="方正书宋简体"/>
          <w:sz w:val="21"/>
          <w:szCs w:val="21"/>
          <w:lang w:val="en-US" w:eastAsia="zh-CN"/>
        </w:rPr>
      </w:pPr>
      <w:bookmarkStart w:id="1" w:name="_Toc3318"/>
      <w:r>
        <w:rPr>
          <w:rFonts w:hint="eastAsia" w:ascii="黑体" w:hAnsi="黑体" w:eastAsia="黑体" w:cs="黑体"/>
          <w:sz w:val="21"/>
          <w:szCs w:val="21"/>
          <w:lang w:val="en-US" w:eastAsia="zh-CN"/>
        </w:rPr>
        <w:t>五、台账资料归档管理</w:t>
      </w:r>
      <w:bookmarkEnd w:id="1"/>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39</w:t>
      </w:r>
    </w:p>
    <w:p w14:paraId="0C64003C">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（一）台账一：项目基础资料</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39</w:t>
      </w:r>
    </w:p>
    <w:p w14:paraId="4466D081">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宋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（二）台账二：项目资金往来资料</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lang w:val="en-US" w:eastAsia="zh-CN"/>
        </w:rPr>
        <w:t>39</w:t>
      </w:r>
    </w:p>
    <w:p w14:paraId="6229E8DB">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（三）台账三：项目劳动用工资料</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39</w:t>
      </w:r>
    </w:p>
    <w:p w14:paraId="01B145CE">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210" w:firstLineChars="100"/>
        <w:textAlignment w:val="auto"/>
        <w:rPr>
          <w:rFonts w:hint="default" w:ascii="方正书宋简体" w:hAnsi="方正书宋简体" w:eastAsia="方正书宋简体" w:cs="方正书宋简体"/>
          <w:sz w:val="21"/>
          <w:szCs w:val="21"/>
          <w:lang w:val="en-US" w:eastAsia="zh-CN"/>
        </w:rPr>
      </w:pPr>
      <w:r>
        <w:rPr>
          <w:rFonts w:hint="eastAsia" w:ascii="方正书宋简体" w:hAnsi="方正书宋简体" w:eastAsia="方正书宋简体" w:cs="方正书宋简体"/>
          <w:sz w:val="21"/>
          <w:szCs w:val="21"/>
          <w:lang w:val="en-US" w:eastAsia="zh-CN"/>
        </w:rPr>
        <w:t>（四）台账四：其他台账</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40</w:t>
      </w:r>
    </w:p>
    <w:p w14:paraId="14564D9B">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outlineLvl w:val="0"/>
        <w:rPr>
          <w:rFonts w:hint="default" w:ascii="方正书宋简体" w:hAnsi="方正书宋简体" w:eastAsia="方正书宋简体" w:cs="方正书宋简体"/>
          <w:sz w:val="21"/>
          <w:szCs w:val="21"/>
          <w:lang w:val="en-US" w:eastAsia="zh-CN"/>
        </w:rPr>
      </w:pPr>
      <w:bookmarkStart w:id="2" w:name="_Toc23651"/>
      <w:r>
        <w:rPr>
          <w:rFonts w:hint="eastAsia" w:ascii="黑体" w:hAnsi="黑体" w:eastAsia="黑体" w:cs="黑体"/>
          <w:sz w:val="21"/>
          <w:szCs w:val="21"/>
          <w:lang w:val="en-US" w:eastAsia="zh-CN"/>
        </w:rPr>
        <w:t>六、附件</w:t>
      </w:r>
      <w:bookmarkEnd w:id="2"/>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40</w:t>
      </w:r>
    </w:p>
    <w:p w14:paraId="38C3AF73">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sz w:val="21"/>
          <w:szCs w:val="21"/>
          <w:lang w:val="en-US" w:eastAsia="zh-CN"/>
        </w:rPr>
      </w:pPr>
    </w:p>
    <w:p w14:paraId="356C9A32">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sz w:val="21"/>
          <w:szCs w:val="21"/>
          <w:lang w:val="en-US" w:eastAsia="zh-CN"/>
        </w:rPr>
      </w:pPr>
    </w:p>
    <w:p w14:paraId="6D27F87F">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sz w:val="21"/>
          <w:szCs w:val="21"/>
          <w:lang w:val="en-US" w:eastAsia="zh-CN"/>
        </w:rPr>
      </w:pPr>
    </w:p>
    <w:p w14:paraId="6A988743">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sz w:val="21"/>
          <w:szCs w:val="21"/>
          <w:lang w:val="en-US" w:eastAsia="zh-CN"/>
        </w:rPr>
      </w:pPr>
    </w:p>
    <w:p w14:paraId="48B70BBB">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sz w:val="21"/>
          <w:szCs w:val="21"/>
          <w:lang w:val="en-US" w:eastAsia="zh-CN"/>
        </w:rPr>
      </w:pPr>
    </w:p>
    <w:p w14:paraId="018E0F39">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1C13E186">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52CF7B1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28739F8A">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7F1F3BFE">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1FD4F66A">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5D0B9FB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7543433D">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BBA4AE3">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1C557DC3">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580C1524">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24073345">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B0AC22E">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25296BA1">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789C47C">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54930BD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68A90A14">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E071FA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70E4CD87">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3AD4DE79">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543C6F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07D7CC2">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66DC8566">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276144EA">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562C35B">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274AFD04">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D6ABF88">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339A28D0">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53C6CC40">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0DC79864">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57607FF9">
      <w:pPr>
        <w:pStyle w:val="2"/>
        <w:keepNext w:val="0"/>
        <w:keepLines w:val="0"/>
        <w:pageBreakBefore w:val="0"/>
        <w:widowControl w:val="0"/>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textAlignment w:val="auto"/>
        <w:rPr>
          <w:rFonts w:hint="eastAsia" w:ascii="方正书宋简体" w:hAnsi="方正书宋简体" w:eastAsia="方正书宋简体" w:cs="方正书宋简体"/>
          <w:kern w:val="2"/>
          <w:sz w:val="21"/>
          <w:szCs w:val="21"/>
          <w:lang w:val="en-US" w:eastAsia="zh-CN" w:bidi="ar-SA"/>
        </w:rPr>
      </w:pPr>
    </w:p>
    <w:p w14:paraId="74E2A9B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鄂托克旗在建项目劳动用工</w:t>
      </w:r>
    </w:p>
    <w:p w14:paraId="56DDD52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规范化管理指导手册</w:t>
      </w:r>
    </w:p>
    <w:p w14:paraId="61A86B20">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0602DA20">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黑体" w:hAnsi="黑体" w:eastAsia="黑体" w:cs="黑体"/>
          <w:color w:val="auto"/>
          <w:spacing w:val="11"/>
          <w:sz w:val="21"/>
          <w:szCs w:val="21"/>
          <w:lang w:val="en-US" w:eastAsia="zh-CN"/>
        </w:rPr>
        <w:sectPr>
          <w:headerReference r:id="rId3" w:type="default"/>
          <w:footerReference r:id="rId4" w:type="default"/>
          <w:pgSz w:w="11906" w:h="16838"/>
          <w:pgMar w:top="2154" w:right="1134" w:bottom="1701" w:left="1134" w:header="1134" w:footer="992" w:gutter="0"/>
          <w:pgNumType w:fmt="decimal"/>
          <w:cols w:space="425" w:num="1"/>
          <w:docGrid w:type="lines" w:linePitch="312" w:charSpace="0"/>
        </w:sectPr>
      </w:pPr>
    </w:p>
    <w:p w14:paraId="31939DB9">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黑体" w:hAnsi="黑体" w:eastAsia="黑体" w:cs="黑体"/>
          <w:color w:val="auto"/>
          <w:spacing w:val="11"/>
          <w:sz w:val="21"/>
          <w:szCs w:val="21"/>
          <w:lang w:val="en-US" w:eastAsia="zh-CN"/>
        </w:rPr>
      </w:pPr>
      <w:r>
        <w:rPr>
          <w:rFonts w:hint="eastAsia" w:ascii="黑体" w:hAnsi="黑体" w:eastAsia="黑体" w:cs="黑体"/>
          <w:color w:val="auto"/>
          <w:spacing w:val="11"/>
          <w:sz w:val="21"/>
          <w:szCs w:val="21"/>
          <w:lang w:val="en-US" w:eastAsia="zh-CN"/>
        </w:rPr>
        <w:t>一、总则</w:t>
      </w:r>
    </w:p>
    <w:p w14:paraId="2DEF31A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保障农民工工资支付工作，坚持市场主体负责、政府依法监管、社会协同监督的原则，遵循源头治理、预防为主、防治结合、标本兼治的要求，落实管行业必须管欠薪、管资金必须管欠薪、管项目必须管欠薪，依法根治拖欠农民工工资问题。为规范工程建设领域农民工工资支付管理，全面推进落实保障农民工工资支付的各项制度，维护农民工劳动报酬权益，依据《中华人民共和国劳动法》《保障农民工工资支付条例》《内蒙古自治区保障农民工工资支付条例》《内蒙古自治区人民政府印发关于做好保障农民工工资支付工作若干措施的通知》等相关法律法规和政策文件，制定本手册。</w:t>
      </w:r>
    </w:p>
    <w:p w14:paraId="340FBF3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黑体" w:hAnsi="黑体" w:eastAsia="黑体" w:cs="黑体"/>
          <w:color w:val="auto"/>
          <w:spacing w:val="11"/>
          <w:sz w:val="21"/>
          <w:szCs w:val="21"/>
          <w:lang w:val="en-US" w:eastAsia="zh-CN"/>
        </w:rPr>
      </w:pPr>
      <w:r>
        <w:rPr>
          <w:rFonts w:hint="eastAsia" w:ascii="黑体" w:hAnsi="黑体" w:eastAsia="黑体" w:cs="黑体"/>
          <w:color w:val="auto"/>
          <w:spacing w:val="11"/>
          <w:sz w:val="21"/>
          <w:szCs w:val="21"/>
          <w:lang w:val="en-US" w:eastAsia="zh-CN"/>
        </w:rPr>
        <w:t>二、适用范围</w:t>
      </w:r>
    </w:p>
    <w:p w14:paraId="25C237D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鄂托克旗行政区域内住建、交通、水利、林草、能源等行业及开发区内企业新建、扩建、改建工程项目农民工工资支付管理适用本手册，苏木镇管辖的在建项目参照适用本手册。</w:t>
      </w:r>
    </w:p>
    <w:p w14:paraId="29298D6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本手册所称建设单位是指工程建设项目的项目法人或负有建设管理责任的相关单位；施工总承包单位（以下简称总包单位）是指从建设单位承包施工任务，具有法定的施工承包资质的企业，包括工程总承包单位、施工总承包企业、直接承包建设单位发包工程的专业承包企业；分包单位是指承包总包单位发包的专业工程或者劳务作业，具有相应资质的企业。</w:t>
      </w:r>
    </w:p>
    <w:p w14:paraId="0D7D434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本手册所称相关行业工程建设主管部门是指各级住建、交通、水利、国资、能源、通信、电力、农林牧、加工制造工业等工程建设项目的行政主管部门以及鄂托克高新技术产业开发区各用人单位包联部门。</w:t>
      </w:r>
    </w:p>
    <w:p w14:paraId="0E9C094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黑体" w:hAnsi="黑体" w:eastAsia="黑体" w:cs="黑体"/>
          <w:color w:val="auto"/>
          <w:spacing w:val="11"/>
          <w:sz w:val="21"/>
          <w:szCs w:val="21"/>
          <w:lang w:val="en-US" w:eastAsia="zh-CN"/>
        </w:rPr>
      </w:pPr>
      <w:r>
        <w:rPr>
          <w:rFonts w:hint="eastAsia" w:ascii="黑体" w:hAnsi="黑体" w:eastAsia="黑体" w:cs="黑体"/>
          <w:color w:val="auto"/>
          <w:spacing w:val="11"/>
          <w:sz w:val="21"/>
          <w:szCs w:val="21"/>
          <w:lang w:val="en-US" w:eastAsia="zh-CN"/>
        </w:rPr>
        <w:t>三、规范化管理内容</w:t>
      </w:r>
    </w:p>
    <w:p w14:paraId="49C0860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（一）施工准备阶段</w:t>
      </w:r>
    </w:p>
    <w:p w14:paraId="7A36C68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签订工程施工合同。总包单位进场施工前，应当与建设单位订立书面工程施工合同。书面工程施工合同应当约定工程款计量周期、工程款进度结算办法、人工费用拨付周期（不得超过1个月）和拨付日期、人工费用的数额或者占工程款的比例、涉及人工费用相关争议的解决方式等事项。约定不明确或不符合《条例》要求的，应当通过补签书面协议等方式予以明确。</w:t>
      </w:r>
    </w:p>
    <w:p w14:paraId="7ACD8F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责任单位：建设单位、总包单位</w:t>
      </w:r>
    </w:p>
    <w:p w14:paraId="7E1083F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w w:val="95"/>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w:t>
      </w:r>
      <w:r>
        <w:rPr>
          <w:rFonts w:hint="eastAsia" w:ascii="方正书宋简体" w:hAnsi="方正书宋简体" w:eastAsia="方正书宋简体" w:cs="方正书宋简体"/>
          <w:color w:val="auto"/>
          <w:spacing w:val="11"/>
          <w:w w:val="95"/>
          <w:sz w:val="21"/>
          <w:szCs w:val="21"/>
          <w:lang w:val="en-US" w:eastAsia="zh-CN"/>
        </w:rPr>
        <w:t>相关行业工程建设主管部门、开发区包联部门</w:t>
      </w:r>
    </w:p>
    <w:p w14:paraId="01BBF45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签订分包合同。分包单位进场施工前，应当与总包单位订立书面分包合同。书面分包合同应当约定工程款计量周期、工程款进度结算办法等。总包单位应制作项目概况表，列明项目基本情况、总包单位、分包单位相关信息，签订书面委托支付协议。委托支付协议应当约定分包单位委托总包单位代发农民工工资、分包单位工资核定和申报流程、总包单位工资结算和发放日期、违约责任等事项。</w:t>
      </w:r>
    </w:p>
    <w:p w14:paraId="2BCDB34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责任单位：总包单位、分包单位</w:t>
      </w:r>
    </w:p>
    <w:p w14:paraId="243E717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57F5C65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落实工程款支付担保、施工过程结算和分账管理等制度。建设单位应当向总包单位提供工程款支付担保，担保期限应覆盖整个施工过程。工程建设领域行业主管部门和其他有关部门应当督促建设单位与施工总承包单位对工程款和人工费用实行分账管理，按照施工合同约定及时足额拨付工程款及人工费用。房屋建筑和市政基础设施工程，按施工合同约定的工程款总金额提供工程款支付担保的，最低担保金额采用超额累进方式计算。施工合同价款1000万元以下的（含1000万元），担保金额不得低于施工合同价款的10%；施工合同价款1000万元以上1亿元以下的（含1亿元），超出1000万元部分，不得低于5%；施工合同价款1亿元以上的，1亿元以上部分，由双方商定担保金额。按施工合同约定的工程款支付节点提供工程款支付担保的，每个支付节点都应当提供工程款支付担保，且担保金额不得低于施工合同约定支付节点的工程款金额的15%。其他领域建设项目工程款担保，甲乙双方参照上述担保方式执行。</w:t>
      </w:r>
    </w:p>
    <w:p w14:paraId="65320B4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w:t>
      </w:r>
    </w:p>
    <w:p w14:paraId="254CE22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67D9BB1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开设农民工工资支付专用账户。总包单位应当在工程施工合同签订之日起30日内开立农民工工资支付专用账户（以下简称专用账户），专用账户名称为总包单位名称加工程建设项目名称加“农民工工资专用账户”。总包单位应当在专用账户开立后的30日内报项目所在地人社部门备案。开户银行不得将专用账户资金转入除本项目农民工本人银行账户以外的账户，不得为专用账户提供现金支取和其他转账结算服务。建设单位应当加强对总包单位开设专用账户的监督。</w:t>
      </w:r>
    </w:p>
    <w:p w14:paraId="2EED279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责任单位：建设单位、总包单位、开户银行</w:t>
      </w:r>
    </w:p>
    <w:p w14:paraId="2B77828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76EE6AD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存储工资保证金。总包单位应当自工程取得施工许可证（开工报告批复）之日起20个工作日内（依法不需要办理施工许可证的工程自签订施工合同之日起20个工作日内），按项目所在地以现金、银行保函、保险公司保单等形式存储工资保证金，保函、保单性质为不可撤销见索即付。施工合同额（或者年度合同额）在5亿元以上的，保证金存储比例为1%，存储金额不超过1000万元；施工合同额（或者年度合同额）在3亿元至5亿元的，保证金存储比例为1.5%；施工合同额（或者年度合同额）在1亿元至3亿元的，保证金存储比例为2%；施工合同额（或者年度合同额）在5000万元以上至1亿元的，保证金存储比例为2.5%；施工合同额（或者年度合同额）在5000万元以下的，保证金存储比例为3%。总包单位应当在存储工资保证金后5日内报项目所在地人社部门备案，采用保函或保单形式替代，应将保函或保单正本交由属地人社部门保存。行业主管部门、包联部门应当在颁发施工许可证、批准开工、实际开工之日告知相关单位及时存储工资保证金。</w:t>
      </w:r>
    </w:p>
    <w:p w14:paraId="125EBA2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5433B2D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4F0CA33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配置劳资专管员。总包单位应当根据施工规模和用工数量在工程项目部配备相应数量的劳资专管员，对分包单位劳动用工实施监督管理，掌握施工现场用工、考勤、工资支付等情况，审核分包单位编制的农民工工资支付表、考勤计量表、农民工花名册，制作、归档、保存相关台账资料，以及配合监管部门处理与本项目劳动用工和工资支付相关的矛盾纠纷。分包单位应当配合总包单位对其劳动用工进行监督管理。</w:t>
      </w:r>
    </w:p>
    <w:p w14:paraId="0DF4E42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责任单位：总包单位、分包单位</w:t>
      </w:r>
    </w:p>
    <w:p w14:paraId="1979BD9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0E1D976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签订劳动合同。农民工进场施工前，用工单位（包括直接招用农民工的总包单位和分包单位）应当依法与农民工签订劳动合同（含简易劳动合同），并指导农民工签署进场承诺书。劳动合同应明确合同期限、工作地点（或工程建设项目）、工作时间、工作内容、工资标准（计时工资、计件工资、定额工资等）、支付方式、支付时间等合同必备条款。劳动合同应盖章、签字、签订日期齐全，一式三份，用工单位和农民工各执一份，项目部留存一份。总包单位应当制作劳动合同签收表，登记农民工签收劳动合同情况。</w:t>
      </w:r>
    </w:p>
    <w:p w14:paraId="348FCC8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责任单位：总包单位、分包单位</w:t>
      </w:r>
    </w:p>
    <w:p w14:paraId="328C912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508911E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岗前培训及设立维权信息告示牌。总包单位应当在农牧民签订劳动合同后，入场工作前，对其进行开工第一课培训，培训内容应包括：签订真实劳动合同的重要性、个人所得税缴纳及退税相关知识、工作要求、劳动保护的宣传、考勤打卡要求、离退休工资结算流程及发生纠纷后的正确维权渠道等，增强农民工安全意识及守法用法意识。同时在施工现场醒目位置设立维权信息告示牌、退场结薪流程。维权信息告示牌应列明工程建设项目、建设单位、总包单位、分包单位、劳资专管员、当地最低工资标准、工资支付日期、相关行业工程建设主管部门和劳动保障监察投诉举报电话、劳动争议调解仲裁申请渠道、法律援助申请渠道、公共法律服务热线、落实工资保证金制度情况等信息。</w:t>
      </w:r>
    </w:p>
    <w:p w14:paraId="28A0116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54F1C3C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59D0DDA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（二）进场施工阶段</w:t>
      </w:r>
    </w:p>
    <w:p w14:paraId="6DD46B1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规范运用信息监管系统。总包单位进场施工后，应当在相关实名制管理平台上设立项目实名制管理账户，并对接绑定实名制管理软硬件设施设备。总包单位应依法依规将项目基本信息、劳资专管员信息、劳动合同签订情况、实名制管理信息、专用账户信息、考勤计量信息、工资支付信息、工资保证金存储情况、维权告示牌设立情况及其他相关信息实时上传或共享至农民工工资支付预警信息系统。</w:t>
      </w:r>
    </w:p>
    <w:p w14:paraId="4A42B90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1DA45A6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652051B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2.配备实名制硬件设备。总包单位应配备实现实名制</w:t>
      </w:r>
    </w:p>
    <w:p w14:paraId="344966CC">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管理所必需的硬件设施设备，施工现场原则上实施封闭式管理，设立进出场门禁系统，采用人脸、指纹、虹膜等生物识别技术进行电子打卡，相关电子考勤和图像、影像等电子档案保存期限不少于3年。</w:t>
      </w:r>
    </w:p>
    <w:p w14:paraId="7D4EE70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00BC3EC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28ADDE2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实施实名制考勤管理。总包单位应当建立实名制花名册，按分包单位或者班组名称分类装订，并每月进行更新。实名制花名册应列明进场农民工的身份证信息、工作岗位（工种）、工资卡号、进退场时间、联系方式、紧急联系人（近亲属）等信息。总包单位应通过信息监管系统和实名制硬件设备，对进场农民工和项目经理、项目总监理工程师等人员进行考勤管理，并按分包单位或者班组名称分类编制农民工考勤表。分包单位应当配合总包单位实施实名制考勤管理。</w:t>
      </w:r>
    </w:p>
    <w:p w14:paraId="0B1885A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责任单位：总包单位、分包单位、监理单位</w:t>
      </w:r>
    </w:p>
    <w:p w14:paraId="4E4BD99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2665051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拨付工程款和人工费用。工程建设项目实行人工费用预拨制，建设单位应当自项目开工之日起，按照与总包单位签订协议中人工费用所占工程款的比例及工程进度于每月初及时将人工费用拨付至施工总承包单位开设的农民工工资专用账户。实际施工产生人工费用的剩余部分在核算后按月足额拨付，人工费用拨付周期不得超过一个月。政府投资项目建设单位向财政部门申请工程款时应当单独申请人工费用，财政部门应当依申请分别拨付人工费用和其他工程款，并优先拨付人工费用。人工费用拨付周期不得超过1个月，并以月为单位定期将相关凭证上传至预警监控管理平台。总包单位应当建立工程款支付清单和专用账户清单，记录工程款拨付情况和专用账户进出账信息。</w:t>
      </w:r>
    </w:p>
    <w:p w14:paraId="6E01775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责任单位：建设单位、总包单位</w:t>
      </w:r>
    </w:p>
    <w:p w14:paraId="75A032D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监管单位：相关行业工程建设主管部门、开发区包联部门发改委、财政、国资、代建等部门配合</w:t>
      </w:r>
    </w:p>
    <w:p w14:paraId="3A58E48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编制工资支付表。分包单位应当按月考核农民工工作量，填写农民工工作量表，并依据劳动合同或用工书面协议约定的工资标准、考勤天数、津补贴标准等，计算农民工应发工资数额，编制工资支付表。当月工资支付表、考勤表、工作量表经农民工本人签字后，分包单位应连同花名册、工程进度情况等一并提交总包单位审核。</w:t>
      </w:r>
    </w:p>
    <w:p w14:paraId="0348C65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责任单位：总包单位、分包单位</w:t>
      </w:r>
    </w:p>
    <w:p w14:paraId="5BC40A4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76B2538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按时足额支付工资。分包单位应与总包单位签订委托工资支付协议，委托总包单位代发农民工工资。总包单位应按时审核分包单位提交的工资支付表等工资发放资料，并要求农牧民工本人确认签字审核完毕后报送开户银行，开户银行应当及时将工资通过专用账户直接支付到农民工本人的银行账户，并由总包单位向分包单位提供代发工资凭证。总包单位应按月打印农民工工资发放银行流水，与当月农民工花名册、考勤表、工作量表、工资支付表等汇编保存至少3年。工资支付完毕后，总包单位应编制代发工资清单，按月记录所有分包单位或班组工资发放总体情况。</w:t>
      </w:r>
    </w:p>
    <w:p w14:paraId="004BFDA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b w:val="0"/>
          <w:bCs w:val="0"/>
          <w:color w:val="auto"/>
          <w:spacing w:val="11"/>
          <w:sz w:val="21"/>
          <w:szCs w:val="21"/>
          <w:lang w:val="en-US" w:eastAsia="zh-CN"/>
        </w:rPr>
      </w:pPr>
      <w:r>
        <w:rPr>
          <w:rFonts w:hint="eastAsia" w:ascii="方正书宋简体" w:hAnsi="方正书宋简体" w:eastAsia="方正书宋简体" w:cs="方正书宋简体"/>
          <w:b w:val="0"/>
          <w:bCs w:val="0"/>
          <w:color w:val="auto"/>
          <w:spacing w:val="11"/>
          <w:sz w:val="21"/>
          <w:szCs w:val="21"/>
          <w:lang w:val="en-US" w:eastAsia="zh-CN"/>
        </w:rPr>
        <w:t>责任单位：总包单位、分包单位、开户银行</w:t>
      </w:r>
    </w:p>
    <w:p w14:paraId="00BC126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b w:val="0"/>
          <w:bCs w:val="0"/>
          <w:color w:val="auto"/>
          <w:spacing w:val="11"/>
          <w:sz w:val="21"/>
          <w:szCs w:val="21"/>
          <w:lang w:val="en-US" w:eastAsia="zh-CN"/>
        </w:rPr>
      </w:pPr>
      <w:r>
        <w:rPr>
          <w:rFonts w:hint="eastAsia" w:ascii="方正书宋简体" w:hAnsi="方正书宋简体" w:eastAsia="方正书宋简体" w:cs="方正书宋简体"/>
          <w:b w:val="0"/>
          <w:bCs w:val="0"/>
          <w:color w:val="auto"/>
          <w:spacing w:val="11"/>
          <w:sz w:val="21"/>
          <w:szCs w:val="21"/>
          <w:lang w:val="en-US" w:eastAsia="zh-CN"/>
        </w:rPr>
        <w:t>监管单位：相关行业工程建设主管部门，开发区包联部、人社部门</w:t>
      </w:r>
    </w:p>
    <w:p w14:paraId="149C512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7.公示工资支付信息。总包单位应每月将农民工考勤计量表、工资支付表、银行转账流水等信息在维权信息告示牌上进行公示，公示期不少于5个工作日，同时每月以任意形式向农民工个人发布工资清单。</w:t>
      </w:r>
    </w:p>
    <w:p w14:paraId="7EC11A4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5652C4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55B3F52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调处工资支付纠纷。建设单位应当会同总包单位在工程项目部设立工资支付“农民工维权调解室”，并在施工现场公示、宣传主要职责。“农民工维权调解室”应实行24小时在线值班，及时接收妥善处理协调与农民工工资支付相关的矛盾纠纷，存在欠薪隐患风险的，应及时通知相关“双驻双查”人员介入调解。</w:t>
      </w:r>
    </w:p>
    <w:p w14:paraId="4DF343B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2F0720E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541C030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（三）退场完工阶段</w:t>
      </w:r>
    </w:p>
    <w:p w14:paraId="0AD47F5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严格退场管理。农民工中途离、退场或者工作任务结束离、退场的，用工单位应及时核清工作天数（工作量），主动结清工资，经班组长确认，总包单位审核，确保在无欠薪的前提下解除或终止劳动合同或用工书面协议，签署退场确认书。</w:t>
      </w:r>
    </w:p>
    <w:p w14:paraId="61465DA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责任单位：总包单位、分包单位、监理单位</w:t>
      </w:r>
    </w:p>
    <w:p w14:paraId="5D7651C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w:t>
      </w:r>
    </w:p>
    <w:p w14:paraId="5224347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清偿拖欠的农民工工资。分包单位拖欠农民工工资的，由总包单位先行清偿，再依法进行追偿。建设单位或总包单位将建设工程发包或者分包给个人或者不具备合法经营资格的单位，导致拖欠农民工工资的，由建设单位或总包单位清偿。施工单位允许其他单位和个人以施工单位的名义对外承揽建设工程，导致拖欠农民工工资的，由施工单位清偿。工程建设项目违反国土空间规划、工程建设等法律法规，导致拖欠农民工工资的，由建设单位清偿。</w:t>
      </w:r>
    </w:p>
    <w:p w14:paraId="41DB0D2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责任单位：建设单位、总包单位、分包单位</w:t>
      </w:r>
    </w:p>
    <w:p w14:paraId="1C0C54E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w:t>
      </w:r>
    </w:p>
    <w:p w14:paraId="23EC0F1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3.撤销专用账户。工程建设项目完工后，总包单位将本项目无拖欠农民工工资情况公示30日，按照《内蒙古自治区工程建设领域农民工资专用账户管理实施细则》第九条要求办理销户手续。</w:t>
      </w:r>
    </w:p>
    <w:p w14:paraId="4D3C66D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责任单位：建设单位、总包单位、开户银行</w:t>
      </w:r>
    </w:p>
    <w:p w14:paraId="53D776E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监管单位：相关行业工程建设主管部门、开发区包联部门、人社部门、各银行配合</w:t>
      </w:r>
    </w:p>
    <w:p w14:paraId="39AB100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4.返还工资保证金。工程建设项目完工后，总包单位将本项目无拖欠农民工工资情况公示30日，按照《内蒙古自治区工程建设领域农民工工资保证金管理实施细则》第二十一条要求办理相关手续。</w:t>
      </w:r>
    </w:p>
    <w:p w14:paraId="5126145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责任单位：总包单位</w:t>
      </w:r>
    </w:p>
    <w:p w14:paraId="18C4120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监管单位：人社部门，相关行业工程建设主管部门、开发区包联部门</w:t>
      </w:r>
    </w:p>
    <w:p w14:paraId="0A16028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依法处置欠薪问题。如农民工反映欠薪问题，建设单位、总包单位、分包单位应当根据各自职责，配合行业主管部门、开发区包联部门调查、核实、处置。行业主管部门、开发区包联部门、人社部门和其他有关部门应依法受理处置欠薪争议纠纷、举报、投诉。工会、司法行政部门应为被欠薪的农民工提供法律维权服务。公安部门、法院、检察院应及时办理涉嫌拒不支付劳动报酬刑事案件。</w:t>
      </w:r>
    </w:p>
    <w:p w14:paraId="435C772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责任单位：建设单位、总包单位、分包单位</w:t>
      </w:r>
    </w:p>
    <w:p w14:paraId="5226B0C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监管单位：行业工程建设主管部门、开发区包联部门、人社、工会、司法行政部门、公安部门、法院、检察院</w:t>
      </w:r>
    </w:p>
    <w:p w14:paraId="7A51A4C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黑体" w:hAnsi="黑体" w:eastAsia="黑体" w:cs="黑体"/>
          <w:color w:val="auto"/>
          <w:spacing w:val="11"/>
          <w:sz w:val="21"/>
          <w:szCs w:val="21"/>
          <w:lang w:val="en-US" w:eastAsia="zh-CN"/>
        </w:rPr>
        <w:t>四、农民工工资支付相关违法行为的惩戒</w:t>
      </w:r>
    </w:p>
    <w:p w14:paraId="5AFDA20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（一）工程建设领域拖欠农民工工资</w:t>
      </w:r>
    </w:p>
    <w:p w14:paraId="7D7030D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1.根据所涉领域，由相关行业工程建设主管部门、开发区包联部门督办，并按规定将建设单位、总包单位或分包单位列入农民工工资支付异常名录。</w:t>
      </w:r>
    </w:p>
    <w:p w14:paraId="68C2B7A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情节严重或者造成严重不良社会影响的，相关行业工程建设主管部门、开发区包联部门将有关材料移送人力资源社会保障行政部门查处，依法将用人单位及其法定代表人或者主要负责人、直接负责的主管人员和其他直接责任人员列入拖欠农民工工资失信联合惩戒对象名单；涉嫌构成拒不支付劳动报酬罪的，由人社部门依照有关规定及时移送公安机关。</w:t>
      </w:r>
    </w:p>
    <w:p w14:paraId="3D84870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（二）以实物、有价证券等形式代替货币支付农民工工资</w:t>
      </w:r>
    </w:p>
    <w:p w14:paraId="262CB7F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责令限期改正，逾期不改正的由人社部门对责任单位处2万元以上5万元以下的罚款，对法定代表人或者主要负责人、直接负责的主管人员和其他直接责任人员处1万元以上3万元以下的罚款。</w:t>
      </w:r>
    </w:p>
    <w:p w14:paraId="7F55666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（三）未编制工资支付台账并依法保存，或者未向农民工提供工资清单</w:t>
      </w:r>
    </w:p>
    <w:p w14:paraId="7A1A793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责令限期改正，逾期不改正的由人社部门对责任单位处2万元以上5万元以下的罚款，对法定代表人或者主要负责人、直接负责的主管人员和其他直接责任人员处1万元以上3万元以下的罚款。</w:t>
      </w:r>
    </w:p>
    <w:p w14:paraId="619BACE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（四）扣押或者变相扣押用于支付农民工工资的银行账户所绑定的农民工本人社会保障卡或者银行卡</w:t>
      </w:r>
    </w:p>
    <w:p w14:paraId="3F528E8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责令限期改正，逾期不改正的由人社部门对责任单位处2万元以上5万元以下的罚款，对法定代表人或者主要负责人、直接负责的主管人员和其他直接责任人员处1万元以上3万元以下的罚款。</w:t>
      </w:r>
    </w:p>
    <w:p w14:paraId="7B5A237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（五）总包单位未按规定开设或者使用农民工工资专用账户</w:t>
      </w:r>
    </w:p>
    <w:p w14:paraId="29EA94D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包联部门按照职责责令限期改正；逾期不改正的，责令项目停工，并处5万元以上10万元以下的罚款；情节严重的，给予施工单位限制承接新工程、降低资质等级、吊销资质证书等处罚。</w:t>
      </w:r>
    </w:p>
    <w:p w14:paraId="32397A6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（六）总包单位未按规定存储工资保证金或者未提供金融机构保函</w:t>
      </w:r>
    </w:p>
    <w:p w14:paraId="73F66FB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责令项目停工，并处5万元以上10万元以下的罚款；情节严重的，给予施工单位限制承接新工程、降低资质等级、吊销资质证书等处罚。</w:t>
      </w:r>
    </w:p>
    <w:p w14:paraId="31678E8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（七）施工总承包单位、分包单位未实行劳动用工实名制管理</w:t>
      </w:r>
    </w:p>
    <w:p w14:paraId="2862EBF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力资源社会保障行政部门、相关行业工程建设主管部门、开发区包联部门按照职责责令限期改正；逾期不改正的，责令项目停工，并处5万元以上10万元以下的罚款；情节严重的，给予施工单位限制承接新工程、降低资质等级、吊销资质证书等处罚。</w:t>
      </w:r>
    </w:p>
    <w:p w14:paraId="5BB4AE6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（八）分包单位未按月考核农民工工作量、编制工资支付表并经农民工本人签字确认的</w:t>
      </w:r>
    </w:p>
    <w:p w14:paraId="7089A00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由人社部门、相关行业工程建设主管部门、开发区包联部门按照职责责令限期改正；逾期不改正的，处5万元以上10万元以下的罚款。</w:t>
      </w:r>
    </w:p>
    <w:p w14:paraId="64BB8B4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（九）总包单位未对分包单位劳动用工实施监督管理</w:t>
      </w:r>
    </w:p>
    <w:p w14:paraId="0599119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由人社部门、相关行业工程建设主管部门、开发区包联部门按照职责责令限期改正；逾期不改正的，处5万元以上10万元以下的罚款。</w:t>
      </w:r>
    </w:p>
    <w:p w14:paraId="0F298F4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（十）分包单位未配合施工总承包单位对其劳动用工进行监督管理</w:t>
      </w:r>
    </w:p>
    <w:p w14:paraId="52977A6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由人社部门、相关行业工程建设主管部门、开发区包联部门按照职责责令限期改正；逾期不改正的，处5万元以上10万元以下的罚款</w:t>
      </w:r>
    </w:p>
    <w:p w14:paraId="50B9EBC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（十一）总包单位未实行施工现场维权信息公示制度</w:t>
      </w:r>
    </w:p>
    <w:p w14:paraId="13A4237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由人社部门、相关行业工程建设主管部门、开发区包联部门按照职责责令限期改正；逾期不改正的，处5万元以上10万元以下的罚款。</w:t>
      </w:r>
    </w:p>
    <w:p w14:paraId="78BF9D0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（十二）建设单位未依法提供工程款支付担保</w:t>
      </w:r>
    </w:p>
    <w:p w14:paraId="621CB77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由人社部门、相关行业工程建设主管部门、开发区包联部门按照职责责令限期改正；逾期不改正的，责令项目停工，并处5万元以上10万元以下的罚款。</w:t>
      </w:r>
    </w:p>
    <w:p w14:paraId="1FE4315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（十三）建设单位未按约定及时足额向农民工工资专用账户拨付工程款中的人工费用</w:t>
      </w:r>
    </w:p>
    <w:p w14:paraId="12037D9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由人社部门、相关行业工程建设主管部门、开发区包联部门按照职责责令限期改正；逾期不改正的，责令项目停工，并处5万元以上10万元以下的罚款。</w:t>
      </w:r>
    </w:p>
    <w:p w14:paraId="3A9ED8F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（十四）建设单位或总包单位拒不提供或者无法提供工程施工合同、农民工工资专用账户有关资料</w:t>
      </w:r>
    </w:p>
    <w:p w14:paraId="20B1BAB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由人社部门、相关行业工程建设主管部门、开发区包联部门按照职责责令限期改正；逾期不改正的，责令项目停工，并处5万元以上10万元以下的罚款。</w:t>
      </w:r>
    </w:p>
    <w:p w14:paraId="7F49282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（十五）不依法配合人力资源和社会保障行政部门查询相关单位金融账户</w:t>
      </w:r>
    </w:p>
    <w:p w14:paraId="1B6EACF7">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由金融监管部门责令改正；拒不改正的，处2万元以上5万元以下的罚款。</w:t>
      </w:r>
    </w:p>
    <w:p w14:paraId="1F1A1AC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（十六）政府投资项目政府投资资金不到位拖欠农民工工资</w:t>
      </w:r>
    </w:p>
    <w:p w14:paraId="28ABD86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旗（区）人社部门报本级人民政府批准，责令限期足额拨付所拖欠的资金；逾期不拨付的，由市人社部门约谈直接责任部门和相关监管部门负责人，必要时进行通报，约谈地方人民政府负责人。情节严重的，对地方人民政府及其有关部门负责人、直接负责的主管人员和其他直接责任人员依法依规给予处分。</w:t>
      </w:r>
    </w:p>
    <w:p w14:paraId="0D47CB6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（十七）政府投资项目建设单位未经批准立项建设、擅自扩大建设规模、擅自增加投资概算、未及时拨付工程款等导致拖欠农民工工资</w:t>
      </w:r>
    </w:p>
    <w:p w14:paraId="2F35A60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旗（区）人社部门报本级人民政府批准，责令限期足额拨付所拖欠的资金；逾期不拨付的，由市人社部门约谈直接责任部门和相关监管部门负责人，必要时进行通报，约谈地方人民政府负责人。情节严重的，对地方人民政府及其有关部门负责人、直接负责的主管人员和其他直接责任人员依法依规给予处分。</w:t>
      </w:r>
    </w:p>
    <w:p w14:paraId="36E2D69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（十八）社会投资工程建设项目建设单位建设资金不到位、违法违规开工建设，拖欠农民工工资</w:t>
      </w:r>
    </w:p>
    <w:p w14:paraId="0F1A08F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由人社部门、其他有关部门按照职责依法对建设单位进行处罚；对建设单位负责人依法依规给予处分。相关部门工作人员未依法履行职责的，由有关机关依法依规给予处分。</w:t>
      </w:r>
    </w:p>
    <w:p w14:paraId="74DCE62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（十九）用人单位伪造、编造、隐瞒、藏匿工资支付台账或者不依法提供相关工作台账</w:t>
      </w:r>
    </w:p>
    <w:p w14:paraId="59FF698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由人社部门责令限期改正；逾期不改正的，处2万元以上5万元以下罚款，对法定代表人或者主要负责人、直接负责的主管人员和其他直接责任人员处1万元以上3万元以下罚款。</w:t>
      </w:r>
    </w:p>
    <w:p w14:paraId="0AC57C2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（二十）工程建设领域施工总承包单位未通过农民工工资支付监控预警平台上传工资支付表或者未及时处置农民工工资支付监控预警平台预警信息</w:t>
      </w:r>
    </w:p>
    <w:p w14:paraId="7746CBC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由人社部门责令限期改正；逾期不改正的，处5万元以上10万元以下罚款。</w:t>
      </w:r>
    </w:p>
    <w:p w14:paraId="6CC64C4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十一）建设单位、施工总承包单位未按时将在建项目纳入农民工工资支付监控预警平台监管；施工总承包单位、分包单位未及时将参建单位信息、工程施工许可、工程款支付担保、用工管理、工资发放等信息上传至农民工工资支付监控预警平台；未通过实名制考勤设备如实记录并上传所招用农民工信息化实名制考勤情况</w:t>
      </w:r>
    </w:p>
    <w:p w14:paraId="114912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由人社部门责令限期改正；逾期不改正的，处5万元以上10万元以下罚款。</w:t>
      </w:r>
    </w:p>
    <w:p w14:paraId="06C8144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十二）政府、国有企业投资项目所需资金不到位或者被挤占、挪用导致拖欠农民工工资的，由上一级人力资源社会保障行政部门或者其他有关部门按照职责约谈责任单位负责人，并作为其业绩考核、薪酬分配、评优评先、职务晋升等的重要依据；情节严重的，由自治区人力资源社会保障行政部门或者其他有关部门进行通报，约谈项目所在地旗县级人民政府主要负责人或者国有企业负责人</w:t>
      </w:r>
    </w:p>
    <w:p w14:paraId="0D7B6DB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政府、国有企业投资项目不按规定落实项目资金、由施工单位垫资建设、擅自增加投资概算或者项目资金被挤占、挪用等导致拖欠农民工工资的，纳入政务失信记录。</w:t>
      </w:r>
    </w:p>
    <w:p w14:paraId="0ECBD4B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黑体" w:hAnsi="黑体" w:eastAsia="黑体" w:cs="黑体"/>
          <w:color w:val="auto"/>
          <w:spacing w:val="11"/>
          <w:sz w:val="21"/>
          <w:szCs w:val="21"/>
          <w:lang w:val="en-US" w:eastAsia="zh-CN"/>
        </w:rPr>
      </w:pPr>
      <w:r>
        <w:rPr>
          <w:rFonts w:hint="eastAsia" w:ascii="黑体" w:hAnsi="黑体" w:eastAsia="黑体" w:cs="黑体"/>
          <w:color w:val="auto"/>
          <w:spacing w:val="11"/>
          <w:sz w:val="21"/>
          <w:szCs w:val="21"/>
          <w:lang w:val="en-US" w:eastAsia="zh-CN"/>
        </w:rPr>
        <w:t>五、台账资料归档管理</w:t>
      </w:r>
    </w:p>
    <w:p w14:paraId="44C1D7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总包单位应当对项目劳动用工台账资料进行标准化归档整理，安排专人负责，及时更新，妥善保存。本手册提供的台账资料文本与格式均为标准样式，各旗（区）各部门应根据实际情况进行制作。项目台账资料应按照以下七个方面依序分门别类归档。</w:t>
      </w:r>
    </w:p>
    <w:p w14:paraId="4FC26D1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（一）台账一：项目基础资料</w:t>
      </w:r>
    </w:p>
    <w:p w14:paraId="51E6589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1.资料封面及目录</w:t>
      </w:r>
    </w:p>
    <w:p w14:paraId="681A815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2.工程概况（项目概况表）</w:t>
      </w:r>
    </w:p>
    <w:p w14:paraId="24BFB4D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3.项目施工许可证</w:t>
      </w:r>
    </w:p>
    <w:p w14:paraId="61E752F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4.项目招标文件</w:t>
      </w:r>
    </w:p>
    <w:p w14:paraId="06D31D0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5.工程施工合同</w:t>
      </w:r>
    </w:p>
    <w:p w14:paraId="1ECBDF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6.项目主管部门可研报告及批复（政府项目）</w:t>
      </w:r>
    </w:p>
    <w:p w14:paraId="7F12242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7.工程施工合同补充协议</w:t>
      </w:r>
    </w:p>
    <w:p w14:paraId="683E86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8.施工单位营业执照、资质证书、安全生产许可证</w:t>
      </w:r>
    </w:p>
    <w:p w14:paraId="295EDBA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9.施工单位法人身份证复印件、项目负责人身份证复印件</w:t>
      </w:r>
    </w:p>
    <w:p w14:paraId="54E98B0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10.建设单位营业执照、法人身份证复印件</w:t>
      </w:r>
    </w:p>
    <w:p w14:paraId="620D91D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11.劳资专管员身份证复印件、授权委托书、劳动合同</w:t>
      </w:r>
    </w:p>
    <w:p w14:paraId="5F5E3E6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12.劳务公司营业执照、资质证书、法人身份证复印件、项目负责人身份证复印件、安全生产许可证书</w:t>
      </w:r>
    </w:p>
    <w:p w14:paraId="6119A47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13.劳务公司劳资员身份证复印件、授权委托书、劳资员合同</w:t>
      </w:r>
    </w:p>
    <w:p w14:paraId="53BDCF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14.劳务分包合同（专业分包合同）</w:t>
      </w:r>
    </w:p>
    <w:p w14:paraId="2556730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15.总承包单位、分包单位、专业分包单位防范处置拖欠农民工工资承诺书</w:t>
      </w:r>
    </w:p>
    <w:p w14:paraId="7E43E07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16.现场管理规章制度</w:t>
      </w:r>
    </w:p>
    <w:p w14:paraId="08F3ED1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（二）台账二：项目资金往来资料</w:t>
      </w:r>
    </w:p>
    <w:p w14:paraId="00907FF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1.资料封面及目录</w:t>
      </w:r>
    </w:p>
    <w:p w14:paraId="098FB28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2.农民工工资专用账户开设三方协议</w:t>
      </w:r>
    </w:p>
    <w:p w14:paraId="5F6D330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3.专户银行开立证明</w:t>
      </w:r>
    </w:p>
    <w:p w14:paraId="06200AD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4.分包企业委托施工总承包企业发放工资委托书</w:t>
      </w:r>
    </w:p>
    <w:p w14:paraId="12342E1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5.建设单位人工费用拨付申请表和清单</w:t>
      </w:r>
    </w:p>
    <w:p w14:paraId="2985AEA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6.建设单位人工费用拨付凭证（银行流水）</w:t>
      </w:r>
    </w:p>
    <w:p w14:paraId="5BE9119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7.总包单位代发工资清单</w:t>
      </w:r>
    </w:p>
    <w:p w14:paraId="1D6BE80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8.工程款拨付申请表及支付清单</w:t>
      </w:r>
    </w:p>
    <w:p w14:paraId="72B1A79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9.工程款拨付凭证（银行流水）</w:t>
      </w:r>
    </w:p>
    <w:p w14:paraId="0742602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10.建设项目工程款和农民工工资分账管理协议</w:t>
      </w:r>
    </w:p>
    <w:p w14:paraId="0CF2CC0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11.工伤保险缴纳凭证</w:t>
      </w:r>
    </w:p>
    <w:p w14:paraId="5CC93C5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12.工资保证金审批表</w:t>
      </w:r>
    </w:p>
    <w:p w14:paraId="718EDC3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13.工资保证金缴存证明（三选一，不可同时存在两种及以上缴存形式）</w:t>
      </w:r>
    </w:p>
    <w:p w14:paraId="6079670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（1）银行保函</w:t>
      </w:r>
    </w:p>
    <w:p w14:paraId="44957D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（2）保险公司保单</w:t>
      </w:r>
    </w:p>
    <w:p w14:paraId="6686842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（3）现金存储银行凭证</w:t>
      </w:r>
    </w:p>
    <w:p w14:paraId="111F79E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14.建设单位支付给施工总承包企业工程款预付银行付款凭证</w:t>
      </w:r>
    </w:p>
    <w:p w14:paraId="64CD12D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15.工程款支付担保的凭证</w:t>
      </w:r>
    </w:p>
    <w:p w14:paraId="25CAB56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（三）台账三：项目劳动用工资料</w:t>
      </w:r>
    </w:p>
    <w:p w14:paraId="07B56D4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1.资料封面及目录</w:t>
      </w:r>
    </w:p>
    <w:p w14:paraId="0B19C55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2.进场施工人员劳动合同及签收表（分班组提供）</w:t>
      </w:r>
    </w:p>
    <w:p w14:paraId="7DBF6E1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3.农民工身份证复印件</w:t>
      </w:r>
    </w:p>
    <w:p w14:paraId="013EA96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4.农民工进（退）场承诺（确认）书</w:t>
      </w:r>
    </w:p>
    <w:p w14:paraId="341B9CD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5.用工花名册（按月分班组造册）</w:t>
      </w:r>
    </w:p>
    <w:p w14:paraId="062DF1D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6.工人考勤表、工作量表（按月分班组造册，与花名册顺序一致）</w:t>
      </w:r>
    </w:p>
    <w:p w14:paraId="70E9803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7.工资支付确认表（按月分班组造册，与花名册顺序一致）</w:t>
      </w:r>
    </w:p>
    <w:p w14:paraId="0B58887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8.施工现场实名制登记表</w:t>
      </w:r>
    </w:p>
    <w:p w14:paraId="1C36239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9.农民工社保卡或银行卡本人持卡确认书</w:t>
      </w:r>
    </w:p>
    <w:p w14:paraId="1C89B07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10.工资发放银行流水单（显示专用账户号和支付日期）</w:t>
      </w:r>
    </w:p>
    <w:p w14:paraId="7AFFE6A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11.综合计算工时和不定时工作制人社局审批表</w:t>
      </w:r>
    </w:p>
    <w:p w14:paraId="3BD8D36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（四）台账四：其他台账</w:t>
      </w:r>
    </w:p>
    <w:p w14:paraId="0C9F491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1.资料封面及目录</w:t>
      </w:r>
    </w:p>
    <w:p w14:paraId="4ED6A30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2.中标通知书</w:t>
      </w:r>
    </w:p>
    <w:p w14:paraId="357C25A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3.维权告示牌</w:t>
      </w:r>
    </w:p>
    <w:p w14:paraId="23FE807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4.退场结薪流程图</w:t>
      </w:r>
    </w:p>
    <w:p w14:paraId="5A7A2CD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5.项目经理变更备案表</w:t>
      </w:r>
    </w:p>
    <w:p w14:paraId="3EE1376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6.原项目经理身份证复印件、注册证、安考证</w:t>
      </w:r>
    </w:p>
    <w:p w14:paraId="3D3377B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7.新项目经理身份证复印件、注册证、安考证</w:t>
      </w:r>
    </w:p>
    <w:p w14:paraId="5209457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8.总监身份证、注册证</w:t>
      </w:r>
    </w:p>
    <w:p w14:paraId="7130B5D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9.项目经理及五大员劳动合同</w:t>
      </w:r>
    </w:p>
    <w:p w14:paraId="4DF797C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10.特种作业人员花名册及资格证书复印件</w:t>
      </w:r>
    </w:p>
    <w:p w14:paraId="07DDB25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11.项目管理人员和劳资专管员参加保障农民工工资支付相关培训记录</w:t>
      </w:r>
    </w:p>
    <w:p w14:paraId="15376C5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12.企业组织岗前教育培训、安全教育培训、职业培训等文件、培训组织记录照片和财务培训支出凭证</w:t>
      </w:r>
    </w:p>
    <w:p w14:paraId="1EEE035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黑体" w:hAnsi="黑体" w:eastAsia="黑体" w:cs="黑体"/>
          <w:color w:val="auto"/>
          <w:spacing w:val="11"/>
          <w:sz w:val="21"/>
          <w:szCs w:val="21"/>
          <w:lang w:val="en-US" w:eastAsia="zh-CN"/>
        </w:rPr>
      </w:pPr>
      <w:r>
        <w:rPr>
          <w:rFonts w:hint="eastAsia" w:ascii="黑体" w:hAnsi="黑体" w:eastAsia="黑体" w:cs="黑体"/>
          <w:color w:val="auto"/>
          <w:spacing w:val="11"/>
          <w:sz w:val="21"/>
          <w:szCs w:val="21"/>
          <w:lang w:val="en-US" w:eastAsia="zh-CN"/>
        </w:rPr>
        <w:t>六、附件</w:t>
      </w:r>
    </w:p>
    <w:p w14:paraId="6D33481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1.项目概况表</w:t>
      </w:r>
    </w:p>
    <w:p w14:paraId="0D26D3F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2.建设工程农民工工资支付补充协议（范本）</w:t>
      </w:r>
    </w:p>
    <w:p w14:paraId="014A761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3.工程款支付清单（范本）</w:t>
      </w:r>
    </w:p>
    <w:p w14:paraId="0725924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4.简易劳动合同（范本）</w:t>
      </w:r>
    </w:p>
    <w:p w14:paraId="04E5443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5.农民工花名册（范本）</w:t>
      </w:r>
    </w:p>
    <w:p w14:paraId="02D7F00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6.农民工劳动合同签收表（范本）</w:t>
      </w:r>
    </w:p>
    <w:p w14:paraId="08D7287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7.农民工进场承诺书（范本）</w:t>
      </w:r>
    </w:p>
    <w:p w14:paraId="34205E4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8.班组长进场承诺书（范本）</w:t>
      </w:r>
    </w:p>
    <w:p w14:paraId="0A913C9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9.农民工退场确认书（范本）</w:t>
      </w:r>
    </w:p>
    <w:p w14:paraId="67F1615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10.班组长退场承诺书（范本）</w:t>
      </w:r>
    </w:p>
    <w:p w14:paraId="64C00B9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11.农民工考勤表（范本）</w:t>
      </w:r>
    </w:p>
    <w:p w14:paraId="637761F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12.农民工工作量表（范本）</w:t>
      </w:r>
    </w:p>
    <w:p w14:paraId="7EA581D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13.农民工工资支付表（范本）</w:t>
      </w:r>
    </w:p>
    <w:p w14:paraId="4F61851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14.总包单位代发工资清单（范本）</w:t>
      </w:r>
    </w:p>
    <w:p w14:paraId="29C3DFD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15.农民工工资专用账户资金管理协议（范本）</w:t>
      </w:r>
    </w:p>
    <w:p w14:paraId="3ACA360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16.农民工工资委托代发协议（范本）</w:t>
      </w:r>
    </w:p>
    <w:p w14:paraId="703ED63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17.专用账户清单（范本）</w:t>
      </w:r>
    </w:p>
    <w:p w14:paraId="40A5F1D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18.农民工工资保证金银行保函（范本）</w:t>
      </w:r>
    </w:p>
    <w:p w14:paraId="2F01AAD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19.农民工工资支付履约保证保险凭证（范本）</w:t>
      </w:r>
    </w:p>
    <w:p w14:paraId="72B26BC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20.农民工工资保证金存款协议书（范本）</w:t>
      </w:r>
    </w:p>
    <w:p w14:paraId="41CECC0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21.农民工工资保证金降低存储比例（免存）申报表（范本）</w:t>
      </w:r>
    </w:p>
    <w:p w14:paraId="1C88B23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22.农民工工资保证金提高存储比例通知书（范本）</w:t>
      </w:r>
    </w:p>
    <w:p w14:paraId="4E49BAE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23.退场结薪流程图（模板）</w:t>
      </w:r>
    </w:p>
    <w:p w14:paraId="1C7210E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24.撤销农民工工资专用账户所需材料</w:t>
      </w:r>
    </w:p>
    <w:p w14:paraId="5A6C987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25.农民工工资专用账户销户申请表</w:t>
      </w:r>
    </w:p>
    <w:p w14:paraId="245979E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26.关于同意转出农民工工资专用账户人工费用余额的函（范本）</w:t>
      </w:r>
    </w:p>
    <w:p w14:paraId="66A7F7A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27.农民工工资保证金支付通知书（范本）</w:t>
      </w:r>
    </w:p>
    <w:p w14:paraId="65E440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28.使用农民工工资保证金代为支付农民工工资表（范本）</w:t>
      </w:r>
    </w:p>
    <w:p w14:paraId="302C747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29.取得农民工工资保证金返还（销户）确认书所需材料</w:t>
      </w:r>
    </w:p>
    <w:p w14:paraId="27C30C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30.农民工工资保证金返还（销户）确认书（范本）</w:t>
      </w:r>
    </w:p>
    <w:p w14:paraId="3712EFE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5A0BA4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r>
        <w:rPr>
          <w:rFonts w:ascii="Times New Roman" w:hAnsi="Times New Roman" w:eastAsia="宋体" w:cs="Times New Roman"/>
          <w:spacing w:val="11"/>
          <w:position w:val="-39"/>
        </w:rPr>
        <w:drawing>
          <wp:anchor distT="0" distB="0" distL="114300" distR="114300" simplePos="0" relativeHeight="251659264" behindDoc="0" locked="0" layoutInCell="1" allowOverlap="1">
            <wp:simplePos x="0" y="0"/>
            <wp:positionH relativeFrom="column">
              <wp:posOffset>896620</wp:posOffset>
            </wp:positionH>
            <wp:positionV relativeFrom="paragraph">
              <wp:posOffset>334010</wp:posOffset>
            </wp:positionV>
            <wp:extent cx="1263015" cy="1259205"/>
            <wp:effectExtent l="0" t="0" r="6985" b="10795"/>
            <wp:wrapNone/>
            <wp:docPr id="1" name="图片 2"/>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9"/>
                    <a:stretch>
                      <a:fillRect/>
                    </a:stretch>
                  </pic:blipFill>
                  <pic:spPr>
                    <a:xfrm>
                      <a:off x="0" y="0"/>
                      <a:ext cx="1263015" cy="1259205"/>
                    </a:xfrm>
                    <a:prstGeom prst="rect">
                      <a:avLst/>
                    </a:prstGeom>
                    <a:noFill/>
                    <a:ln>
                      <a:noFill/>
                    </a:ln>
                  </pic:spPr>
                </pic:pic>
              </a:graphicData>
            </a:graphic>
          </wp:anchor>
        </w:drawing>
      </w:r>
      <w:r>
        <w:rPr>
          <w:rFonts w:hint="eastAsia" w:ascii="方正书宋简体" w:hAnsi="方正书宋简体" w:eastAsia="方正书宋简体" w:cs="方正书宋简体"/>
          <w:color w:val="auto"/>
          <w:spacing w:val="11"/>
          <w:sz w:val="21"/>
          <w:szCs w:val="21"/>
          <w:lang w:val="en-US" w:eastAsia="zh-CN"/>
        </w:rPr>
        <w:t>附件电子版扫描二维码下载</w:t>
      </w:r>
    </w:p>
    <w:p w14:paraId="2718B4B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410603D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49D3A12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14EC5BB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1D46A6E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3C1BA13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07A7E89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2200564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396ED3E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6CBDED0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62A4FAD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58D2418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365848B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4A63A2A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25925D5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5BAFB10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6C5BE63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394C4C1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092A2FB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1160" w:firstLineChars="500"/>
        <w:jc w:val="both"/>
        <w:textAlignment w:val="auto"/>
        <w:rPr>
          <w:rFonts w:hint="eastAsia" w:ascii="方正书宋简体" w:hAnsi="方正书宋简体" w:eastAsia="方正书宋简体" w:cs="方正书宋简体"/>
          <w:color w:val="auto"/>
          <w:spacing w:val="11"/>
          <w:sz w:val="21"/>
          <w:szCs w:val="21"/>
          <w:lang w:val="en-US" w:eastAsia="zh-CN"/>
        </w:rPr>
      </w:pPr>
    </w:p>
    <w:p w14:paraId="05EA1005">
      <w:pPr>
        <w:keepNext w:val="0"/>
        <w:keepLines w:val="0"/>
        <w:pageBreakBefore w:val="0"/>
        <w:widowControl/>
        <w:kinsoku/>
        <w:wordWrap/>
        <w:overflowPunct/>
        <w:topLinePunct w:val="0"/>
        <w:autoSpaceDE w:val="0"/>
        <w:autoSpaceDN w:val="0"/>
        <w:bidi w:val="0"/>
        <w:adjustRightInd w:val="0"/>
        <w:snapToGrid w:val="0"/>
        <w:spacing w:before="94" w:line="310" w:lineRule="exact"/>
        <w:jc w:val="left"/>
        <w:textAlignment w:val="baseline"/>
        <w:rPr>
          <w:rFonts w:hint="eastAsia" w:ascii="方正小标宋简体" w:hAnsi="方正小标宋简体" w:eastAsia="方正小标宋简体" w:cs="方正小标宋简体"/>
          <w:color w:val="auto"/>
          <w:spacing w:val="11"/>
          <w:sz w:val="44"/>
          <w:szCs w:val="44"/>
          <w:lang w:val="en-US" w:eastAsia="zh-CN"/>
        </w:rPr>
      </w:pPr>
      <w:r>
        <w:rPr>
          <w:rFonts w:ascii="黑体" w:hAnsi="黑体" w:eastAsia="黑体" w:cs="黑体"/>
          <w:b w:val="0"/>
          <w:bCs w:val="0"/>
          <w:snapToGrid w:val="0"/>
          <w:color w:val="000000"/>
          <w:spacing w:val="11"/>
          <w:kern w:val="0"/>
          <w:sz w:val="21"/>
          <w:szCs w:val="21"/>
        </w:rPr>
        <w:t>附件</w:t>
      </w:r>
      <w:r>
        <w:rPr>
          <w:rFonts w:hint="eastAsia" w:ascii="黑体" w:hAnsi="黑体" w:eastAsia="黑体" w:cs="黑体"/>
          <w:b w:val="0"/>
          <w:bCs w:val="0"/>
          <w:snapToGrid w:val="0"/>
          <w:color w:val="000000"/>
          <w:spacing w:val="11"/>
          <w:kern w:val="0"/>
          <w:sz w:val="21"/>
          <w:szCs w:val="21"/>
          <w:lang w:val="en-US" w:eastAsia="zh-CN"/>
        </w:rPr>
        <w:t>1</w:t>
      </w:r>
    </w:p>
    <w:p w14:paraId="72415BF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699ACA3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6F7D535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766B93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sectPr>
          <w:type w:val="continuous"/>
          <w:pgSz w:w="11906" w:h="16838"/>
          <w:pgMar w:top="2154" w:right="1134" w:bottom="1701" w:left="1134" w:header="1134" w:footer="992" w:gutter="0"/>
          <w:pgNumType w:fmt="decimal"/>
          <w:cols w:equalWidth="0" w:num="2">
            <w:col w:w="4606" w:space="425"/>
            <w:col w:w="4606"/>
          </w:cols>
          <w:docGrid w:type="lines" w:linePitch="312" w:charSpace="0"/>
        </w:sectPr>
      </w:pPr>
    </w:p>
    <w:p w14:paraId="403584B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619B3F3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72A558F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3634C00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pacing w:val="11"/>
          <w:sz w:val="44"/>
          <w:szCs w:val="44"/>
          <w:lang w:val="en-US" w:eastAsia="zh-CN"/>
        </w:rPr>
      </w:pPr>
    </w:p>
    <w:p w14:paraId="432433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鄂托克旗行业部门、开发区包联部门</w:t>
      </w:r>
    </w:p>
    <w:p w14:paraId="7B5DC8C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治理欠薪工作指导手册</w:t>
      </w:r>
    </w:p>
    <w:p w14:paraId="42FE993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6C56B8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2E1A13E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5180BE2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594E28B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14B9DF5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40EF750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481C917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4ED5C07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56DE43C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6116FD2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3575A4B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50EDE37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6C77F18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pacing w:val="11"/>
          <w:sz w:val="32"/>
          <w:szCs w:val="32"/>
          <w:lang w:val="en-US" w:eastAsia="zh-CN"/>
        </w:rPr>
      </w:pPr>
      <w:r>
        <w:rPr>
          <w:rFonts w:hint="eastAsia" w:ascii="仿宋_GB2312" w:hAnsi="仿宋_GB2312" w:eastAsia="仿宋_GB2312" w:cs="仿宋_GB2312"/>
          <w:b/>
          <w:bCs/>
          <w:color w:val="auto"/>
          <w:spacing w:val="11"/>
          <w:sz w:val="32"/>
          <w:szCs w:val="32"/>
          <w:lang w:val="en-US" w:eastAsia="zh-CN"/>
        </w:rPr>
        <w:t>2026年1月</w:t>
      </w:r>
    </w:p>
    <w:p w14:paraId="7D85803B">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5AADC6DB">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09CE93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pacing w:val="11"/>
          <w:sz w:val="44"/>
          <w:szCs w:val="44"/>
          <w:lang w:val="en-US" w:eastAsia="zh-CN"/>
        </w:rPr>
      </w:pPr>
      <w:r>
        <w:rPr>
          <w:rFonts w:hint="eastAsia" w:ascii="方正小标宋简体" w:hAnsi="方正小标宋简体" w:eastAsia="方正小标宋简体" w:cs="方正小标宋简体"/>
          <w:color w:val="auto"/>
          <w:spacing w:val="11"/>
          <w:sz w:val="44"/>
          <w:szCs w:val="44"/>
          <w:lang w:val="en-US" w:eastAsia="zh-CN"/>
        </w:rPr>
        <w:t>目  录</w:t>
      </w:r>
    </w:p>
    <w:p w14:paraId="39CD0D1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11"/>
          <w:sz w:val="32"/>
          <w:szCs w:val="32"/>
          <w:lang w:val="en-US" w:eastAsia="zh-CN"/>
        </w:rPr>
      </w:pPr>
    </w:p>
    <w:p w14:paraId="6361A5AC">
      <w:pPr>
        <w:pStyle w:val="2"/>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0" w:firstLineChars="0"/>
        <w:jc w:val="distribute"/>
        <w:textAlignment w:val="auto"/>
        <w:rPr>
          <w:rFonts w:hint="default" w:ascii="方正书宋简体" w:hAnsi="方正书宋简体" w:eastAsia="方正书宋简体" w:cs="方正书宋简体"/>
          <w:sz w:val="21"/>
          <w:szCs w:val="21"/>
          <w:lang w:val="en-US" w:eastAsia="zh-CN"/>
        </w:rPr>
      </w:pPr>
      <w:r>
        <w:rPr>
          <w:rFonts w:hint="eastAsia" w:ascii="黑体" w:hAnsi="黑体" w:eastAsia="黑体" w:cs="黑体"/>
          <w:kern w:val="2"/>
          <w:sz w:val="21"/>
          <w:szCs w:val="21"/>
          <w:lang w:val="en-US" w:eastAsia="zh-CN" w:bidi="ar-SA"/>
        </w:rPr>
        <w:t>一、</w:t>
      </w:r>
      <w:r>
        <w:rPr>
          <w:rFonts w:hint="eastAsia" w:ascii="黑体" w:hAnsi="黑体" w:eastAsia="黑体" w:cs="黑体"/>
          <w:sz w:val="21"/>
          <w:szCs w:val="21"/>
          <w:lang w:val="en-US" w:eastAsia="zh-CN"/>
        </w:rPr>
        <w:t>总则</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43</w:t>
      </w:r>
    </w:p>
    <w:p w14:paraId="6F2ACACA">
      <w:pPr>
        <w:pStyle w:val="2"/>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Chars="0"/>
        <w:jc w:val="distribute"/>
        <w:textAlignment w:val="auto"/>
        <w:rPr>
          <w:rFonts w:hint="default" w:ascii="方正书宋简体" w:hAnsi="方正书宋简体" w:eastAsia="方正书宋简体" w:cs="方正书宋简体"/>
          <w:sz w:val="21"/>
          <w:szCs w:val="21"/>
          <w:lang w:val="en-US" w:eastAsia="zh-CN"/>
        </w:rPr>
      </w:pPr>
      <w:r>
        <w:rPr>
          <w:rFonts w:hint="eastAsia" w:ascii="黑体" w:hAnsi="黑体" w:eastAsia="黑体" w:cs="黑体"/>
          <w:color w:val="auto"/>
          <w:spacing w:val="11"/>
          <w:sz w:val="21"/>
          <w:szCs w:val="21"/>
          <w:lang w:val="en-US" w:eastAsia="zh-CN"/>
        </w:rPr>
        <w:t>二、工作任务及要求</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sz w:val="21"/>
          <w:szCs w:val="21"/>
          <w:lang w:val="en-US" w:eastAsia="zh-CN"/>
        </w:rPr>
        <w:t>45</w:t>
      </w:r>
    </w:p>
    <w:p w14:paraId="0C2CC26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（一）工程建设领域行业主管部门</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45</w:t>
      </w:r>
    </w:p>
    <w:p w14:paraId="735308F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（二）非工程建设领域行业主管部门</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46</w:t>
      </w:r>
    </w:p>
    <w:p w14:paraId="043EE28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黑体" w:hAnsi="黑体" w:eastAsia="黑体" w:cs="黑体"/>
          <w:color w:val="auto"/>
          <w:spacing w:val="11"/>
          <w:sz w:val="21"/>
          <w:szCs w:val="21"/>
          <w:lang w:val="en-US" w:eastAsia="zh-CN"/>
        </w:rPr>
        <w:t>三、惩治、防范、处置</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47</w:t>
      </w:r>
    </w:p>
    <w:p w14:paraId="66D1A9D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（一）欠薪惩治</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47</w:t>
      </w:r>
    </w:p>
    <w:p w14:paraId="57E4CBD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（二）欠薪防范</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47</w:t>
      </w:r>
    </w:p>
    <w:p w14:paraId="08E254E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（三）欠薪处置</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47</w:t>
      </w:r>
    </w:p>
    <w:p w14:paraId="030C05F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黑体" w:hAnsi="黑体" w:eastAsia="黑体" w:cs="黑体"/>
          <w:color w:val="auto"/>
          <w:spacing w:val="11"/>
          <w:sz w:val="21"/>
          <w:szCs w:val="21"/>
          <w:lang w:val="en-US" w:eastAsia="zh-CN"/>
        </w:rPr>
        <w:t>四、法规制度</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47</w:t>
      </w:r>
    </w:p>
    <w:p w14:paraId="07F2DC9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（一）源头预防方面</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47</w:t>
      </w:r>
    </w:p>
    <w:p w14:paraId="00BBC74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（二）过程监管方面</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48</w:t>
      </w:r>
    </w:p>
    <w:p w14:paraId="4EE4B36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（三）处置清偿方面</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49</w:t>
      </w:r>
    </w:p>
    <w:p w14:paraId="20E321D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（四）失信惩戒方面</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50</w:t>
      </w:r>
    </w:p>
    <w:p w14:paraId="205B600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default" w:ascii="方正书宋简体" w:hAnsi="方正书宋简体" w:eastAsia="方正书宋简体" w:cs="方正书宋简体"/>
          <w:color w:val="auto"/>
          <w:spacing w:val="11"/>
          <w:sz w:val="21"/>
          <w:szCs w:val="21"/>
          <w:lang w:val="en-US" w:eastAsia="zh-CN"/>
        </w:rPr>
      </w:pPr>
      <w:r>
        <w:rPr>
          <w:rFonts w:hint="eastAsia" w:ascii="黑体" w:hAnsi="黑体" w:eastAsia="黑体" w:cs="黑体"/>
          <w:color w:val="auto"/>
          <w:spacing w:val="11"/>
          <w:sz w:val="21"/>
          <w:szCs w:val="21"/>
          <w:lang w:val="en-US" w:eastAsia="zh-CN"/>
        </w:rPr>
        <w:t>五、附表</w:t>
      </w:r>
      <w:r>
        <w:rPr>
          <w:rFonts w:hint="eastAsia" w:ascii="方正书宋简体" w:hAnsi="方正书宋简体" w:eastAsia="方正书宋简体" w:cs="方正书宋简体"/>
          <w:b w:val="0"/>
          <w:bCs w:val="0"/>
          <w:color w:val="000000"/>
          <w:spacing w:val="0"/>
          <w:w w:val="100"/>
          <w:kern w:val="2"/>
          <w:sz w:val="21"/>
          <w:szCs w:val="21"/>
          <w:highlight w:val="none"/>
          <w:lang w:val="en-US" w:eastAsia="zh-CN" w:bidi="ar-SA"/>
        </w:rPr>
        <w:t>…………………………………………………………………………………………………………</w:t>
      </w:r>
      <w:r>
        <w:rPr>
          <w:rFonts w:hint="eastAsia" w:ascii="方正书宋简体" w:hAnsi="方正书宋简体" w:eastAsia="方正书宋简体" w:cs="方正书宋简体"/>
          <w:color w:val="auto"/>
          <w:spacing w:val="11"/>
          <w:sz w:val="21"/>
          <w:szCs w:val="21"/>
          <w:lang w:val="en-US" w:eastAsia="zh-CN"/>
        </w:rPr>
        <w:t>52</w:t>
      </w:r>
    </w:p>
    <w:p w14:paraId="1B58B2E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distribute"/>
        <w:textAlignment w:val="auto"/>
        <w:rPr>
          <w:rFonts w:hint="eastAsia" w:ascii="方正书宋简体" w:hAnsi="方正书宋简体" w:eastAsia="方正书宋简体" w:cs="方正书宋简体"/>
          <w:color w:val="auto"/>
          <w:spacing w:val="11"/>
          <w:sz w:val="21"/>
          <w:szCs w:val="21"/>
          <w:lang w:val="en-US" w:eastAsia="zh-CN"/>
        </w:rPr>
      </w:pPr>
    </w:p>
    <w:p w14:paraId="6D96056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5C5D61E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3A22736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1692CD8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24A4B9A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5EC2433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622F71D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37445FB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0DD6CD2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682CE37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076828C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4D6ECB2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4E66BD7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6268F1E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11152D9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588FF1D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6F395CC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7ED0EC2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29F5EB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66" w:firstLineChars="200"/>
        <w:jc w:val="both"/>
        <w:textAlignment w:val="auto"/>
        <w:rPr>
          <w:rFonts w:hint="eastAsia" w:ascii="黑体" w:hAnsi="黑体" w:eastAsia="黑体" w:cs="黑体"/>
          <w:b/>
          <w:bCs/>
          <w:color w:val="auto"/>
          <w:spacing w:val="11"/>
          <w:sz w:val="21"/>
          <w:szCs w:val="21"/>
          <w:lang w:val="en-US" w:eastAsia="zh-CN"/>
        </w:rPr>
      </w:pPr>
    </w:p>
    <w:p w14:paraId="5CA113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66" w:firstLineChars="200"/>
        <w:jc w:val="both"/>
        <w:textAlignment w:val="auto"/>
        <w:rPr>
          <w:rFonts w:hint="eastAsia" w:ascii="黑体" w:hAnsi="黑体" w:eastAsia="黑体" w:cs="黑体"/>
          <w:b/>
          <w:bCs/>
          <w:color w:val="auto"/>
          <w:spacing w:val="11"/>
          <w:sz w:val="21"/>
          <w:szCs w:val="21"/>
          <w:lang w:val="en-US" w:eastAsia="zh-CN"/>
        </w:rPr>
      </w:pPr>
    </w:p>
    <w:p w14:paraId="0E183B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66" w:firstLineChars="200"/>
        <w:jc w:val="both"/>
        <w:textAlignment w:val="auto"/>
        <w:rPr>
          <w:rFonts w:hint="eastAsia" w:ascii="黑体" w:hAnsi="黑体" w:eastAsia="黑体" w:cs="黑体"/>
          <w:b/>
          <w:bCs/>
          <w:color w:val="auto"/>
          <w:spacing w:val="11"/>
          <w:sz w:val="21"/>
          <w:szCs w:val="21"/>
          <w:lang w:val="en-US" w:eastAsia="zh-CN"/>
        </w:rPr>
      </w:pPr>
      <w:r>
        <w:rPr>
          <w:rFonts w:hint="eastAsia" w:ascii="黑体" w:hAnsi="黑体" w:eastAsia="黑体" w:cs="黑体"/>
          <w:b/>
          <w:bCs/>
          <w:color w:val="auto"/>
          <w:spacing w:val="11"/>
          <w:sz w:val="21"/>
          <w:szCs w:val="21"/>
          <w:lang w:val="en-US" w:eastAsia="zh-CN"/>
        </w:rPr>
        <w:t>一、总则</w:t>
      </w:r>
    </w:p>
    <w:p w14:paraId="63A4D5B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sectPr>
          <w:type w:val="continuous"/>
          <w:pgSz w:w="11906" w:h="16838"/>
          <w:pgMar w:top="2154" w:right="1134" w:bottom="1701" w:left="1134" w:header="1134" w:footer="992" w:gutter="0"/>
          <w:pgNumType w:fmt="decimal"/>
          <w:cols w:space="425" w:num="1"/>
          <w:docGrid w:type="lines" w:linePitch="312" w:charSpace="0"/>
        </w:sectPr>
      </w:pPr>
    </w:p>
    <w:p w14:paraId="76A54A3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为了全面落实“管行业必须管欠薪、管资金必须管欠薪、管项目必须管欠薪”的工作要求，强化行业主管部门、开发区包联部门治理欠薪责任，依据《内蒙古自治区保障农民工工资支付条例》等有关法律法规，结合我旗工作实际，制定本手册，指导行业部门、开发区包联部门规范开展治理欠薪工作。</w:t>
      </w:r>
    </w:p>
    <w:p w14:paraId="190DAF0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各行业主管部门、开发区包联部门按照职责履行行业监管责任，针对工程建设领域和非工程建设领域行业特点，做好各自领域欠薪问题的事前预防、摸底排查、日常监管、线索核处、办结线索回访、违法行为联合惩戒等工作。</w:t>
      </w:r>
    </w:p>
    <w:p w14:paraId="5766822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pacing w:val="11"/>
          <w:sz w:val="44"/>
          <w:szCs w:val="44"/>
          <w:lang w:val="en-US" w:eastAsia="zh-CN"/>
        </w:rPr>
        <w:sectPr>
          <w:type w:val="continuous"/>
          <w:pgSz w:w="11906" w:h="16838"/>
          <w:pgMar w:top="2154" w:right="1134" w:bottom="1701" w:left="1134" w:header="851" w:footer="992" w:gutter="0"/>
          <w:pgNumType w:fmt="decimal"/>
          <w:cols w:equalWidth="0" w:num="2">
            <w:col w:w="4606" w:space="425"/>
            <w:col w:w="4606"/>
          </w:cols>
          <w:docGrid w:type="lines" w:linePitch="312" w:charSpace="0"/>
        </w:sectPr>
      </w:pPr>
    </w:p>
    <w:p w14:paraId="1272AA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pacing w:val="11"/>
          <w:sz w:val="44"/>
          <w:szCs w:val="44"/>
          <w:lang w:val="en-US" w:eastAsia="zh-CN"/>
        </w:rPr>
      </w:pPr>
    </w:p>
    <w:p w14:paraId="1C6D63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pacing w:val="11"/>
          <w:sz w:val="44"/>
          <w:szCs w:val="44"/>
          <w:lang w:val="en-US" w:eastAsia="zh-CN"/>
        </w:rPr>
      </w:pPr>
      <w:r>
        <w:rPr>
          <w:rFonts w:hint="eastAsia" w:ascii="仿宋_GB2312" w:hAnsi="仿宋_GB2312" w:eastAsia="仿宋_GB2312" w:cs="仿宋_GB2312"/>
          <w:color w:val="auto"/>
          <w:spacing w:val="11"/>
          <w:sz w:val="44"/>
          <w:szCs w:val="44"/>
          <w:lang w:val="en-US" w:eastAsia="zh-CN"/>
        </w:rPr>
        <w:t>行业主管部门、开发区包联部门职责清单</w:t>
      </w:r>
    </w:p>
    <w:p w14:paraId="57BD882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pacing w:val="11"/>
          <w:sz w:val="44"/>
          <w:szCs w:val="44"/>
          <w:lang w:val="en-US" w:eastAsia="zh-CN"/>
        </w:rPr>
      </w:pPr>
    </w:p>
    <w:tbl>
      <w:tblPr>
        <w:tblStyle w:val="17"/>
        <w:tblW w:w="96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06"/>
        <w:gridCol w:w="3578"/>
        <w:gridCol w:w="4990"/>
      </w:tblGrid>
      <w:tr w14:paraId="11B86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blHeader/>
          <w:jc w:val="center"/>
        </w:trPr>
        <w:tc>
          <w:tcPr>
            <w:tcW w:w="1106" w:type="dxa"/>
            <w:tcBorders>
              <w:top w:val="single" w:color="000000" w:sz="4" w:space="0"/>
              <w:left w:val="single" w:color="000000" w:sz="6" w:space="0"/>
            </w:tcBorders>
            <w:noWrap w:val="0"/>
            <w:vAlign w:val="center"/>
          </w:tcPr>
          <w:p w14:paraId="308FF379">
            <w:pPr>
              <w:keepNext w:val="0"/>
              <w:keepLines w:val="0"/>
              <w:pageBreakBefore w:val="0"/>
              <w:widowControl w:val="0"/>
              <w:kinsoku/>
              <w:wordWrap/>
              <w:overflowPunct/>
              <w:topLinePunct w:val="0"/>
              <w:autoSpaceDE/>
              <w:autoSpaceDN/>
              <w:bidi w:val="0"/>
              <w:adjustRightInd/>
              <w:snapToGrid w:val="0"/>
              <w:spacing w:before="48" w:line="310" w:lineRule="exact"/>
              <w:ind w:left="0" w:leftChars="0" w:right="0" w:rightChars="0" w:firstLine="0" w:firstLineChars="0"/>
              <w:jc w:val="center"/>
              <w:textAlignment w:val="auto"/>
              <w:rPr>
                <w:rFonts w:hint="eastAsia" w:ascii="黑体" w:hAnsi="黑体" w:eastAsia="黑体" w:cs="黑体"/>
                <w:b/>
                <w:spacing w:val="8"/>
                <w:w w:val="100"/>
                <w:position w:val="1"/>
                <w:sz w:val="21"/>
                <w:szCs w:val="21"/>
              </w:rPr>
            </w:pPr>
            <w:r>
              <w:rPr>
                <w:rFonts w:hint="eastAsia" w:ascii="黑体" w:hAnsi="黑体" w:eastAsia="黑体" w:cs="黑体"/>
                <w:b/>
                <w:spacing w:val="8"/>
                <w:w w:val="100"/>
                <w:position w:val="1"/>
                <w:sz w:val="21"/>
                <w:szCs w:val="21"/>
              </w:rPr>
              <w:t>工作</w:t>
            </w:r>
            <w:r>
              <w:rPr>
                <w:rFonts w:hint="eastAsia" w:ascii="黑体" w:hAnsi="黑体" w:eastAsia="黑体" w:cs="黑体"/>
                <w:b/>
                <w:spacing w:val="12"/>
                <w:w w:val="100"/>
                <w:position w:val="1"/>
                <w:sz w:val="21"/>
                <w:szCs w:val="21"/>
              </w:rPr>
              <w:t>领域</w:t>
            </w:r>
          </w:p>
        </w:tc>
        <w:tc>
          <w:tcPr>
            <w:tcW w:w="3578" w:type="dxa"/>
            <w:tcBorders>
              <w:top w:val="single" w:color="000000" w:sz="4" w:space="0"/>
            </w:tcBorders>
            <w:noWrap w:val="0"/>
            <w:vAlign w:val="center"/>
          </w:tcPr>
          <w:p w14:paraId="1BBF7ECB">
            <w:pPr>
              <w:keepNext w:val="0"/>
              <w:keepLines w:val="0"/>
              <w:pageBreakBefore w:val="0"/>
              <w:widowControl w:val="0"/>
              <w:kinsoku/>
              <w:wordWrap/>
              <w:overflowPunct/>
              <w:topLinePunct w:val="0"/>
              <w:autoSpaceDE/>
              <w:autoSpaceDN/>
              <w:bidi w:val="0"/>
              <w:adjustRightInd/>
              <w:snapToGrid w:val="0"/>
              <w:spacing w:before="158" w:line="360" w:lineRule="auto"/>
              <w:ind w:left="0" w:leftChars="0" w:right="0" w:rightChars="0" w:firstLine="0" w:firstLineChars="0"/>
              <w:jc w:val="center"/>
              <w:textAlignment w:val="auto"/>
              <w:rPr>
                <w:rFonts w:hint="eastAsia" w:ascii="黑体" w:hAnsi="黑体" w:eastAsia="黑体" w:cs="黑体"/>
                <w:b/>
                <w:w w:val="100"/>
                <w:sz w:val="21"/>
                <w:szCs w:val="21"/>
              </w:rPr>
            </w:pPr>
            <w:r>
              <w:rPr>
                <w:rFonts w:hint="eastAsia" w:ascii="黑体" w:hAnsi="黑体" w:eastAsia="黑体" w:cs="黑体"/>
                <w:b/>
                <w:w w:val="100"/>
                <w:sz w:val="21"/>
                <w:szCs w:val="21"/>
              </w:rPr>
              <w:t>涉及部门</w:t>
            </w:r>
          </w:p>
        </w:tc>
        <w:tc>
          <w:tcPr>
            <w:tcW w:w="4990" w:type="dxa"/>
            <w:tcBorders>
              <w:top w:val="single" w:color="000000" w:sz="4" w:space="0"/>
              <w:right w:val="single" w:color="000000" w:sz="6" w:space="0"/>
            </w:tcBorders>
            <w:noWrap w:val="0"/>
            <w:vAlign w:val="center"/>
          </w:tcPr>
          <w:p w14:paraId="17B31A1F">
            <w:pPr>
              <w:keepNext w:val="0"/>
              <w:keepLines w:val="0"/>
              <w:pageBreakBefore w:val="0"/>
              <w:wordWrap/>
              <w:overflowPunct/>
              <w:topLinePunct w:val="0"/>
              <w:bidi w:val="0"/>
              <w:snapToGrid w:val="0"/>
              <w:spacing w:before="158" w:line="360" w:lineRule="auto"/>
              <w:ind w:left="0" w:leftChars="0" w:right="0" w:rightChars="0" w:firstLine="0" w:firstLineChars="0"/>
              <w:jc w:val="center"/>
              <w:rPr>
                <w:rFonts w:hint="eastAsia" w:ascii="黑体" w:hAnsi="黑体" w:eastAsia="黑体" w:cs="黑体"/>
                <w:b/>
                <w:spacing w:val="13"/>
                <w:w w:val="100"/>
                <w:position w:val="1"/>
                <w:sz w:val="21"/>
                <w:szCs w:val="21"/>
              </w:rPr>
            </w:pPr>
            <w:r>
              <w:rPr>
                <w:rFonts w:hint="eastAsia" w:ascii="黑体" w:hAnsi="黑体" w:eastAsia="黑体" w:cs="黑体"/>
                <w:b/>
                <w:spacing w:val="13"/>
                <w:w w:val="100"/>
                <w:position w:val="1"/>
                <w:sz w:val="21"/>
                <w:szCs w:val="21"/>
              </w:rPr>
              <w:t>工作职责</w:t>
            </w:r>
          </w:p>
        </w:tc>
      </w:tr>
      <w:tr w14:paraId="51D5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4" w:hRule="atLeast"/>
          <w:jc w:val="center"/>
        </w:trPr>
        <w:tc>
          <w:tcPr>
            <w:tcW w:w="1106" w:type="dxa"/>
            <w:tcBorders>
              <w:left w:val="single" w:color="000000" w:sz="6" w:space="0"/>
            </w:tcBorders>
            <w:noWrap w:val="0"/>
            <w:vAlign w:val="center"/>
          </w:tcPr>
          <w:p w14:paraId="585F3ABB">
            <w:pPr>
              <w:pStyle w:val="19"/>
              <w:keepNext w:val="0"/>
              <w:keepLines w:val="0"/>
              <w:pageBreakBefore w:val="0"/>
              <w:wordWrap/>
              <w:overflowPunct/>
              <w:topLinePunct w:val="0"/>
              <w:bidi w:val="0"/>
              <w:snapToGrid w:val="0"/>
              <w:spacing w:before="60" w:line="310" w:lineRule="exact"/>
              <w:ind w:left="0" w:leftChars="0" w:right="0" w:rightChars="0" w:firstLine="0" w:firstLineChars="0"/>
              <w:jc w:val="center"/>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1"/>
                <w:w w:val="100"/>
                <w:sz w:val="21"/>
                <w:szCs w:val="21"/>
              </w:rPr>
              <w:t>工程</w:t>
            </w:r>
            <w:r>
              <w:rPr>
                <w:rFonts w:hint="eastAsia" w:ascii="方正书宋简体" w:hAnsi="方正书宋简体" w:eastAsia="方正书宋简体" w:cs="方正书宋简体"/>
                <w:spacing w:val="12"/>
                <w:w w:val="100"/>
                <w:sz w:val="21"/>
                <w:szCs w:val="21"/>
              </w:rPr>
              <w:t>建设</w:t>
            </w:r>
          </w:p>
          <w:p w14:paraId="6C69BE41">
            <w:pPr>
              <w:pStyle w:val="19"/>
              <w:keepNext w:val="0"/>
              <w:keepLines w:val="0"/>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1"/>
                <w:w w:val="100"/>
                <w:sz w:val="21"/>
                <w:szCs w:val="21"/>
              </w:rPr>
              <w:t>领域</w:t>
            </w:r>
          </w:p>
        </w:tc>
        <w:tc>
          <w:tcPr>
            <w:tcW w:w="3578" w:type="dxa"/>
            <w:noWrap w:val="0"/>
            <w:vAlign w:val="center"/>
          </w:tcPr>
          <w:p w14:paraId="170FFC18">
            <w:pPr>
              <w:pStyle w:val="19"/>
              <w:keepNext w:val="0"/>
              <w:keepLines w:val="0"/>
              <w:pageBreakBefore w:val="0"/>
              <w:wordWrap/>
              <w:overflowPunct/>
              <w:topLinePunct w:val="0"/>
              <w:bidi w:val="0"/>
              <w:snapToGrid w:val="0"/>
              <w:spacing w:before="60"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4"/>
                <w:w w:val="100"/>
                <w:sz w:val="21"/>
                <w:szCs w:val="21"/>
              </w:rPr>
              <w:t>发改委、工科局、</w:t>
            </w:r>
            <w:r>
              <w:rPr>
                <w:rFonts w:hint="eastAsia" w:ascii="方正书宋简体" w:hAnsi="方正书宋简体" w:eastAsia="方正书宋简体" w:cs="方正书宋简体"/>
                <w:spacing w:val="7"/>
                <w:w w:val="100"/>
                <w:sz w:val="21"/>
                <w:szCs w:val="21"/>
              </w:rPr>
              <w:t>自然资源局、住建</w:t>
            </w:r>
            <w:r>
              <w:rPr>
                <w:rFonts w:hint="eastAsia" w:ascii="方正书宋简体" w:hAnsi="方正书宋简体" w:eastAsia="方正书宋简体" w:cs="方正书宋简体"/>
                <w:spacing w:val="6"/>
                <w:w w:val="100"/>
                <w:sz w:val="21"/>
                <w:szCs w:val="21"/>
              </w:rPr>
              <w:t>局、交通局、水利</w:t>
            </w:r>
            <w:r>
              <w:rPr>
                <w:rFonts w:hint="eastAsia" w:ascii="方正书宋简体" w:hAnsi="方正书宋简体" w:eastAsia="方正书宋简体" w:cs="方正书宋简体"/>
                <w:w w:val="100"/>
                <w:sz w:val="21"/>
                <w:szCs w:val="21"/>
              </w:rPr>
              <w:t>局、农牧局、国资</w:t>
            </w:r>
            <w:r>
              <w:rPr>
                <w:rFonts w:hint="eastAsia" w:ascii="方正书宋简体" w:hAnsi="方正书宋简体" w:eastAsia="方正书宋简体" w:cs="方正书宋简体"/>
                <w:spacing w:val="-4"/>
                <w:w w:val="100"/>
                <w:sz w:val="21"/>
                <w:szCs w:val="21"/>
              </w:rPr>
              <w:t>委、能源局、林草局、代建中心、供</w:t>
            </w:r>
            <w:r>
              <w:rPr>
                <w:rFonts w:hint="eastAsia" w:ascii="方正书宋简体" w:hAnsi="方正书宋简体" w:eastAsia="方正书宋简体" w:cs="方正书宋简体"/>
                <w:spacing w:val="12"/>
                <w:w w:val="100"/>
                <w:sz w:val="21"/>
                <w:szCs w:val="21"/>
              </w:rPr>
              <w:t>电公司、开发区</w:t>
            </w:r>
            <w:r>
              <w:rPr>
                <w:rFonts w:hint="eastAsia" w:ascii="方正书宋简体" w:hAnsi="方正书宋简体" w:eastAsia="方正书宋简体" w:cs="方正书宋简体"/>
                <w:spacing w:val="14"/>
                <w:w w:val="100"/>
                <w:sz w:val="21"/>
                <w:szCs w:val="21"/>
              </w:rPr>
              <w:t>包联部门</w:t>
            </w:r>
          </w:p>
        </w:tc>
        <w:tc>
          <w:tcPr>
            <w:tcW w:w="4990" w:type="dxa"/>
            <w:tcBorders>
              <w:right w:val="single" w:color="000000" w:sz="6" w:space="0"/>
            </w:tcBorders>
            <w:noWrap w:val="0"/>
            <w:vAlign w:val="center"/>
          </w:tcPr>
          <w:p w14:paraId="391DE215">
            <w:pPr>
              <w:pStyle w:val="19"/>
              <w:keepNext w:val="0"/>
              <w:keepLines w:val="0"/>
              <w:pageBreakBefore w:val="0"/>
              <w:wordWrap/>
              <w:overflowPunct/>
              <w:topLinePunct w:val="0"/>
              <w:bidi w:val="0"/>
              <w:snapToGrid w:val="0"/>
              <w:spacing w:before="60"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5"/>
                <w:w w:val="100"/>
                <w:position w:val="-2"/>
                <w:sz w:val="21"/>
                <w:szCs w:val="21"/>
              </w:rPr>
              <w:t>1.</w:t>
            </w:r>
            <w:r>
              <w:rPr>
                <w:rFonts w:hint="eastAsia" w:ascii="方正书宋简体" w:hAnsi="方正书宋简体" w:eastAsia="方正书宋简体" w:cs="方正书宋简体"/>
                <w:spacing w:val="15"/>
                <w:w w:val="100"/>
                <w:sz w:val="21"/>
                <w:szCs w:val="21"/>
              </w:rPr>
              <w:t>事前预防</w:t>
            </w:r>
            <w:r>
              <w:rPr>
                <w:rFonts w:hint="eastAsia" w:ascii="方正书宋简体" w:hAnsi="方正书宋简体" w:eastAsia="方正书宋简体" w:cs="方正书宋简体"/>
                <w:spacing w:val="7"/>
                <w:w w:val="100"/>
                <w:sz w:val="21"/>
                <w:szCs w:val="21"/>
                <w:lang w:eastAsia="zh-CN"/>
              </w:rPr>
              <w:t>：</w:t>
            </w:r>
            <w:r>
              <w:rPr>
                <w:rFonts w:hint="eastAsia" w:ascii="方正书宋简体" w:hAnsi="方正书宋简体" w:eastAsia="方正书宋简体" w:cs="方正书宋简体"/>
                <w:spacing w:val="15"/>
                <w:w w:val="100"/>
                <w:sz w:val="21"/>
                <w:szCs w:val="21"/>
              </w:rPr>
              <w:t>建设单位资金安排监控、监督落实工程款支</w:t>
            </w:r>
            <w:r>
              <w:rPr>
                <w:rFonts w:hint="eastAsia" w:ascii="方正书宋简体" w:hAnsi="方正书宋简体" w:eastAsia="方正书宋简体" w:cs="方正书宋简体"/>
                <w:spacing w:val="17"/>
                <w:w w:val="100"/>
                <w:sz w:val="21"/>
                <w:szCs w:val="21"/>
              </w:rPr>
              <w:t>付担保、依法约定人工费拨付</w:t>
            </w:r>
            <w:r>
              <w:rPr>
                <w:rFonts w:hint="eastAsia" w:ascii="方正书宋简体" w:hAnsi="方正书宋简体" w:eastAsia="方正书宋简体" w:cs="方正书宋简体"/>
                <w:spacing w:val="17"/>
                <w:w w:val="100"/>
                <w:sz w:val="21"/>
                <w:szCs w:val="21"/>
                <w:lang w:eastAsia="zh-CN"/>
              </w:rPr>
              <w:t>；</w:t>
            </w:r>
          </w:p>
          <w:p w14:paraId="0D305D05">
            <w:pPr>
              <w:pStyle w:val="19"/>
              <w:keepNext w:val="0"/>
              <w:keepLines w:val="0"/>
              <w:pageBreakBefore w:val="0"/>
              <w:wordWrap/>
              <w:overflowPunct/>
              <w:topLinePunct w:val="0"/>
              <w:bidi w:val="0"/>
              <w:snapToGrid w:val="0"/>
              <w:spacing w:before="16"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5"/>
                <w:w w:val="100"/>
                <w:position w:val="-1"/>
                <w:sz w:val="21"/>
                <w:szCs w:val="21"/>
              </w:rPr>
              <w:t>2.</w:t>
            </w:r>
            <w:r>
              <w:rPr>
                <w:rFonts w:hint="eastAsia" w:ascii="方正书宋简体" w:hAnsi="方正书宋简体" w:eastAsia="方正书宋简体" w:cs="方正书宋简体"/>
                <w:spacing w:val="15"/>
                <w:w w:val="100"/>
                <w:sz w:val="21"/>
                <w:szCs w:val="21"/>
              </w:rPr>
              <w:t>日常监管</w:t>
            </w:r>
            <w:r>
              <w:rPr>
                <w:rFonts w:hint="eastAsia" w:ascii="方正书宋简体" w:hAnsi="方正书宋简体" w:eastAsia="方正书宋简体" w:cs="方正书宋简体"/>
                <w:spacing w:val="10"/>
                <w:w w:val="100"/>
                <w:sz w:val="21"/>
                <w:szCs w:val="21"/>
                <w:lang w:eastAsia="zh-CN"/>
              </w:rPr>
              <w:t>：</w:t>
            </w:r>
            <w:r>
              <w:rPr>
                <w:rFonts w:hint="eastAsia" w:ascii="方正书宋简体" w:hAnsi="方正书宋简体" w:eastAsia="方正书宋简体" w:cs="方正书宋简体"/>
                <w:spacing w:val="15"/>
                <w:w w:val="100"/>
                <w:sz w:val="21"/>
                <w:szCs w:val="21"/>
              </w:rPr>
              <w:t>现场检查排查及查看预警平台信息、实地访</w:t>
            </w:r>
            <w:r>
              <w:rPr>
                <w:rFonts w:hint="eastAsia" w:ascii="方正书宋简体" w:hAnsi="方正书宋简体" w:eastAsia="方正书宋简体" w:cs="方正书宋简体"/>
                <w:spacing w:val="16"/>
                <w:w w:val="100"/>
                <w:sz w:val="21"/>
                <w:szCs w:val="21"/>
              </w:rPr>
              <w:t>谈、核对检查结果</w:t>
            </w:r>
            <w:r>
              <w:rPr>
                <w:rFonts w:hint="eastAsia" w:ascii="方正书宋简体" w:hAnsi="方正书宋简体" w:eastAsia="方正书宋简体" w:cs="方正书宋简体"/>
                <w:spacing w:val="16"/>
                <w:w w:val="100"/>
                <w:sz w:val="21"/>
                <w:szCs w:val="21"/>
                <w:lang w:eastAsia="zh-CN"/>
              </w:rPr>
              <w:t>；</w:t>
            </w:r>
          </w:p>
          <w:p w14:paraId="562795BD">
            <w:pPr>
              <w:pStyle w:val="19"/>
              <w:keepNext w:val="0"/>
              <w:keepLines w:val="0"/>
              <w:pageBreakBefore w:val="0"/>
              <w:wordWrap/>
              <w:overflowPunct/>
              <w:topLinePunct w:val="0"/>
              <w:bidi w:val="0"/>
              <w:snapToGrid w:val="0"/>
              <w:spacing w:before="27"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3"/>
                <w:w w:val="100"/>
                <w:position w:val="-1"/>
                <w:sz w:val="21"/>
                <w:szCs w:val="21"/>
              </w:rPr>
              <w:t>3.</w:t>
            </w:r>
            <w:r>
              <w:rPr>
                <w:rFonts w:hint="eastAsia" w:ascii="方正书宋简体" w:hAnsi="方正书宋简体" w:eastAsia="方正书宋简体" w:cs="方正书宋简体"/>
                <w:spacing w:val="13"/>
                <w:w w:val="100"/>
                <w:sz w:val="21"/>
                <w:szCs w:val="21"/>
              </w:rPr>
              <w:t>欠薪线索核处</w:t>
            </w:r>
            <w:r>
              <w:rPr>
                <w:rFonts w:hint="eastAsia" w:ascii="方正书宋简体" w:hAnsi="方正书宋简体" w:eastAsia="方正书宋简体" w:cs="方正书宋简体"/>
                <w:spacing w:val="-1"/>
                <w:w w:val="100"/>
                <w:sz w:val="21"/>
                <w:szCs w:val="21"/>
                <w:lang w:eastAsia="zh-CN"/>
              </w:rPr>
              <w:t>：</w:t>
            </w:r>
            <w:r>
              <w:rPr>
                <w:rFonts w:hint="eastAsia" w:ascii="方正书宋简体" w:hAnsi="方正书宋简体" w:eastAsia="方正书宋简体" w:cs="方正书宋简体"/>
                <w:spacing w:val="13"/>
                <w:w w:val="100"/>
                <w:sz w:val="21"/>
                <w:szCs w:val="21"/>
              </w:rPr>
              <w:t>落实</w:t>
            </w:r>
            <w:r>
              <w:rPr>
                <w:rFonts w:hint="eastAsia" w:ascii="方正书宋简体" w:hAnsi="方正书宋简体" w:eastAsia="方正书宋简体" w:cs="方正书宋简体"/>
                <w:spacing w:val="13"/>
                <w:w w:val="100"/>
                <w:position w:val="-1"/>
                <w:sz w:val="21"/>
                <w:szCs w:val="21"/>
              </w:rPr>
              <w:t>1十5十15十15</w:t>
            </w:r>
            <w:r>
              <w:rPr>
                <w:rFonts w:hint="eastAsia" w:ascii="方正书宋简体" w:hAnsi="方正书宋简体" w:eastAsia="方正书宋简体" w:cs="方正书宋简体"/>
                <w:spacing w:val="13"/>
                <w:w w:val="100"/>
                <w:sz w:val="21"/>
                <w:szCs w:val="21"/>
              </w:rPr>
              <w:t>规则办案</w:t>
            </w:r>
            <w:r>
              <w:rPr>
                <w:rFonts w:hint="eastAsia" w:ascii="方正书宋简体" w:hAnsi="方正书宋简体" w:eastAsia="方正书宋简体" w:cs="方正书宋简体"/>
                <w:spacing w:val="13"/>
                <w:w w:val="100"/>
                <w:position w:val="1"/>
                <w:sz w:val="21"/>
                <w:szCs w:val="21"/>
              </w:rPr>
              <w:t>、</w:t>
            </w:r>
            <w:r>
              <w:rPr>
                <w:rFonts w:hint="eastAsia" w:ascii="方正书宋简体" w:hAnsi="方正书宋简体" w:eastAsia="方正书宋简体" w:cs="方正书宋简体"/>
                <w:spacing w:val="13"/>
                <w:w w:val="100"/>
                <w:sz w:val="21"/>
                <w:szCs w:val="21"/>
              </w:rPr>
              <w:t>建立线索</w:t>
            </w:r>
            <w:r>
              <w:rPr>
                <w:rFonts w:hint="eastAsia" w:ascii="方正书宋简体" w:hAnsi="方正书宋简体" w:eastAsia="方正书宋简体" w:cs="方正书宋简体"/>
                <w:spacing w:val="17"/>
                <w:w w:val="100"/>
                <w:sz w:val="21"/>
                <w:szCs w:val="21"/>
              </w:rPr>
              <w:t>办理台账、重大案件实行领导包案</w:t>
            </w:r>
            <w:r>
              <w:rPr>
                <w:rFonts w:hint="eastAsia" w:ascii="方正书宋简体" w:hAnsi="方正书宋简体" w:eastAsia="方正书宋简体" w:cs="方正书宋简体"/>
                <w:spacing w:val="17"/>
                <w:w w:val="100"/>
                <w:sz w:val="21"/>
                <w:szCs w:val="21"/>
                <w:lang w:eastAsia="zh-CN"/>
              </w:rPr>
              <w:t>；</w:t>
            </w:r>
          </w:p>
          <w:p w14:paraId="22EBCD4D">
            <w:pPr>
              <w:pStyle w:val="19"/>
              <w:keepNext w:val="0"/>
              <w:keepLines w:val="0"/>
              <w:pageBreakBefore w:val="0"/>
              <w:wordWrap/>
              <w:overflowPunct/>
              <w:topLinePunct w:val="0"/>
              <w:bidi w:val="0"/>
              <w:snapToGrid w:val="0"/>
              <w:spacing w:before="28"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5"/>
                <w:w w:val="100"/>
                <w:position w:val="-1"/>
                <w:sz w:val="21"/>
                <w:szCs w:val="21"/>
              </w:rPr>
              <w:t>4.</w:t>
            </w:r>
            <w:r>
              <w:rPr>
                <w:rFonts w:hint="eastAsia" w:ascii="方正书宋简体" w:hAnsi="方正书宋简体" w:eastAsia="方正书宋简体" w:cs="方正书宋简体"/>
                <w:spacing w:val="15"/>
                <w:w w:val="100"/>
                <w:sz w:val="21"/>
                <w:szCs w:val="21"/>
              </w:rPr>
              <w:t>办结线索回访</w:t>
            </w:r>
            <w:r>
              <w:rPr>
                <w:rFonts w:hint="eastAsia" w:ascii="方正书宋简体" w:hAnsi="方正书宋简体" w:eastAsia="方正书宋简体" w:cs="方正书宋简体"/>
                <w:spacing w:val="15"/>
                <w:w w:val="100"/>
                <w:sz w:val="21"/>
                <w:szCs w:val="21"/>
                <w:lang w:eastAsia="zh-CN"/>
              </w:rPr>
              <w:t>：回访办理结果</w:t>
            </w:r>
            <w:r>
              <w:rPr>
                <w:rFonts w:hint="eastAsia" w:ascii="方正书宋简体" w:hAnsi="方正书宋简体" w:eastAsia="方正书宋简体" w:cs="方正书宋简体"/>
                <w:spacing w:val="15"/>
                <w:w w:val="100"/>
                <w:sz w:val="21"/>
                <w:szCs w:val="21"/>
              </w:rPr>
              <w:t>与</w:t>
            </w:r>
            <w:r>
              <w:rPr>
                <w:rFonts w:hint="eastAsia" w:ascii="方正书宋简体" w:hAnsi="方正书宋简体" w:eastAsia="方正书宋简体" w:cs="方正书宋简体"/>
                <w:spacing w:val="15"/>
                <w:w w:val="100"/>
                <w:sz w:val="21"/>
                <w:szCs w:val="21"/>
                <w:lang w:eastAsia="zh-CN"/>
              </w:rPr>
              <w:t>办结结论一致性</w:t>
            </w:r>
            <w:r>
              <w:rPr>
                <w:rFonts w:hint="eastAsia" w:ascii="方正书宋简体" w:hAnsi="方正书宋简体" w:eastAsia="方正书宋简体" w:cs="方正书宋简体"/>
                <w:spacing w:val="15"/>
                <w:w w:val="100"/>
                <w:sz w:val="21"/>
                <w:szCs w:val="21"/>
              </w:rPr>
              <w:t>、建立</w:t>
            </w:r>
            <w:r>
              <w:rPr>
                <w:rFonts w:hint="eastAsia" w:ascii="方正书宋简体" w:hAnsi="方正书宋简体" w:eastAsia="方正书宋简体" w:cs="方正书宋简体"/>
                <w:spacing w:val="10"/>
                <w:w w:val="100"/>
                <w:sz w:val="21"/>
                <w:szCs w:val="21"/>
              </w:rPr>
              <w:t>回访台账、评估反映人</w:t>
            </w:r>
            <w:r>
              <w:rPr>
                <w:rFonts w:hint="eastAsia" w:ascii="方正书宋简体" w:hAnsi="方正书宋简体" w:eastAsia="方正书宋简体" w:cs="方正书宋简体"/>
                <w:spacing w:val="10"/>
                <w:w w:val="100"/>
                <w:sz w:val="21"/>
                <w:szCs w:val="21"/>
                <w:lang w:eastAsia="zh-CN"/>
              </w:rPr>
              <w:t>满意度。</w:t>
            </w:r>
          </w:p>
          <w:p w14:paraId="3BDB6FA0">
            <w:pPr>
              <w:pStyle w:val="19"/>
              <w:keepNext w:val="0"/>
              <w:keepLines w:val="0"/>
              <w:pageBreakBefore w:val="0"/>
              <w:wordWrap/>
              <w:overflowPunct/>
              <w:topLinePunct w:val="0"/>
              <w:bidi w:val="0"/>
              <w:snapToGrid w:val="0"/>
              <w:spacing w:before="23"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3"/>
                <w:w w:val="100"/>
                <w:position w:val="-1"/>
                <w:sz w:val="21"/>
                <w:szCs w:val="21"/>
              </w:rPr>
              <w:t>5.</w:t>
            </w:r>
            <w:r>
              <w:rPr>
                <w:rFonts w:hint="eastAsia" w:ascii="方正书宋简体" w:hAnsi="方正书宋简体" w:eastAsia="方正书宋简体" w:cs="方正书宋简体"/>
                <w:spacing w:val="13"/>
                <w:w w:val="100"/>
                <w:sz w:val="21"/>
                <w:szCs w:val="21"/>
              </w:rPr>
              <w:t>对违法行为联合惩戒</w:t>
            </w:r>
            <w:r>
              <w:rPr>
                <w:rFonts w:hint="eastAsia" w:ascii="方正书宋简体" w:hAnsi="方正书宋简体" w:eastAsia="方正书宋简体" w:cs="方正书宋简体"/>
                <w:spacing w:val="13"/>
                <w:w w:val="100"/>
                <w:sz w:val="21"/>
                <w:szCs w:val="21"/>
                <w:lang w:eastAsia="zh-CN"/>
              </w:rPr>
              <w:t>：</w:t>
            </w:r>
            <w:r>
              <w:rPr>
                <w:rFonts w:hint="eastAsia" w:ascii="方正书宋简体" w:hAnsi="方正书宋简体" w:eastAsia="方正书宋简体" w:cs="方正书宋简体"/>
                <w:spacing w:val="13"/>
                <w:w w:val="100"/>
                <w:sz w:val="21"/>
                <w:szCs w:val="21"/>
              </w:rPr>
              <w:t>对违法失信行为</w:t>
            </w:r>
            <w:r>
              <w:rPr>
                <w:rFonts w:hint="eastAsia" w:ascii="方正书宋简体" w:hAnsi="方正书宋简体" w:eastAsia="方正书宋简体" w:cs="方正书宋简体"/>
                <w:spacing w:val="12"/>
                <w:w w:val="100"/>
                <w:sz w:val="21"/>
                <w:szCs w:val="21"/>
              </w:rPr>
              <w:t>向社会公示、实</w:t>
            </w:r>
            <w:r>
              <w:rPr>
                <w:rFonts w:hint="eastAsia" w:ascii="方正书宋简体" w:hAnsi="方正书宋简体" w:eastAsia="方正书宋简体" w:cs="方正书宋简体"/>
                <w:spacing w:val="13"/>
                <w:w w:val="100"/>
                <w:sz w:val="21"/>
                <w:szCs w:val="21"/>
              </w:rPr>
              <w:t>施联合惩戒。</w:t>
            </w:r>
          </w:p>
        </w:tc>
      </w:tr>
      <w:tr w14:paraId="7D6B6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4" w:hRule="atLeast"/>
          <w:jc w:val="center"/>
        </w:trPr>
        <w:tc>
          <w:tcPr>
            <w:tcW w:w="1106" w:type="dxa"/>
            <w:tcBorders>
              <w:left w:val="single" w:color="000000" w:sz="6" w:space="0"/>
              <w:bottom w:val="single" w:color="000000" w:sz="6" w:space="0"/>
            </w:tcBorders>
            <w:noWrap w:val="0"/>
            <w:vAlign w:val="center"/>
          </w:tcPr>
          <w:p w14:paraId="08AF90D5">
            <w:pPr>
              <w:pStyle w:val="19"/>
              <w:keepNext w:val="0"/>
              <w:keepLines w:val="0"/>
              <w:pageBreakBefore w:val="0"/>
              <w:wordWrap/>
              <w:overflowPunct/>
              <w:topLinePunct w:val="0"/>
              <w:bidi w:val="0"/>
              <w:snapToGrid w:val="0"/>
              <w:spacing w:before="60" w:line="310" w:lineRule="exact"/>
              <w:ind w:left="0" w:leftChars="0" w:right="0" w:rightChars="0" w:firstLine="0" w:firstLineChars="0"/>
              <w:jc w:val="center"/>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4"/>
                <w:w w:val="100"/>
                <w:sz w:val="21"/>
                <w:szCs w:val="21"/>
              </w:rPr>
              <w:t>非工程</w:t>
            </w:r>
            <w:r>
              <w:rPr>
                <w:rFonts w:hint="eastAsia" w:ascii="方正书宋简体" w:hAnsi="方正书宋简体" w:eastAsia="方正书宋简体" w:cs="方正书宋简体"/>
                <w:spacing w:val="12"/>
                <w:w w:val="100"/>
                <w:sz w:val="21"/>
                <w:szCs w:val="21"/>
              </w:rPr>
              <w:t>建设领域</w:t>
            </w:r>
          </w:p>
        </w:tc>
        <w:tc>
          <w:tcPr>
            <w:tcW w:w="3578" w:type="dxa"/>
            <w:tcBorders>
              <w:bottom w:val="single" w:color="000000" w:sz="6" w:space="0"/>
            </w:tcBorders>
            <w:noWrap w:val="0"/>
            <w:vAlign w:val="center"/>
          </w:tcPr>
          <w:p w14:paraId="52CB097F">
            <w:pPr>
              <w:pStyle w:val="19"/>
              <w:keepNext w:val="0"/>
              <w:keepLines w:val="0"/>
              <w:pageBreakBefore w:val="0"/>
              <w:wordWrap/>
              <w:overflowPunct/>
              <w:topLinePunct w:val="0"/>
              <w:bidi w:val="0"/>
              <w:snapToGrid w:val="0"/>
              <w:spacing w:before="60"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3"/>
                <w:w w:val="100"/>
                <w:sz w:val="21"/>
                <w:szCs w:val="21"/>
              </w:rPr>
              <w:t>民政局、教体局、</w:t>
            </w:r>
          </w:p>
          <w:p w14:paraId="7BE744EA">
            <w:pPr>
              <w:pStyle w:val="19"/>
              <w:keepNext w:val="0"/>
              <w:keepLines w:val="0"/>
              <w:pageBreakBefore w:val="0"/>
              <w:wordWrap/>
              <w:overflowPunct/>
              <w:topLinePunct w:val="0"/>
              <w:bidi w:val="0"/>
              <w:snapToGrid w:val="0"/>
              <w:spacing w:before="33"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8"/>
                <w:w w:val="100"/>
                <w:sz w:val="21"/>
                <w:szCs w:val="21"/>
              </w:rPr>
              <w:t>文旅局、卫健委、</w:t>
            </w:r>
          </w:p>
          <w:p w14:paraId="5D31F5D7">
            <w:pPr>
              <w:pStyle w:val="19"/>
              <w:keepNext w:val="0"/>
              <w:keepLines w:val="0"/>
              <w:pageBreakBefore w:val="0"/>
              <w:wordWrap/>
              <w:overflowPunct/>
              <w:topLinePunct w:val="0"/>
              <w:bidi w:val="0"/>
              <w:snapToGrid w:val="0"/>
              <w:spacing w:before="20"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w w:val="100"/>
                <w:sz w:val="21"/>
                <w:szCs w:val="21"/>
              </w:rPr>
              <w:t>工科局、交通局、</w:t>
            </w:r>
          </w:p>
          <w:p w14:paraId="74C62DCD">
            <w:pPr>
              <w:pStyle w:val="19"/>
              <w:keepNext w:val="0"/>
              <w:keepLines w:val="0"/>
              <w:pageBreakBefore w:val="0"/>
              <w:wordWrap/>
              <w:overflowPunct/>
              <w:topLinePunct w:val="0"/>
              <w:bidi w:val="0"/>
              <w:snapToGrid w:val="0"/>
              <w:spacing w:before="20"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8"/>
                <w:w w:val="100"/>
                <w:sz w:val="21"/>
                <w:szCs w:val="21"/>
              </w:rPr>
              <w:t>市场监管局、邮政</w:t>
            </w:r>
            <w:r>
              <w:rPr>
                <w:rFonts w:hint="eastAsia" w:ascii="方正书宋简体" w:hAnsi="方正书宋简体" w:eastAsia="方正书宋简体" w:cs="方正书宋简体"/>
                <w:spacing w:val="16"/>
                <w:w w:val="100"/>
                <w:sz w:val="21"/>
                <w:szCs w:val="21"/>
              </w:rPr>
              <w:t>管理局等</w:t>
            </w:r>
          </w:p>
        </w:tc>
        <w:tc>
          <w:tcPr>
            <w:tcW w:w="4990" w:type="dxa"/>
            <w:tcBorders>
              <w:bottom w:val="single" w:color="000000" w:sz="6" w:space="0"/>
              <w:right w:val="single" w:color="000000" w:sz="6" w:space="0"/>
            </w:tcBorders>
            <w:noWrap w:val="0"/>
            <w:vAlign w:val="center"/>
          </w:tcPr>
          <w:p w14:paraId="758ADA3D">
            <w:pPr>
              <w:pStyle w:val="19"/>
              <w:keepNext w:val="0"/>
              <w:keepLines w:val="0"/>
              <w:pageBreakBefore w:val="0"/>
              <w:wordWrap/>
              <w:overflowPunct/>
              <w:topLinePunct w:val="0"/>
              <w:bidi w:val="0"/>
              <w:snapToGrid w:val="0"/>
              <w:spacing w:before="133"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21"/>
                <w:w w:val="100"/>
                <w:position w:val="-1"/>
                <w:sz w:val="21"/>
                <w:szCs w:val="21"/>
              </w:rPr>
              <w:t>1.</w:t>
            </w:r>
            <w:r>
              <w:rPr>
                <w:rFonts w:hint="eastAsia" w:ascii="方正书宋简体" w:hAnsi="方正书宋简体" w:eastAsia="方正书宋简体" w:cs="方正书宋简体"/>
                <w:spacing w:val="21"/>
                <w:w w:val="100"/>
                <w:sz w:val="21"/>
                <w:szCs w:val="21"/>
              </w:rPr>
              <w:t>摸清监管对象底数</w:t>
            </w:r>
            <w:r>
              <w:rPr>
                <w:rFonts w:hint="eastAsia" w:ascii="方正书宋简体" w:hAnsi="方正书宋简体" w:eastAsia="方正书宋简体" w:cs="方正书宋简体"/>
                <w:spacing w:val="4"/>
                <w:w w:val="100"/>
                <w:sz w:val="21"/>
                <w:szCs w:val="21"/>
                <w:lang w:eastAsia="zh-CN"/>
              </w:rPr>
              <w:t>：</w:t>
            </w:r>
            <w:r>
              <w:rPr>
                <w:rFonts w:hint="eastAsia" w:ascii="方正书宋简体" w:hAnsi="方正书宋简体" w:eastAsia="方正书宋简体" w:cs="方正书宋简体"/>
                <w:spacing w:val="21"/>
                <w:w w:val="100"/>
                <w:sz w:val="21"/>
                <w:szCs w:val="21"/>
              </w:rPr>
              <w:t>建立用工台账</w:t>
            </w:r>
            <w:r>
              <w:rPr>
                <w:rFonts w:hint="eastAsia" w:ascii="方正书宋简体" w:hAnsi="方正书宋简体" w:eastAsia="方正书宋简体" w:cs="方正书宋简体"/>
                <w:spacing w:val="21"/>
                <w:w w:val="100"/>
                <w:sz w:val="21"/>
                <w:szCs w:val="21"/>
                <w:lang w:eastAsia="zh-CN"/>
              </w:rPr>
              <w:t>；</w:t>
            </w:r>
          </w:p>
          <w:p w14:paraId="65E95795">
            <w:pPr>
              <w:pStyle w:val="19"/>
              <w:keepNext w:val="0"/>
              <w:keepLines w:val="0"/>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4"/>
                <w:w w:val="100"/>
                <w:position w:val="-1"/>
                <w:sz w:val="21"/>
                <w:szCs w:val="21"/>
              </w:rPr>
              <w:t>2.</w:t>
            </w:r>
            <w:r>
              <w:rPr>
                <w:rFonts w:hint="eastAsia" w:ascii="方正书宋简体" w:hAnsi="方正书宋简体" w:eastAsia="方正书宋简体" w:cs="方正书宋简体"/>
                <w:spacing w:val="14"/>
                <w:w w:val="100"/>
                <w:sz w:val="21"/>
                <w:szCs w:val="21"/>
              </w:rPr>
              <w:t>日常监管</w:t>
            </w:r>
            <w:r>
              <w:rPr>
                <w:rFonts w:hint="eastAsia" w:ascii="方正书宋简体" w:hAnsi="方正书宋简体" w:eastAsia="方正书宋简体" w:cs="方正书宋简体"/>
                <w:spacing w:val="10"/>
                <w:w w:val="100"/>
                <w:sz w:val="21"/>
                <w:szCs w:val="21"/>
                <w:lang w:eastAsia="zh-CN"/>
              </w:rPr>
              <w:t>：</w:t>
            </w:r>
            <w:r>
              <w:rPr>
                <w:rFonts w:hint="eastAsia" w:ascii="方正书宋简体" w:hAnsi="方正书宋简体" w:eastAsia="方正书宋简体" w:cs="方正书宋简体"/>
                <w:spacing w:val="14"/>
                <w:w w:val="100"/>
                <w:sz w:val="21"/>
                <w:szCs w:val="21"/>
              </w:rPr>
              <w:t>网格化监管、定期排查、分析欠薪线索</w:t>
            </w:r>
            <w:r>
              <w:rPr>
                <w:rFonts w:hint="eastAsia" w:ascii="方正书宋简体" w:hAnsi="方正书宋简体" w:eastAsia="方正书宋简体" w:cs="方正书宋简体"/>
                <w:spacing w:val="14"/>
                <w:w w:val="100"/>
                <w:sz w:val="21"/>
                <w:szCs w:val="21"/>
                <w:lang w:eastAsia="zh-CN"/>
              </w:rPr>
              <w:t>；</w:t>
            </w:r>
          </w:p>
          <w:p w14:paraId="4A3D2FDA">
            <w:pPr>
              <w:pStyle w:val="19"/>
              <w:keepNext w:val="0"/>
              <w:keepLines w:val="0"/>
              <w:pageBreakBefore w:val="0"/>
              <w:wordWrap/>
              <w:overflowPunct/>
              <w:topLinePunct w:val="0"/>
              <w:bidi w:val="0"/>
              <w:snapToGrid w:val="0"/>
              <w:spacing w:before="1"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3"/>
                <w:w w:val="100"/>
                <w:position w:val="-1"/>
                <w:sz w:val="21"/>
                <w:szCs w:val="21"/>
              </w:rPr>
              <w:t>3.</w:t>
            </w:r>
            <w:r>
              <w:rPr>
                <w:rFonts w:hint="eastAsia" w:ascii="方正书宋简体" w:hAnsi="方正书宋简体" w:eastAsia="方正书宋简体" w:cs="方正书宋简体"/>
                <w:spacing w:val="13"/>
                <w:w w:val="100"/>
                <w:sz w:val="21"/>
                <w:szCs w:val="21"/>
              </w:rPr>
              <w:t>欠薪线索核处</w:t>
            </w:r>
            <w:r>
              <w:rPr>
                <w:rFonts w:hint="eastAsia" w:ascii="方正书宋简体" w:hAnsi="方正书宋简体" w:eastAsia="方正书宋简体" w:cs="方正书宋简体"/>
                <w:spacing w:val="-1"/>
                <w:w w:val="100"/>
                <w:sz w:val="21"/>
                <w:szCs w:val="21"/>
                <w:lang w:eastAsia="zh-CN"/>
              </w:rPr>
              <w:t>：</w:t>
            </w:r>
            <w:r>
              <w:rPr>
                <w:rFonts w:hint="eastAsia" w:ascii="方正书宋简体" w:hAnsi="方正书宋简体" w:eastAsia="方正书宋简体" w:cs="方正书宋简体"/>
                <w:spacing w:val="13"/>
                <w:w w:val="100"/>
                <w:sz w:val="21"/>
                <w:szCs w:val="21"/>
              </w:rPr>
              <w:t>落实</w:t>
            </w:r>
            <w:r>
              <w:rPr>
                <w:rFonts w:hint="eastAsia" w:ascii="方正书宋简体" w:hAnsi="方正书宋简体" w:eastAsia="方正书宋简体" w:cs="方正书宋简体"/>
                <w:spacing w:val="13"/>
                <w:w w:val="100"/>
                <w:position w:val="-1"/>
                <w:sz w:val="21"/>
                <w:szCs w:val="21"/>
              </w:rPr>
              <w:t>1十5十15十15</w:t>
            </w:r>
            <w:r>
              <w:rPr>
                <w:rFonts w:hint="eastAsia" w:ascii="方正书宋简体" w:hAnsi="方正书宋简体" w:eastAsia="方正书宋简体" w:cs="方正书宋简体"/>
                <w:spacing w:val="13"/>
                <w:w w:val="100"/>
                <w:sz w:val="21"/>
                <w:szCs w:val="21"/>
              </w:rPr>
              <w:t>规则办案</w:t>
            </w:r>
            <w:r>
              <w:rPr>
                <w:rFonts w:hint="eastAsia" w:ascii="方正书宋简体" w:hAnsi="方正书宋简体" w:eastAsia="方正书宋简体" w:cs="方正书宋简体"/>
                <w:spacing w:val="13"/>
                <w:w w:val="100"/>
                <w:position w:val="1"/>
                <w:sz w:val="21"/>
                <w:szCs w:val="21"/>
              </w:rPr>
              <w:t>、</w:t>
            </w:r>
            <w:r>
              <w:rPr>
                <w:rFonts w:hint="eastAsia" w:ascii="方正书宋简体" w:hAnsi="方正书宋简体" w:eastAsia="方正书宋简体" w:cs="方正书宋简体"/>
                <w:spacing w:val="13"/>
                <w:w w:val="100"/>
                <w:sz w:val="21"/>
                <w:szCs w:val="21"/>
              </w:rPr>
              <w:t>建立线索</w:t>
            </w:r>
            <w:r>
              <w:rPr>
                <w:rFonts w:hint="eastAsia" w:ascii="方正书宋简体" w:hAnsi="方正书宋简体" w:eastAsia="方正书宋简体" w:cs="方正书宋简体"/>
                <w:spacing w:val="17"/>
                <w:w w:val="100"/>
                <w:sz w:val="21"/>
                <w:szCs w:val="21"/>
              </w:rPr>
              <w:t>办理台账、重大案件实行领导包案</w:t>
            </w:r>
            <w:r>
              <w:rPr>
                <w:rFonts w:hint="eastAsia" w:ascii="方正书宋简体" w:hAnsi="方正书宋简体" w:eastAsia="方正书宋简体" w:cs="方正书宋简体"/>
                <w:spacing w:val="17"/>
                <w:w w:val="100"/>
                <w:sz w:val="21"/>
                <w:szCs w:val="21"/>
                <w:lang w:eastAsia="zh-CN"/>
              </w:rPr>
              <w:t>；</w:t>
            </w:r>
          </w:p>
          <w:p w14:paraId="506F43E9">
            <w:pPr>
              <w:pStyle w:val="19"/>
              <w:keepNext w:val="0"/>
              <w:keepLines w:val="0"/>
              <w:pageBreakBefore w:val="0"/>
              <w:wordWrap/>
              <w:overflowPunct/>
              <w:topLinePunct w:val="0"/>
              <w:bidi w:val="0"/>
              <w:snapToGrid w:val="0"/>
              <w:spacing w:before="27"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5"/>
                <w:w w:val="100"/>
                <w:position w:val="-1"/>
                <w:sz w:val="21"/>
                <w:szCs w:val="21"/>
              </w:rPr>
              <w:t>4.</w:t>
            </w:r>
            <w:r>
              <w:rPr>
                <w:rFonts w:hint="eastAsia" w:ascii="方正书宋简体" w:hAnsi="方正书宋简体" w:eastAsia="方正书宋简体" w:cs="方正书宋简体"/>
                <w:spacing w:val="15"/>
                <w:w w:val="100"/>
                <w:sz w:val="21"/>
                <w:szCs w:val="21"/>
              </w:rPr>
              <w:t>办结线索回访</w:t>
            </w:r>
            <w:r>
              <w:rPr>
                <w:rFonts w:hint="eastAsia" w:ascii="方正书宋简体" w:hAnsi="方正书宋简体" w:eastAsia="方正书宋简体" w:cs="方正书宋简体"/>
                <w:spacing w:val="15"/>
                <w:w w:val="100"/>
                <w:sz w:val="21"/>
                <w:szCs w:val="21"/>
                <w:lang w:eastAsia="zh-CN"/>
              </w:rPr>
              <w:t>：回访办理结果</w:t>
            </w:r>
            <w:r>
              <w:rPr>
                <w:rFonts w:hint="eastAsia" w:ascii="方正书宋简体" w:hAnsi="方正书宋简体" w:eastAsia="方正书宋简体" w:cs="方正书宋简体"/>
                <w:spacing w:val="15"/>
                <w:w w:val="100"/>
                <w:sz w:val="21"/>
                <w:szCs w:val="21"/>
              </w:rPr>
              <w:t>与</w:t>
            </w:r>
            <w:r>
              <w:rPr>
                <w:rFonts w:hint="eastAsia" w:ascii="方正书宋简体" w:hAnsi="方正书宋简体" w:eastAsia="方正书宋简体" w:cs="方正书宋简体"/>
                <w:spacing w:val="15"/>
                <w:w w:val="100"/>
                <w:sz w:val="21"/>
                <w:szCs w:val="21"/>
                <w:lang w:eastAsia="zh-CN"/>
              </w:rPr>
              <w:t>办结结论一致性</w:t>
            </w:r>
            <w:r>
              <w:rPr>
                <w:rFonts w:hint="eastAsia" w:ascii="方正书宋简体" w:hAnsi="方正书宋简体" w:eastAsia="方正书宋简体" w:cs="方正书宋简体"/>
                <w:spacing w:val="15"/>
                <w:w w:val="100"/>
                <w:sz w:val="21"/>
                <w:szCs w:val="21"/>
              </w:rPr>
              <w:t>、建立</w:t>
            </w:r>
            <w:r>
              <w:rPr>
                <w:rFonts w:hint="eastAsia" w:ascii="方正书宋简体" w:hAnsi="方正书宋简体" w:eastAsia="方正书宋简体" w:cs="方正书宋简体"/>
                <w:spacing w:val="16"/>
                <w:w w:val="100"/>
                <w:sz w:val="21"/>
                <w:szCs w:val="21"/>
              </w:rPr>
              <w:t>回访台账、评估反映人满意度</w:t>
            </w:r>
            <w:r>
              <w:rPr>
                <w:rFonts w:hint="eastAsia" w:ascii="方正书宋简体" w:hAnsi="方正书宋简体" w:eastAsia="方正书宋简体" w:cs="方正书宋简体"/>
                <w:spacing w:val="16"/>
                <w:w w:val="100"/>
                <w:sz w:val="21"/>
                <w:szCs w:val="21"/>
                <w:lang w:eastAsia="zh-CN"/>
              </w:rPr>
              <w:t>。</w:t>
            </w:r>
          </w:p>
          <w:p w14:paraId="24AC520B">
            <w:pPr>
              <w:pStyle w:val="19"/>
              <w:keepNext w:val="0"/>
              <w:keepLines w:val="0"/>
              <w:pageBreakBefore w:val="0"/>
              <w:wordWrap/>
              <w:overflowPunct/>
              <w:topLinePunct w:val="0"/>
              <w:bidi w:val="0"/>
              <w:snapToGrid w:val="0"/>
              <w:spacing w:before="23" w:line="310" w:lineRule="exact"/>
              <w:ind w:left="0" w:leftChars="0" w:right="0" w:rightChars="0" w:firstLine="0" w:firstLineChars="0"/>
              <w:jc w:val="left"/>
              <w:rPr>
                <w:rFonts w:hint="eastAsia" w:ascii="方正书宋简体" w:hAnsi="方正书宋简体" w:eastAsia="方正书宋简体" w:cs="方正书宋简体"/>
                <w:w w:val="100"/>
                <w:sz w:val="21"/>
                <w:szCs w:val="21"/>
              </w:rPr>
            </w:pPr>
            <w:r>
              <w:rPr>
                <w:rFonts w:hint="eastAsia" w:ascii="方正书宋简体" w:hAnsi="方正书宋简体" w:eastAsia="方正书宋简体" w:cs="方正书宋简体"/>
                <w:spacing w:val="13"/>
                <w:w w:val="100"/>
                <w:position w:val="-1"/>
                <w:sz w:val="21"/>
                <w:szCs w:val="21"/>
              </w:rPr>
              <w:t>5.</w:t>
            </w:r>
            <w:r>
              <w:rPr>
                <w:rFonts w:hint="eastAsia" w:ascii="方正书宋简体" w:hAnsi="方正书宋简体" w:eastAsia="方正书宋简体" w:cs="方正书宋简体"/>
                <w:spacing w:val="13"/>
                <w:w w:val="100"/>
                <w:sz w:val="21"/>
                <w:szCs w:val="21"/>
              </w:rPr>
              <w:t>对违法行为联合惩戒</w:t>
            </w:r>
            <w:r>
              <w:rPr>
                <w:rFonts w:hint="eastAsia" w:ascii="方正书宋简体" w:hAnsi="方正书宋简体" w:eastAsia="方正书宋简体" w:cs="方正书宋简体"/>
                <w:spacing w:val="13"/>
                <w:w w:val="100"/>
                <w:sz w:val="21"/>
                <w:szCs w:val="21"/>
                <w:lang w:eastAsia="zh-CN"/>
              </w:rPr>
              <w:t>：</w:t>
            </w:r>
            <w:r>
              <w:rPr>
                <w:rFonts w:hint="eastAsia" w:ascii="方正书宋简体" w:hAnsi="方正书宋简体" w:eastAsia="方正书宋简体" w:cs="方正书宋简体"/>
                <w:spacing w:val="13"/>
                <w:w w:val="100"/>
                <w:sz w:val="21"/>
                <w:szCs w:val="21"/>
              </w:rPr>
              <w:t>对违法失信行为</w:t>
            </w:r>
            <w:r>
              <w:rPr>
                <w:rFonts w:hint="eastAsia" w:ascii="方正书宋简体" w:hAnsi="方正书宋简体" w:eastAsia="方正书宋简体" w:cs="方正书宋简体"/>
                <w:spacing w:val="12"/>
                <w:w w:val="100"/>
                <w:sz w:val="21"/>
                <w:szCs w:val="21"/>
              </w:rPr>
              <w:t>向社会公示、实</w:t>
            </w:r>
            <w:r>
              <w:rPr>
                <w:rFonts w:hint="eastAsia" w:ascii="方正书宋简体" w:hAnsi="方正书宋简体" w:eastAsia="方正书宋简体" w:cs="方正书宋简体"/>
                <w:spacing w:val="13"/>
                <w:w w:val="100"/>
                <w:sz w:val="21"/>
                <w:szCs w:val="21"/>
              </w:rPr>
              <w:t>施联合惩戒。</w:t>
            </w:r>
          </w:p>
        </w:tc>
      </w:tr>
    </w:tbl>
    <w:p w14:paraId="65973A8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0"/>
        <w:jc w:val="center"/>
        <w:textAlignment w:val="baseline"/>
        <w:rPr>
          <w:rFonts w:hint="eastAsia" w:ascii="仿宋_GB2312" w:hAnsi="仿宋_GB2312" w:eastAsia="仿宋_GB2312" w:cs="仿宋_GB2312"/>
          <w:w w:val="100"/>
          <w:sz w:val="44"/>
          <w:szCs w:val="44"/>
        </w:rPr>
      </w:pPr>
      <w:r>
        <w:rPr>
          <w:rFonts w:hint="eastAsia" w:ascii="仿宋_GB2312" w:hAnsi="仿宋_GB2312" w:eastAsia="仿宋_GB2312" w:cs="仿宋_GB2312"/>
          <w:spacing w:val="23"/>
          <w:w w:val="100"/>
          <w:sz w:val="44"/>
          <w:szCs w:val="44"/>
        </w:rPr>
        <w:t>行业主管部门、包联部门</w:t>
      </w:r>
      <w:r>
        <w:rPr>
          <w:rFonts w:hint="eastAsia" w:ascii="仿宋_GB2312" w:hAnsi="仿宋_GB2312" w:eastAsia="仿宋_GB2312" w:cs="仿宋_GB2312"/>
          <w:spacing w:val="26"/>
          <w:w w:val="100"/>
          <w:sz w:val="44"/>
          <w:szCs w:val="44"/>
        </w:rPr>
        <w:t>工作任务流程图</w:t>
      </w:r>
    </w:p>
    <w:p w14:paraId="52B747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pacing w:val="11"/>
          <w:sz w:val="32"/>
          <w:szCs w:val="32"/>
          <w:lang w:val="en-US" w:eastAsia="zh-CN"/>
        </w:rPr>
      </w:pPr>
      <w:r>
        <w:rPr>
          <w:rFonts w:hint="eastAsia" w:ascii="仿宋_GB2312" w:hAnsi="仿宋_GB2312" w:eastAsia="仿宋_GB2312" w:cs="仿宋_GB2312"/>
          <w:color w:val="auto"/>
          <w:spacing w:val="11"/>
          <w:sz w:val="32"/>
          <w:szCs w:val="32"/>
          <w:lang w:val="en-US" w:eastAsia="zh-CN"/>
        </w:rPr>
        <w:drawing>
          <wp:inline distT="0" distB="0" distL="114300" distR="114300">
            <wp:extent cx="6014085" cy="7297420"/>
            <wp:effectExtent l="0" t="0" r="5715" b="5080"/>
            <wp:docPr id="2" name="图片 1" descr="流程图二_20260324180143_9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二_20260324180143_94_2"/>
                    <pic:cNvPicPr>
                      <a:picLocks noChangeAspect="1"/>
                    </pic:cNvPicPr>
                  </pic:nvPicPr>
                  <pic:blipFill>
                    <a:blip r:embed="rId10"/>
                    <a:stretch>
                      <a:fillRect/>
                    </a:stretch>
                  </pic:blipFill>
                  <pic:spPr>
                    <a:xfrm>
                      <a:off x="0" y="0"/>
                      <a:ext cx="6014085" cy="7297420"/>
                    </a:xfrm>
                    <a:prstGeom prst="rect">
                      <a:avLst/>
                    </a:prstGeom>
                    <a:noFill/>
                    <a:ln>
                      <a:noFill/>
                    </a:ln>
                  </pic:spPr>
                </pic:pic>
              </a:graphicData>
            </a:graphic>
          </wp:inline>
        </w:drawing>
      </w:r>
    </w:p>
    <w:p w14:paraId="58D609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84" w:firstLineChars="200"/>
        <w:jc w:val="both"/>
        <w:textAlignment w:val="auto"/>
        <w:rPr>
          <w:rFonts w:hint="eastAsia" w:ascii="黑体" w:hAnsi="黑体" w:eastAsia="黑体" w:cs="黑体"/>
          <w:color w:val="auto"/>
          <w:spacing w:val="11"/>
          <w:sz w:val="32"/>
          <w:szCs w:val="32"/>
          <w:lang w:val="en-US" w:eastAsia="zh-CN"/>
        </w:rPr>
      </w:pPr>
    </w:p>
    <w:p w14:paraId="5B2839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64" w:firstLineChars="200"/>
        <w:jc w:val="both"/>
        <w:textAlignment w:val="auto"/>
        <w:rPr>
          <w:rFonts w:hint="eastAsia" w:ascii="黑体" w:hAnsi="黑体" w:eastAsia="黑体" w:cs="黑体"/>
          <w:color w:val="auto"/>
          <w:spacing w:val="11"/>
          <w:sz w:val="21"/>
          <w:szCs w:val="21"/>
          <w:lang w:val="en-US" w:eastAsia="zh-CN"/>
        </w:rPr>
        <w:sectPr>
          <w:type w:val="continuous"/>
          <w:pgSz w:w="11906" w:h="16838"/>
          <w:pgMar w:top="2154" w:right="1134" w:bottom="1701" w:left="1134" w:header="1134" w:footer="992" w:gutter="0"/>
          <w:pgNumType w:fmt="decimal"/>
          <w:cols w:space="425" w:num="1"/>
          <w:docGrid w:type="lines" w:linePitch="312" w:charSpace="0"/>
        </w:sectPr>
      </w:pPr>
    </w:p>
    <w:p w14:paraId="14C34F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66" w:firstLineChars="200"/>
        <w:jc w:val="both"/>
        <w:textAlignment w:val="auto"/>
        <w:rPr>
          <w:rFonts w:hint="eastAsia" w:ascii="黑体" w:hAnsi="黑体" w:eastAsia="黑体" w:cs="黑体"/>
          <w:b/>
          <w:bCs/>
          <w:color w:val="auto"/>
          <w:spacing w:val="11"/>
          <w:sz w:val="21"/>
          <w:szCs w:val="21"/>
          <w:lang w:val="en-US" w:eastAsia="zh-CN"/>
        </w:rPr>
      </w:pPr>
      <w:r>
        <w:rPr>
          <w:rFonts w:hint="eastAsia" w:ascii="黑体" w:hAnsi="黑体" w:eastAsia="黑体" w:cs="黑体"/>
          <w:b/>
          <w:bCs/>
          <w:color w:val="auto"/>
          <w:spacing w:val="11"/>
          <w:sz w:val="21"/>
          <w:szCs w:val="21"/>
          <w:lang w:val="en-US" w:eastAsia="zh-CN"/>
        </w:rPr>
        <w:t>二、工作任务及要求</w:t>
      </w:r>
    </w:p>
    <w:p w14:paraId="411CEF4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（一）工程建设领域行业主管部门、开发区包联部门。</w:t>
      </w:r>
    </w:p>
    <w:p w14:paraId="574E0FB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1.事前预防</w:t>
      </w:r>
    </w:p>
    <w:p w14:paraId="7BA8186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加强建设单位资金安排监控。各行业主管部门、开发区包联部门要按照职责在工程建设项目招标投标、施工许可等环节依法依规审核资金安排情况。建设单位没有满足施工所需要的资金安排的，工程建设项目不得开工建设；需办理施工许可证的，依法不予颁发施工许可证。</w:t>
      </w:r>
    </w:p>
    <w:p w14:paraId="516BAF8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监督落实工程款支付担保。建设单位应当向施工单位提供工程款支付担保。各行业主管部门、开发区包联部门要将工程款支付担保作为建立公平公正市场秩序、防范和化解工程风险的重要措施，按照相关法律法规及文件要求，指导监督在建项目做好履约保证金担保。建设单位不能按合同约定支付工程款时，要监督保证人按照担保合同约定承担担保责任，并确保担保款项应优先支付该工程项目拖欠的农牧民工工资。</w:t>
      </w:r>
    </w:p>
    <w:p w14:paraId="2DA7291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依法约定人工费用拨付。各行业主管部门、开发区包联部门监督建设单位与施工总承包单位依法订立书面工程施工合同时，应当约定工程款计量周期和工程款进度结算办法，拨付人工费用的周期（不得超过1个月）和拨付日期，人工费用数额或人工费用占总工程款比例，涉及人工费用相关争议的解决方式等事项。约定不明确或不符合《条例》要求的，应当通过补签书面协议等方式予以明确。</w:t>
      </w:r>
    </w:p>
    <w:p w14:paraId="1D87223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2.日常检查（后附表1、2、3）</w:t>
      </w:r>
    </w:p>
    <w:p w14:paraId="419C546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检查内容：</w:t>
      </w:r>
    </w:p>
    <w:p w14:paraId="1331E13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（1）是否配备劳资专管员（查看合同和任命文件）；</w:t>
      </w:r>
    </w:p>
    <w:p w14:paraId="6558A1C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（2）是否全面落实工程款支付担保；</w:t>
      </w:r>
    </w:p>
    <w:p w14:paraId="028D2BC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（3）政府国企项目是否按规定及时拨付财政资金；</w:t>
      </w:r>
    </w:p>
    <w:p w14:paraId="2E9A884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（4）是否依规设立维权信息告示牌（双驻双查人员联系信息）；</w:t>
      </w:r>
    </w:p>
    <w:p w14:paraId="28681B8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（5）是否依法与劳动者订立劳动合同；</w:t>
      </w:r>
    </w:p>
    <w:p w14:paraId="08111FB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（6）是否通过管理台账或信息化实名制等管理手段记录施工现场作业农牧民工的身份信息、劳动考勤、工资结算等信息；</w:t>
      </w:r>
    </w:p>
    <w:p w14:paraId="46741D2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（7）是否依规开立工资专用账户；</w:t>
      </w:r>
    </w:p>
    <w:p w14:paraId="2E4EB83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（8）建设单位是否及时足额向总承包方开设的农牧民工工资专用账户拨付人工费用；</w:t>
      </w:r>
    </w:p>
    <w:p w14:paraId="2246E23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（9）总包及分包单位是否按月考核农牧民工工作量并编制工资支付表；</w:t>
      </w:r>
    </w:p>
    <w:p w14:paraId="7870B83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（10）工资支付表是否经农牧民工本人签字确认；</w:t>
      </w:r>
    </w:p>
    <w:p w14:paraId="02D9A71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（11）是否严格执行银行代发工资制度；</w:t>
      </w:r>
    </w:p>
    <w:p w14:paraId="38678E6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（12）是否严格按照合同约定按时足额发放工资；</w:t>
      </w:r>
    </w:p>
    <w:p w14:paraId="6BC997E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（13）是否依规开立足额缴存工资保证金；</w:t>
      </w:r>
    </w:p>
    <w:p w14:paraId="332AA3D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（14）是否存在违法发包、转包、违法分包等违法违规行为。</w:t>
      </w:r>
    </w:p>
    <w:p w14:paraId="57BC9F6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b w:val="0"/>
          <w:bCs w:val="0"/>
          <w:color w:val="auto"/>
          <w:spacing w:val="11"/>
          <w:sz w:val="21"/>
          <w:szCs w:val="21"/>
          <w:lang w:val="en-US" w:eastAsia="zh-CN"/>
        </w:rPr>
      </w:pPr>
      <w:r>
        <w:rPr>
          <w:rFonts w:hint="eastAsia" w:ascii="方正书宋简体" w:hAnsi="方正书宋简体" w:eastAsia="方正书宋简体" w:cs="方正书宋简体"/>
          <w:b w:val="0"/>
          <w:bCs w:val="0"/>
          <w:color w:val="auto"/>
          <w:spacing w:val="11"/>
          <w:sz w:val="21"/>
          <w:szCs w:val="21"/>
          <w:lang w:val="en-US" w:eastAsia="zh-CN"/>
        </w:rPr>
        <w:t>实地访谈</w:t>
      </w:r>
    </w:p>
    <w:p w14:paraId="46E7CC8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与不同工种（班组）的部分农民工交谈，重点把握以下几个方面：</w:t>
      </w:r>
    </w:p>
    <w:p w14:paraId="15FB721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（1）是否了解工资发放的具体时间、发放金额和发放的具体形式；</w:t>
      </w:r>
    </w:p>
    <w:p w14:paraId="11B2F83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（2）本人是否持有劳动合同，劳动合同约定是否符合双方意愿；</w:t>
      </w:r>
    </w:p>
    <w:p w14:paraId="138684A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（3）是否了解合同中对工资支付、发放标准、工作时间等内容的约定；</w:t>
      </w:r>
    </w:p>
    <w:p w14:paraId="2E62E2A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（4）本人是否持有工资卡或社保卡；</w:t>
      </w:r>
    </w:p>
    <w:p w14:paraId="7CA1A05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（5）是否存在未按月足额发放工资等问题；</w:t>
      </w:r>
    </w:p>
    <w:p w14:paraId="0E45F7F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（6）是否了解发生欠薪后的解决渠道；</w:t>
      </w:r>
    </w:p>
    <w:p w14:paraId="021329F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（7）是否了解农牧民工维权公示牌所在位置及内容，例如项目驻查工作人员信息、欠薪投诉举报电话。</w:t>
      </w:r>
    </w:p>
    <w:p w14:paraId="5B61BA4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检查时，要重点核对各项台账中考勤天数、工资标准、发放形式、工资发放金额等信息，与农牧民工访谈反映的情况进行比对，做到劳动合同、实名制登记表、工资确认表、考勤记录表、银行代发流水、实名制管理系统有关数据和农牧民工访谈情况保持“七个一致”。</w:t>
      </w:r>
    </w:p>
    <w:p w14:paraId="5B04E2F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3.欠薪线索核处</w:t>
      </w:r>
    </w:p>
    <w:p w14:paraId="152701F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（1）“1”个工作日内接收线索。</w:t>
      </w:r>
    </w:p>
    <w:p w14:paraId="06DE217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（2）“5”个工作日内给出答复意见。承办责任单位需详细调查是否存在欠薪情况，明确欠薪涉及的人数以及具体金额，要及时向反映人作出答复，若欠薪情况属实，需给出</w:t>
      </w:r>
    </w:p>
    <w:p w14:paraId="3BB0D30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相应的处理方案；若欠薪情况不属实，则要积极引导反映人通过相关途径解决问题。</w:t>
      </w:r>
    </w:p>
    <w:p w14:paraId="4A46655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（3）“15”个工作日内处理完毕，特殊情况延长15个工作日。</w:t>
      </w:r>
    </w:p>
    <w:p w14:paraId="0E8920A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（4）未按期解决的案件，由行业主管部门、开发区包联部门负责人包案负责；</w:t>
      </w:r>
    </w:p>
    <w:p w14:paraId="060FE00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（5）建立办理线索台账（附表5），核实为欠薪的线索要详细记录欠薪人数、欠薪时长、欠薪金额、处理结果及相关支付佐证材料；</w:t>
      </w:r>
    </w:p>
    <w:p w14:paraId="27A459A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（6）核处过程中，遇到拒不支付劳动报酬行为等需立案移送公安机关解决的，配合人社部门搜集整理相关材料。</w:t>
      </w:r>
    </w:p>
    <w:p w14:paraId="7D3BEB9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4.办结线索回访</w:t>
      </w:r>
    </w:p>
    <w:p w14:paraId="3F5AE25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行业主管部门、开发区包联部门和人社部门负责本领域或本地区办结欠薪线索的回访工作。回访责任单位要对照承办单位办结线索的台账逐条进行回访，具体内容：</w:t>
      </w:r>
    </w:p>
    <w:p w14:paraId="219CDD0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（1）核对反映人投诉内容是否一致（是否通过XX平台，XX时间，反映XX内容）；</w:t>
      </w:r>
    </w:p>
    <w:p w14:paraId="6E00D7F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（2）办理的结论与反映人收到的处理意见是否一致；</w:t>
      </w:r>
    </w:p>
    <w:p w14:paraId="3A364E6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（3）核实欠薪的确认是否按时足额支付到位；</w:t>
      </w:r>
    </w:p>
    <w:p w14:paraId="39F85BD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（4）评估反映人满意度，挖掘二次欠薪或报复性解雇等衍生风险；</w:t>
      </w:r>
    </w:p>
    <w:p w14:paraId="7478127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（5）建立回访台账，保存通话录音内容；</w:t>
      </w:r>
    </w:p>
    <w:p w14:paraId="2CC2EB9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（6）及时将回访内容与办结情况不一致的线索退回承办单位重新办理，并跟踪督办。定期通报承办单位的办结情况，坚决杜绝“纸面办结”现象。</w:t>
      </w:r>
    </w:p>
    <w:p w14:paraId="0159EF5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5.对欠薪违法行为的联合惩戒</w:t>
      </w:r>
    </w:p>
    <w:p w14:paraId="0CB60F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（1）行业主管部门应联合相关部门对涉案单位和项目违法转分包等违法行为立案调查，必要时责令项目停工，情节严重的限制承接新工程、降低资质等级、吊销资质证书。</w:t>
      </w:r>
    </w:p>
    <w:p w14:paraId="2E87649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（2）对欠薪频发的项目单位，应联合人社部门对其违法行为向社会进行公布，并配合人社部门将其行政处罚情形及时上传至信用中国。</w:t>
      </w:r>
    </w:p>
    <w:p w14:paraId="7D35CC6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（3）对存在严重欠薪问题的，联合人社部门列入“黑名单”，实施联合惩戒。</w:t>
      </w:r>
    </w:p>
    <w:p w14:paraId="67B6658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（二）非工程建设领域行业主管部门</w:t>
      </w:r>
    </w:p>
    <w:p w14:paraId="413E62D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1.摸清监管对象底数</w:t>
      </w:r>
    </w:p>
    <w:p w14:paraId="5A2D72E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各级行业主管部门，建立监管领域用工单位台账，定期更新用工人数和收到欠薪投诉线索情况。</w:t>
      </w:r>
    </w:p>
    <w:p w14:paraId="01D35D5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2.日常监管排查（附表4）</w:t>
      </w:r>
    </w:p>
    <w:p w14:paraId="16D3564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（1）各行业、各领域要定人包片包用人单位，建立治理欠薪工作全域网格化监管机制。</w:t>
      </w:r>
    </w:p>
    <w:p w14:paraId="318E8F6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（2）定期排查，运用“一个明确、两个清单、三个到位”排查法（明确排查责任人，建立排查清单和问题清单，整改到位、处理到位、问责到位），对所监管领域单位欠薪问题进行排查。</w:t>
      </w:r>
    </w:p>
    <w:p w14:paraId="56D391C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（3）分析欠薪线索，针对高发领域重点进行治理排查，建立重点欠薪行业治理台账，对多次发生欠薪投诉或欠拖不解决的，要及时联合人社部门进行依法惩处。</w:t>
      </w:r>
    </w:p>
    <w:p w14:paraId="3802A41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3.欠薪线索核处</w:t>
      </w:r>
    </w:p>
    <w:p w14:paraId="3DC541B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（1）“1”个工作日内接收线索。</w:t>
      </w:r>
    </w:p>
    <w:p w14:paraId="780DBB9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5”个工作日内给出答复意见。承办责任单位需详细调查是否存在欠薪情况，明确欠薪涉及的人数以及具体金额。要及时向反映人作出答复，若欠薪情况属实，需给出相应的处理方案；若欠薪情况不属实，则要积极引导反映人通过相关途径解决问题。</w:t>
      </w:r>
    </w:p>
    <w:p w14:paraId="5ADCEB7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（3）“15”个工作日内处理完毕，特殊情况延长15个工作日。</w:t>
      </w:r>
    </w:p>
    <w:p w14:paraId="7AA287D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（4）未按期解决的案件，由行业主管部门负责人包案负责；</w:t>
      </w:r>
    </w:p>
    <w:p w14:paraId="37E2BED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（5）建立办理线索台账（附表5），核实为欠薪的线索要详细记录欠薪人数、欠薪时长、欠薪金额、处理结果及相关支付佐证材料；</w:t>
      </w:r>
    </w:p>
    <w:p w14:paraId="6F81CBF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b w:val="0"/>
          <w:bCs w:val="0"/>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（6）核处过程中，遇到拒不支付劳动报酬行为等需立</w:t>
      </w:r>
      <w:r>
        <w:rPr>
          <w:rFonts w:hint="eastAsia" w:ascii="方正书宋简体" w:hAnsi="方正书宋简体" w:eastAsia="方正书宋简体" w:cs="方正书宋简体"/>
          <w:b w:val="0"/>
          <w:bCs w:val="0"/>
          <w:color w:val="auto"/>
          <w:spacing w:val="11"/>
          <w:sz w:val="21"/>
          <w:szCs w:val="21"/>
          <w:lang w:val="en-US" w:eastAsia="zh-CN"/>
        </w:rPr>
        <w:t>案移送公安机关解决的，配合人社部门搜集整理相关材料。</w:t>
      </w:r>
    </w:p>
    <w:p w14:paraId="62BCF07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4.办结线索回访</w:t>
      </w:r>
    </w:p>
    <w:p w14:paraId="6F8E852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行业主管部门和人社部门负责对本领域或本地区办结欠薪线索的回访工作。各欠薪线索回访责任单位要对照承办单位办结线索的台账逐条进行回访，具体内容：</w:t>
      </w:r>
    </w:p>
    <w:p w14:paraId="55E94AE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（1）核对反映人投诉内容是否一致（是否通过XX平台，XX时间，反映XX内容）；</w:t>
      </w:r>
    </w:p>
    <w:p w14:paraId="7175164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（2）办理的结论与反映人收到的处理意见是否一致；</w:t>
      </w:r>
    </w:p>
    <w:p w14:paraId="1A7AEE8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（3）核实欠薪的确认是否按时足额支付到位；</w:t>
      </w:r>
    </w:p>
    <w:p w14:paraId="0E3C8B2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（4）评估反映人满意度，挖掘二次欠薪或报复性解雇等衍生风险；</w:t>
      </w:r>
    </w:p>
    <w:p w14:paraId="4B6E9DD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（5）建立回访台账，保存通话录音内容；</w:t>
      </w:r>
    </w:p>
    <w:p w14:paraId="4E0ADF8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（6）及时将回访内容与办结情况不一致的线索退回承办单位重新办理，并跟踪督办。定期通报承办单位的办结情况，坚决杜绝“纸面办结”现象。</w:t>
      </w:r>
    </w:p>
    <w:p w14:paraId="4FF3830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方正书宋简体" w:hAnsi="方正书宋简体" w:eastAsia="方正书宋简体" w:cs="方正书宋简体"/>
          <w:b/>
          <w:bCs/>
          <w:color w:val="auto"/>
          <w:spacing w:val="11"/>
          <w:sz w:val="21"/>
          <w:szCs w:val="21"/>
          <w:lang w:val="en-US" w:eastAsia="zh-CN"/>
        </w:rPr>
      </w:pPr>
      <w:r>
        <w:rPr>
          <w:rFonts w:hint="eastAsia" w:ascii="方正书宋简体" w:hAnsi="方正书宋简体" w:eastAsia="方正书宋简体" w:cs="方正书宋简体"/>
          <w:b/>
          <w:bCs/>
          <w:color w:val="auto"/>
          <w:spacing w:val="11"/>
          <w:sz w:val="21"/>
          <w:szCs w:val="21"/>
          <w:lang w:val="en-US" w:eastAsia="zh-CN"/>
        </w:rPr>
        <w:t>5.对欠薪违法行为的联合惩戒</w:t>
      </w:r>
    </w:p>
    <w:p w14:paraId="7F715BE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（1）对欠薪频发的项目单位，应联合人社部门对其违法行为向社会进行公布，并配合人社部门将行政处罚情形及时上传至信用中国。</w:t>
      </w:r>
    </w:p>
    <w:p w14:paraId="6B3906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（2）对存在严重欠薪问题的，联合人社部门列入“黑名单”，实施联合惩戒。</w:t>
      </w:r>
    </w:p>
    <w:p w14:paraId="53C96A8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黑体" w:hAnsi="黑体" w:eastAsia="黑体" w:cs="黑体"/>
          <w:b/>
          <w:bCs/>
          <w:color w:val="auto"/>
          <w:spacing w:val="11"/>
          <w:sz w:val="21"/>
          <w:szCs w:val="21"/>
          <w:lang w:val="en-US" w:eastAsia="zh-CN"/>
        </w:rPr>
      </w:pPr>
      <w:r>
        <w:rPr>
          <w:rFonts w:hint="eastAsia" w:ascii="黑体" w:hAnsi="黑体" w:eastAsia="黑体" w:cs="黑体"/>
          <w:b/>
          <w:bCs/>
          <w:color w:val="auto"/>
          <w:spacing w:val="11"/>
          <w:sz w:val="21"/>
          <w:szCs w:val="21"/>
          <w:lang w:val="en-US" w:eastAsia="zh-CN"/>
        </w:rPr>
        <w:t>三、欠薪惩戒、防范、处置</w:t>
      </w:r>
    </w:p>
    <w:p w14:paraId="147BB0B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（一）欠薪惩治</w:t>
      </w:r>
    </w:p>
    <w:p w14:paraId="2BEFE32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1.对于建设资金不到位、违法违规开工建设的社会投资工程建设项目拖欠农民工工资的，由人社部门、行业主管部门按照职责依法对建设单位进行处罚，对建设单位负责人给予处分。</w:t>
      </w:r>
    </w:p>
    <w:p w14:paraId="3BE1370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建设单位、施工总承包单位、分包单位违反工资支付法律法规要求，存在未提供工程款支付担保、未按规定缴存工资保证金、未按规定拨付人工费用等问题的，由职能部门依法对责任单位、法定代表人或者主要负责人、直接负责的主管人员和其他直接责任人员处以相应罚款或相应处罚。</w:t>
      </w:r>
    </w:p>
    <w:p w14:paraId="055CE90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对用人单位无故拖欠农民工工资行为，行业主管部门、开发区包联部门人社部门要及时向社会公布，同时限制其在我旗承接新项目，达到认定拒不支付劳动报酬罪数额或者造成严重不良社会影响的，将该用人单位及其法定代表人、其他责任人等列入“失信联合惩戒对象名单”，在政府资金支持、政府采购、招投标、生产许可、资质审核、融资贷款、市场准入、税收优惠、评优评先、高档生活消费、出行等方面予以限制。</w:t>
      </w:r>
    </w:p>
    <w:p w14:paraId="3B4DD83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（二）欠薪防范</w:t>
      </w:r>
    </w:p>
    <w:p w14:paraId="07D5648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各有关部门要通过日常监管、信息化动态监管、“双驻双查”网格化监管等多种方式加大隐患排查及整改力度，确保农牧民工工资按时足额支付。政府、国企投资项目主管部门及其他有关部门应当依法履行审批程序，按照政府投资项目管理规定落实政府投资项目资金，不得由施工单位垫资建设，严防出现因资金落实不到位引发欠薪问题。</w:t>
      </w:r>
    </w:p>
    <w:p w14:paraId="1BD5E24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（三）欠薪处置</w:t>
      </w:r>
    </w:p>
    <w:p w14:paraId="04E9500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牵头督办欠薪线索单位，要严格落实“1个工作日接收线索，5个工作日给出受理意见，15个工作日内处理完毕、特殊情况延长15个工作日办结”的案件办理机制，通过电话回访、短信形式对案件的接受、受理、结果进行告知，对办结案件要逐案回访，确保案结事了。对存在虚假结案等情形的，进行通报并列入部门考核扣分项。对欠薪类网络舆情，责任部门要不过夜处置，坚持线上线下同步处置、部门协同处置。对群体性、突发性讨薪事件，各有关部门要第一时间启动应急预案，快速查明问题，妥善化解矛盾，及时回应群众关切，防止事态蔓延，按规定报告处置情况。</w:t>
      </w:r>
    </w:p>
    <w:p w14:paraId="4AFBB33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6" w:firstLineChars="200"/>
        <w:jc w:val="both"/>
        <w:textAlignment w:val="auto"/>
        <w:rPr>
          <w:rFonts w:hint="eastAsia" w:ascii="黑体" w:hAnsi="黑体" w:eastAsia="黑体" w:cs="黑体"/>
          <w:b/>
          <w:bCs/>
          <w:color w:val="auto"/>
          <w:spacing w:val="11"/>
          <w:sz w:val="21"/>
          <w:szCs w:val="21"/>
          <w:lang w:val="en-US" w:eastAsia="zh-CN"/>
        </w:rPr>
      </w:pPr>
      <w:r>
        <w:rPr>
          <w:rFonts w:hint="eastAsia" w:ascii="黑体" w:hAnsi="黑体" w:eastAsia="黑体" w:cs="黑体"/>
          <w:b/>
          <w:bCs/>
          <w:color w:val="auto"/>
          <w:spacing w:val="11"/>
          <w:sz w:val="21"/>
          <w:szCs w:val="21"/>
          <w:lang w:val="en-US" w:eastAsia="zh-CN"/>
        </w:rPr>
        <w:t>四、法规制度</w:t>
      </w:r>
    </w:p>
    <w:p w14:paraId="519A061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制度机制建设是保障治理欠薪工作有序开展的重要保障，为切实加强治欠工作从“预防—监管—处置—惩戒”各环节的制度机制建设，依据国家《保障农民工工资支付条例》（下称《条例》）和自治区层面有关欠薪治理法规、制度、文件，梳理摘录以下工作制度机制。</w:t>
      </w:r>
    </w:p>
    <w:p w14:paraId="7C17929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（一）源头预防方面</w:t>
      </w:r>
    </w:p>
    <w:p w14:paraId="1F9A2C0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保障农民工工资支付工作，坚持市场主体负责、政府依法监管、社会协同监督的原则。遵循源头治理、预防为主、防治结合、标本兼治的要求，落实管行业必须管欠薪、管资金必须管欠薪、管项目必须管欠薪，依法根治拖欠农民工工资问题。</w:t>
      </w:r>
    </w:p>
    <w:p w14:paraId="71BF336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依据：《内蒙古自治区保障农民工工资支付条例》第三条之规定。</w:t>
      </w:r>
    </w:p>
    <w:p w14:paraId="1A5F16C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2.加强建设单位资金安排调度监控制度。建设单位应当</w:t>
      </w:r>
    </w:p>
    <w:p w14:paraId="3FA8067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有满足施工所需要的资金安排。各级住建、交通、水利、能源、工信、农牧、林草等行业工程建设主管部门要按照职责在工程建设项目招标投标、施工许可等环节依法依规审核资金安排情况。建设单位没有满足施工所需要的资金安排的，工程建设项目不得开工建设；需办理施工许可证的，依法不予颁发施工许可证。</w:t>
      </w:r>
    </w:p>
    <w:p w14:paraId="5F0CE98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依据：《保障农民工工资支付条例》第二十三条之规定</w:t>
      </w:r>
    </w:p>
    <w:p w14:paraId="73BA60E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严格政府投资项目资金管理制度。政府投资项目所需资金应当按照国家有关规定落实到位，不得由施工单位垫资建设。各级发改等部门要强化政府投资项目的审批管理，按规定及时安排政府投资。各级财政部门要加强政府投资资金的预算管理，按规定及时足额拨付资金。政府投资项目建设单位向财政部门申请工程款时应当单独申请人工费用，财政部门应当依申请分别拨付人工费用和其他工程款，并优先拨付人工费用。</w:t>
      </w:r>
    </w:p>
    <w:p w14:paraId="0D9C4B6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依据：《保障农民工工资支付条例》第二十三条、《内蒙古自治区保障农民工工资支付条例》第十五条之规定</w:t>
      </w:r>
    </w:p>
    <w:p w14:paraId="06A05EE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工程款支付担保制度。建设单位应当向施工单位提供工程款支付担保。各行业主管部门要将工程款支付担保作为建立公平公正市场秩序、防范和化解工程风险的重要措施，按照相关法律法规及文件要求，指导监督在建项目做好履约保证金担保。建设单位不能按合同约定支付工程款时，要监督保证人按照担保合同约定承担担保责任，并确保担保款项应优先支付该工程项目拖欠的农牧民工工资。</w:t>
      </w:r>
    </w:p>
    <w:p w14:paraId="7DABD08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依据：《保障农民工工资支付条例》第二十四条之规定</w:t>
      </w:r>
    </w:p>
    <w:p w14:paraId="173ADAE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工程建设领域农牧民工资保证金制度。总包单位应当自工程取得施工许可证（开工报告批复）之日起20个工作日内（依法不需要办理施工许可证的工程自签订施工合同之日起20个工作日内），按项目所在地（旗、县、区）以现金、银行保函、保险公司保单等形式存储工资保证金（银行开户名应为XX公司XX项目农牧民工工资保证金专户），保函保单性质为不可撤销见索即付。总包单位应当在存储工资保证金后5日内报项目所在地人社部门备案，采用保函或保单形式替代现金存储的，应将保函或保单正本交由属地人社部门保存。行业工程建设主管部门应当在颁发施工许可证或批准开工报告时告知相关单位及时存储工资保证金。</w:t>
      </w:r>
    </w:p>
    <w:p w14:paraId="6F9CCED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依据：《内蒙古自治区工程建设领域农牧民工工资保证金管理实施细则》之规定</w:t>
      </w:r>
    </w:p>
    <w:p w14:paraId="04B0C7F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农牧民工工资支付专用账户制度。总包单位应当在工程施工合同签订之日起30日内在施工地（旗、县、区）开立农牧民工工资支付专用账户（下称专用账户），专用账户名称为总包单位名称加工程建设项目名称加“农牧民工工资专用账户”。总包单位应当在专用账户开立后的30日内报项目所在地人社部门备案。开户银行不得将专用账户资金转入除本项目农牧民工本人银行账户以外的账户，不得为专用账户提供现金支取和其他转账结算服务。</w:t>
      </w:r>
    </w:p>
    <w:p w14:paraId="0DFDA2B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7.设立单位应当加强对总包单位开设专用账户的监督</w:t>
      </w:r>
    </w:p>
    <w:p w14:paraId="679C0EC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依据：《内蒙古自治区工程建设领域农牧民工工资专用账户管理实施细则》之规定</w:t>
      </w:r>
    </w:p>
    <w:p w14:paraId="4493B0C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8.依法约定人工费用拨付制度。建设单位与施工总承包单位依法订立书面工程施工合同时，应当约定工程款计量周期和工程款进度结算办法，拨付人工费用的周期（不得超过1个月）和拨付日期，人工费用数额或人工费用占总工程款比例，涉及人工费用相关争议的解决方式等事项。约定不明确或不符合《条例》要求的，应当通过补签书面协议等方式予以明确。</w:t>
      </w:r>
    </w:p>
    <w:p w14:paraId="61A1514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依据：《保障农民工工资支付条例》第二十五条之规定</w:t>
      </w:r>
    </w:p>
    <w:p w14:paraId="20F63F7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（二）过程监管方面</w:t>
      </w:r>
    </w:p>
    <w:p w14:paraId="3C58BDF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劳动用工实名制度。总包单位进场施工后，在相关实名制管理平台（自治区农民工工资支付预警平台）上设立项目实名制管理账户，并对接绑定实名制管理软硬件设施设备。总包单位应依法依规将项目基本信息、劳资专管员信息、劳动合同签订情况、实名制管理信息、专用账户信息、考勤计量信息、工资支付信息、工资保证金存储情况。</w:t>
      </w:r>
    </w:p>
    <w:p w14:paraId="481DD70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依据：《自治区建筑工人实名制和工资支付管理办法》之规定</w:t>
      </w:r>
    </w:p>
    <w:p w14:paraId="2DCE460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监督工程款支付和结算制度。各行业主管部门、开发区包联部门要全面加强对建设施工单位关于施工过程结算约定、履行的监督指导，监督其按合同约定的计量周期或工程进度结算并支付工程款。各级财政、国资部门应会同相关行业部门加强对政府机关、事业单位、国有企业在建项目工程进度款拨付的管理，进度款支付应不低于已完成工程价款的80%。</w:t>
      </w:r>
    </w:p>
    <w:p w14:paraId="61D1EEE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依据：《财政部、住房城乡建设部关于完善建设工程价款结算有关办法的通知》（财建〔2022〕183号）之规定。</w:t>
      </w:r>
    </w:p>
    <w:p w14:paraId="5E22664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按月足额拨付人工费用制度。建设单位应严格执行人工费用与其他工程款分账管理，按约定将工程款中人工费用足额拨付至施工总承包单位农牧民工工资专用账户，并将此纳入欠薪预警系统，出现预警，行业主管部门和人社部门及时处置。因用工量增加等原因导致工资专用账户余额不符合按时足额支付的要求，建设单位应当对施工总承包单位提出需增加的人工费用数额进行核准后及时追加拨付。建设单位不得因与施工总承包单位工程数量、质量、造价等争议不按规定拨付人工费用。</w:t>
      </w:r>
    </w:p>
    <w:p w14:paraId="7CE5AF9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依据：《保障农民工工资支付条例》第二十九条之规定。</w:t>
      </w:r>
    </w:p>
    <w:p w14:paraId="153FDCD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总包单位代发农牧民工工资制度。分包单位按月考核农牧民工工作量并编制工资支付表，经农牧民工本人签字确认后，与当月工程进度等情况一并交施工总承包单位。施工总承包单位根据分包单位编制的工资支付表，通过农民工工资专用账户直接将工资支付到农牧民工本人的银行账户，并向分包单位提供代发工资凭证。用于支付农牧民工工资的银行账户所绑定的农牧民工本人社会保障卡或者银行卡，用人单位或者其他人员不得以任何理由扣押或者变相扣押。</w:t>
      </w:r>
    </w:p>
    <w:p w14:paraId="6B6004B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依据：《保障农民工工资支付条例》第二十九条之规定。</w:t>
      </w:r>
    </w:p>
    <w:p w14:paraId="504B14B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建设单位监管首要责任制度。坚持“谁建设、谁监管”原则，建设单位对所发包工程项目的农牧民工工资支付负首要监管责任，应当以项目为单位建立保障农牧民工工资支付协调机制和工资拖欠预防机制，督促施工总承包单位加强劳动用工管理，妥善处理与农牧民工工资支付相关的矛盾纠纷。发生农牧民工集体讨薪事件的，建设单位应当会同施工总承包单位及时处理，并向项目所在地人力资源社会保障行政部门和相关行业工程建设主管部门报告有关情况。</w:t>
      </w:r>
    </w:p>
    <w:p w14:paraId="7EBA022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依据：《保障农民工工资支付条例》第三十五条、第三十六条、第三十七条之规定。</w:t>
      </w:r>
    </w:p>
    <w:p w14:paraId="225DF6D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双驻双查联合监管和联合执法检查制度。开展属地人社和行业主管部门定人包片包项目的“双驻双查”联合监管，驻查人员要按照职责要求，按月对在建项目工程过程结算制度、工程款进度结算、实名制管理、工人考勤打卡、人工费拨付、工资支付等情况进行检查指导，并将驻查日志上传至监控预警平台。发现违法违规问题，由相关行业部门作出责令限期改正或行政处罚、限制承接新工程、降低资质等级、吊销资质证书等行政处理。</w:t>
      </w:r>
    </w:p>
    <w:p w14:paraId="31F02DD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依据：《保障农民工工资支付条例》第三十九条和《关于进一步做好工程建设领域农牧民工工资支付工作的通知》（鄂农工清欠组发〔2023〕1号）之规定。</w:t>
      </w:r>
    </w:p>
    <w:p w14:paraId="156474E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（三）处置清偿方面</w:t>
      </w:r>
    </w:p>
    <w:p w14:paraId="3763C1F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欠薪案件督办查处制度。人社部门要加强拖欠农牧民工工资案件核处的组织协调，对违反工程款支付担保、人工费用拨付、农牧民工工资专用账户等规定的行为，实行联动查处、一案多查。对违法发包、转包、违法分包、挂靠、拖欠工程款等导致的拖欠农牧民工工资案件，组织住建、交通、水利等相关行业主管督办。对涉嫌拒不支付劳动报酬罪的，及时依照程序移送至公安、法院、检察院查办。对存在争议的，合理引导当事人通过法院、劳动争议仲裁等部门、机构“绿色通道”依法维权。对维权存在困难的，组织相关部门提供法律援助。</w:t>
      </w:r>
    </w:p>
    <w:p w14:paraId="2700819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依据：《保障农民工工资支付条例》第四十条、四十一条、四十二条、四十三条之规定。</w:t>
      </w:r>
    </w:p>
    <w:p w14:paraId="479B065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强制执行制度。各地人民法院执行机关加大涉农牧民工工资案件执行力度，坚持“优先立案、优先执行、优先发放执行款”，强化线上和线下财产调查工作，加快财产处置进度，及时兑现胜诉权益。对于有履行能力而拒不履行，恶意拖欠农牧民工工资的被执行人，依法用足用好限制消费、纳入失信名单、限制出境、拘传、拘留、罚款等各类强制措施，切实加大惩戒力度。</w:t>
      </w:r>
    </w:p>
    <w:p w14:paraId="1423A34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依据：《保障农民工工资支付条例》第四十二条之规定。</w:t>
      </w:r>
    </w:p>
    <w:p w14:paraId="1F6D6FA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先行垫付或清偿制度。因建设单位未按照合同约定未及时拨付工程款导致农牧民工工资拖欠的，建设单位应当以未结清的工程款为限先行垫付被拖欠的农牧民工工资。建设单位拒不垫付被拖欠的农牧民工工资，施工总承包单位可向出具工程款支付担保的机构申请使用工程款支付担保资金支付农牧民工工资。建设单位或者施工总承包单位将建设工程发包或者分包给个人或者不具备合法经营资格的单位，导致拖欠农牧民工工资的，由建设单位或者施工总承包单位清偿。</w:t>
      </w:r>
    </w:p>
    <w:p w14:paraId="5C6095D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依据：《保障农民工工资支付条例》第二十九条、第三十条、第三十二条之规定。</w:t>
      </w:r>
    </w:p>
    <w:p w14:paraId="0950E3F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农牧民工资应急周转金保障制度。应急周转金由市旗区两级财政列入年度预算，要求自治区本级财政不少于1000万元；盟市财政不少于500万元；旗县区财政不少于200万元。农牧民工工资应急周转金制度是因用人单位拖欠农牧民工工资，造成农牧民工生活困难，用于解决其最低生活保障等问题的资金。使用对象为在本辖区与用人单位形成劳动关系，被拖欠工资的农牧民工。</w:t>
      </w:r>
    </w:p>
    <w:p w14:paraId="0C36DAB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依据：《保障农民工工资支付条例》第二十六条和《内蒙古自治区财政厅、人社厅关于印发农牧民工工资应急周转金管理办法的通知》（内财投规〔2018〕1号）之规定。</w:t>
      </w:r>
    </w:p>
    <w:p w14:paraId="224F2CE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欠薪舆情联动联办机制。人社、公安、网信等部门信息共享和沟通协作，对欠薪类网络舆情监测，坚持线上线下同步处置、部门协同处置，监控处置，完善欠薪突发事件应急处置预案，健全部门应急联动处置机制，对群体性、突发性讨薪事件，案发地旗区政府要第一时间启动应急预案，快速查明问题，妥善化解矛盾，及时回应群众关切，防止事态蔓延，按规定报告处置情况。同时，欠薪陈案积案等疑难复杂案件由案发地旗区政府负责人包案，组织相关部门成立清欠专班，准确核实实际欠薪人数和金额，限期解决。</w:t>
      </w:r>
    </w:p>
    <w:p w14:paraId="1777A518">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依据：《关于建立鄂尔多斯市拖欠农牧民工工资网络舆情联动工作机制的通知》（鄂人社发〔2023〕199号）之规定。</w:t>
      </w:r>
    </w:p>
    <w:p w14:paraId="5D2A9AA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6.欠薪案件核处机制。牵头督办欠薪线索部门要严格落实“1个工作日接受线索，5个工作日给出受理意见，15个工作日内处理完毕、特殊情况延长15个工作日办结”和在欠薪线索反映平台反映后，通过短信形式对案件的接受、受理、结果进行告知的办案规则，对办结案件要逐案回访，确保案结事了。对存在虚假结案等情形的，列入市对旗区政府年度考核扣分项。</w:t>
      </w:r>
    </w:p>
    <w:p w14:paraId="54FCA15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依据：《内蒙古自治区人民政府印发关于做好保障农牧民工工资支付工作若干措施的通知》（内政发〔2023〕24号）之规定。</w:t>
      </w:r>
    </w:p>
    <w:p w14:paraId="3A77B0D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（四）惩戒方面</w:t>
      </w:r>
    </w:p>
    <w:p w14:paraId="7802D93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责任追究制度。压实属地政府和部门监管责任，一是各行业主管部门要对未实施施工过程结算以及未履行先行垫付责任致使拖欠农牧民工工资的，记入发包人和承包人不良行为记录；对长期拖延工程款结算或拖欠工程款致使拖欠农牧民工工资的，记入不良行为记录，并不为其新项目颁发施工许可证。二是对建设单位未依法提供工程款支付担保或者政府投资项目拖欠工程款，导致拖欠农牧民工工资的，属地政府应限制其新建项目，并记入信用记录，纳入国家信用信息系统进行公示，用人单位拖欠农牧民工工资的，依法查处，符合列入“黑名单”的，实施联合惩戒。三是对政府投资项目投资资金不到位拖欠农牧民工工资的，通过责令拨付资金、约谈、通报、处分等方式，依法依规严肃追责。四是人社部门应严格落实与纪委监委沟通对接协调联动工作机制，对相关部门工作开展情况及时调度、综合评价，并在全市范围内进行通报。</w:t>
      </w:r>
    </w:p>
    <w:p w14:paraId="3E66C24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依据：《保障农民工工资支付条例》第五十九条之规定。</w:t>
      </w:r>
    </w:p>
    <w:p w14:paraId="508E4C5C">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失信联合惩戒制度。定期向社会公布一批重大劳动保障违法行为和拖欠农民工工资失信联合惩戒对象名单，对失信企业，在政府资金支持、政府采购、招投标、生产许可、资质审核、融资贷款、市场准入、评优评先等方面依法依规予以限制，使欠薪企业违法、处处受限。定期评估联合惩戒措施执行情况和效果，根据评估结果及时调整和完善惩戒措施。</w:t>
      </w:r>
    </w:p>
    <w:p w14:paraId="4A41ACD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依据：《拖欠农民工工资失信联合惩戒对象名单管理暂行办法》（人社部令第45号）之规定</w:t>
      </w:r>
    </w:p>
    <w:p w14:paraId="2B6135DD">
      <w:pPr>
        <w:keepNext w:val="0"/>
        <w:keepLines w:val="0"/>
        <w:pageBreakBefore w:val="0"/>
        <w:widowControl w:val="0"/>
        <w:numPr>
          <w:ilvl w:val="0"/>
          <w:numId w:val="0"/>
        </w:numPr>
        <w:kinsoku/>
        <w:wordWrap/>
        <w:overflowPunct/>
        <w:topLinePunct w:val="0"/>
        <w:autoSpaceDE/>
        <w:autoSpaceDN/>
        <w:bidi w:val="0"/>
        <w:adjustRightInd/>
        <w:snapToGrid/>
        <w:spacing w:line="310" w:lineRule="exact"/>
        <w:jc w:val="both"/>
        <w:textAlignment w:val="auto"/>
        <w:rPr>
          <w:rFonts w:hint="eastAsia" w:ascii="方正书宋简体" w:hAnsi="方正书宋简体" w:eastAsia="方正书宋简体" w:cs="方正书宋简体"/>
          <w:color w:val="auto"/>
          <w:spacing w:val="11"/>
          <w:sz w:val="21"/>
          <w:szCs w:val="21"/>
          <w:lang w:val="en-US" w:eastAsia="zh-CN"/>
        </w:rPr>
      </w:pPr>
    </w:p>
    <w:p w14:paraId="3CCFC1C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附表：</w:t>
      </w:r>
    </w:p>
    <w:p w14:paraId="423E489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8430B66">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1.保障农牧民工工资支付日常检查表（一）</w:t>
      </w:r>
    </w:p>
    <w:p w14:paraId="54ADDC2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2.保障农牧民工工资支付日常检查表（二）</w:t>
      </w:r>
    </w:p>
    <w:p w14:paraId="4FCD2A6E">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3.工程建设领域项目排查情况统计表</w:t>
      </w:r>
    </w:p>
    <w:p w14:paraId="5700F26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4.非工程建设领域欠薪问题排查情况统计表</w:t>
      </w:r>
    </w:p>
    <w:p w14:paraId="4A42E77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方正书宋简体" w:hAnsi="方正书宋简体" w:eastAsia="方正书宋简体" w:cs="方正书宋简体"/>
          <w:color w:val="auto"/>
          <w:spacing w:val="11"/>
          <w:sz w:val="21"/>
          <w:szCs w:val="21"/>
          <w:lang w:val="en-US" w:eastAsia="zh-CN"/>
        </w:rPr>
        <w:t>5.欠薪案件办理台账</w:t>
      </w:r>
    </w:p>
    <w:p w14:paraId="269108C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E9D11C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6753E2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4D88FD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79D082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A534E9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02D3FB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34CE0B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03F131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8CC713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E29359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CC1D19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B32300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AB209F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7F2D38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A8EBFB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7CB954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E114B3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8F5F3A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74FB6E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DA0DDB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B5761C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0DEACE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B0707D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9746B6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4EDFDE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30AD6F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75206A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BB1AD2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6885CB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169DA5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09C7EE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4850FB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A5C220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35E11D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348AAE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449DB6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B8F895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D7DD3C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5BB533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6CE449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6CCF40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1072CC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05F835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DE31CD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BE9406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3BE546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F14B21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581ACC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27A2CB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8859F0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7D939F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7126B1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730DEC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14C264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sectPr>
          <w:type w:val="continuous"/>
          <w:pgSz w:w="11906" w:h="16838"/>
          <w:pgMar w:top="2154" w:right="1134" w:bottom="1701" w:left="1134" w:header="1134" w:footer="992" w:gutter="0"/>
          <w:pgNumType w:fmt="decimal"/>
          <w:cols w:equalWidth="0" w:num="2">
            <w:col w:w="4606" w:space="425"/>
            <w:col w:w="4606"/>
          </w:cols>
          <w:docGrid w:type="lines" w:linePitch="312" w:charSpace="0"/>
        </w:sectPr>
      </w:pPr>
    </w:p>
    <w:p w14:paraId="4A30C4E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68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仿宋_GB2312" w:hAnsi="仿宋_GB2312" w:eastAsia="仿宋_GB2312" w:cs="仿宋_GB2312"/>
          <w:spacing w:val="11"/>
          <w:sz w:val="32"/>
          <w:szCs w:val="32"/>
          <w:lang w:val="en-US" w:eastAsia="zh-CN"/>
        </w:rPr>
        <w:drawing>
          <wp:anchor distT="0" distB="0" distL="114300" distR="114300" simplePos="0" relativeHeight="251660288" behindDoc="0" locked="0" layoutInCell="1" allowOverlap="1">
            <wp:simplePos x="0" y="0"/>
            <wp:positionH relativeFrom="page">
              <wp:posOffset>849630</wp:posOffset>
            </wp:positionH>
            <wp:positionV relativeFrom="page">
              <wp:posOffset>1123315</wp:posOffset>
            </wp:positionV>
            <wp:extent cx="5764530" cy="8786495"/>
            <wp:effectExtent l="0" t="0" r="1270" b="1905"/>
            <wp:wrapNone/>
            <wp:docPr id="16" name="图片 12" descr="检查表20260324174949_8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检查表20260324174949_88_2"/>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5764530" cy="8786495"/>
                    </a:xfrm>
                    <a:prstGeom prst="rect">
                      <a:avLst/>
                    </a:prstGeom>
                    <a:noFill/>
                    <a:ln>
                      <a:noFill/>
                    </a:ln>
                  </pic:spPr>
                </pic:pic>
              </a:graphicData>
            </a:graphic>
          </wp:anchor>
        </w:drawing>
      </w:r>
    </w:p>
    <w:p w14:paraId="2CDEE4D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9ABE81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5EA696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05C158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75EADA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DE3513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AD8B7C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A1010B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E0DE25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3822B0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6ABEFB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9432EF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0BC319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4CD4BF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4D9B56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696E0E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65ACF2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D49196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AD4682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3AFEB1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6FFBAD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CD0DDB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82C6D4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0260D7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DE3D96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45FE6B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153229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3FF2C6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07BBAE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DCEC52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B6A8FC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5B2D59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E9187D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7FFACC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469B0B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17F175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5FA88B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E29E83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2E82E3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D7522B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432D1E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68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仿宋_GB2312" w:hAnsi="仿宋_GB2312" w:eastAsia="仿宋_GB2312" w:cs="仿宋_GB2312"/>
          <w:spacing w:val="11"/>
          <w:sz w:val="32"/>
          <w:szCs w:val="32"/>
          <w:lang w:val="en-US" w:eastAsia="zh-CN"/>
        </w:rPr>
        <w:drawing>
          <wp:anchor distT="0" distB="0" distL="114300" distR="114300" simplePos="0" relativeHeight="251661312" behindDoc="0" locked="0" layoutInCell="1" allowOverlap="1">
            <wp:simplePos x="0" y="0"/>
            <wp:positionH relativeFrom="column">
              <wp:posOffset>6350</wp:posOffset>
            </wp:positionH>
            <wp:positionV relativeFrom="paragraph">
              <wp:posOffset>-340360</wp:posOffset>
            </wp:positionV>
            <wp:extent cx="6021070" cy="8952230"/>
            <wp:effectExtent l="0" t="0" r="0" b="0"/>
            <wp:wrapNone/>
            <wp:docPr id="17" name="图片 13" descr="检查表二_20260324182329_9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检查表二_20260324182329_97_2"/>
                    <pic:cNvPicPr>
                      <a:picLocks noChangeAspect="1"/>
                    </pic:cNvPicPr>
                  </pic:nvPicPr>
                  <pic:blipFill>
                    <a:blip r:embed="rId12">
                      <a:clrChange>
                        <a:clrFrom>
                          <a:srgbClr val="FDFDFD"/>
                        </a:clrFrom>
                        <a:clrTo>
                          <a:srgbClr val="FDFDFD">
                            <a:alpha val="0"/>
                          </a:srgbClr>
                        </a:clrTo>
                      </a:clrChange>
                    </a:blip>
                    <a:stretch>
                      <a:fillRect/>
                    </a:stretch>
                  </pic:blipFill>
                  <pic:spPr>
                    <a:xfrm>
                      <a:off x="0" y="0"/>
                      <a:ext cx="6021070" cy="8952230"/>
                    </a:xfrm>
                    <a:prstGeom prst="rect">
                      <a:avLst/>
                    </a:prstGeom>
                    <a:noFill/>
                    <a:ln>
                      <a:noFill/>
                    </a:ln>
                  </pic:spPr>
                </pic:pic>
              </a:graphicData>
            </a:graphic>
          </wp:anchor>
        </w:drawing>
      </w:r>
    </w:p>
    <w:p w14:paraId="33137A8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B5ACB7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A3D5AD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766895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97934D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7778C4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1EECF1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963B81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7CC90E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A5271C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C24382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E7F96F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848780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EF3BA6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59E645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5B9150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E4F25D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3073B3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16AD0B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E79F2C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62AB93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0DEE85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A13672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6FDCB5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73E147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9FD83B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D8501D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6FEE39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80554D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44A917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907605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1DE157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3ECCB5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7FAB1F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DCEA31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BFE32F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199678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975058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3C7293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4AB3CF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E0C9E8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68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仿宋_GB2312" w:hAnsi="仿宋_GB2312" w:eastAsia="仿宋_GB2312" w:cs="仿宋_GB2312"/>
          <w:spacing w:val="11"/>
          <w:sz w:val="32"/>
          <w:szCs w:val="32"/>
          <w:lang w:val="en-US" w:eastAsia="zh-CN"/>
        </w:rPr>
        <w:drawing>
          <wp:anchor distT="0" distB="0" distL="114300" distR="114300" simplePos="0" relativeHeight="251662336" behindDoc="0" locked="0" layoutInCell="1" allowOverlap="1">
            <wp:simplePos x="0" y="0"/>
            <wp:positionH relativeFrom="page">
              <wp:posOffset>609600</wp:posOffset>
            </wp:positionH>
            <wp:positionV relativeFrom="page">
              <wp:posOffset>689610</wp:posOffset>
            </wp:positionV>
            <wp:extent cx="6114415" cy="9261475"/>
            <wp:effectExtent l="0" t="0" r="0" b="0"/>
            <wp:wrapNone/>
            <wp:docPr id="18" name="图片 14" descr="附表3_20260324182327_9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附表3_20260324182327_95_2"/>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6114415" cy="9261475"/>
                    </a:xfrm>
                    <a:prstGeom prst="rect">
                      <a:avLst/>
                    </a:prstGeom>
                    <a:noFill/>
                    <a:ln>
                      <a:noFill/>
                    </a:ln>
                  </pic:spPr>
                </pic:pic>
              </a:graphicData>
            </a:graphic>
          </wp:anchor>
        </w:drawing>
      </w:r>
    </w:p>
    <w:p w14:paraId="7C62C4F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28DBDE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9563B9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EF0495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33FABF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62177E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F3E096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399922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F2D358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A57B2D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A9C165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B33D71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D39421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A16BAD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3188AB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3464AA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43C44A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99FCA9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1BE22E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D9E80D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128AF7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A086D4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E677F8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18A61B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4DF686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07D0CC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987FFC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72D6C4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A9901C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0DC80E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69FCAC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D01525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4F1774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2CB8E5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DD5C0D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7948DA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6819BA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ACAA17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A06BAC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EDD2A2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A7D208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68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hint="eastAsia" w:ascii="仿宋_GB2312" w:hAnsi="仿宋_GB2312" w:eastAsia="仿宋_GB2312" w:cs="仿宋_GB2312"/>
          <w:spacing w:val="11"/>
          <w:sz w:val="32"/>
          <w:szCs w:val="32"/>
          <w:lang w:val="en-US" w:eastAsia="zh-CN"/>
        </w:rPr>
        <w:drawing>
          <wp:anchor distT="0" distB="0" distL="114300" distR="114300" simplePos="0" relativeHeight="251663360" behindDoc="0" locked="0" layoutInCell="1" allowOverlap="1">
            <wp:simplePos x="0" y="0"/>
            <wp:positionH relativeFrom="column">
              <wp:posOffset>-21590</wp:posOffset>
            </wp:positionH>
            <wp:positionV relativeFrom="paragraph">
              <wp:posOffset>-815975</wp:posOffset>
            </wp:positionV>
            <wp:extent cx="6027420" cy="9537065"/>
            <wp:effectExtent l="0" t="0" r="0" b="0"/>
            <wp:wrapNone/>
            <wp:docPr id="19" name="图片 15" descr="附表4_20260324182328_9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附表4_20260324182328_96_2"/>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6027420" cy="9537065"/>
                    </a:xfrm>
                    <a:prstGeom prst="rect">
                      <a:avLst/>
                    </a:prstGeom>
                    <a:noFill/>
                    <a:ln>
                      <a:noFill/>
                    </a:ln>
                  </pic:spPr>
                </pic:pic>
              </a:graphicData>
            </a:graphic>
          </wp:anchor>
        </w:drawing>
      </w:r>
    </w:p>
    <w:p w14:paraId="44250E7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9DCCF6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59E901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9E982C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208162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2C8AFB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F0237F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E76F2D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DD9456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D04756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57B061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55CB49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DD8D6A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7A31F5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6EF80A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9CEC6F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E8996F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BB1B4F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D3BA16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462C74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56A7F9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716B2A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76D1F5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373E5B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85B48B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C8C122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2759F0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FA0E02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05D21C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00B9A3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354035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21986F7">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45CD57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AE2EAE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229DE8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B7DD60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376580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D59423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48D8E4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91E784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5AB126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20"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r>
        <w:rPr>
          <w:rFonts w:ascii="Times New Roman" w:hAnsi="Times New Roman" w:eastAsia="宋体" w:cs="Times New Roman"/>
          <w:position w:val="-187"/>
        </w:rPr>
        <w:drawing>
          <wp:anchor distT="0" distB="0" distL="114300" distR="114300" simplePos="0" relativeHeight="251664384" behindDoc="0" locked="0" layoutInCell="1" allowOverlap="1">
            <wp:simplePos x="0" y="0"/>
            <wp:positionH relativeFrom="column">
              <wp:posOffset>-19685</wp:posOffset>
            </wp:positionH>
            <wp:positionV relativeFrom="paragraph">
              <wp:posOffset>-262890</wp:posOffset>
            </wp:positionV>
            <wp:extent cx="5824220" cy="8766810"/>
            <wp:effectExtent l="0" t="0" r="0" b="0"/>
            <wp:wrapNone/>
            <wp:docPr id="20" name="IM 14" descr="C:/Users/lenovo/Desktop/台账_20260324174954_93_2.jpg台账_20260324174954_93_2"/>
            <wp:cNvGraphicFramePr/>
            <a:graphic xmlns:a="http://schemas.openxmlformats.org/drawingml/2006/main">
              <a:graphicData uri="http://schemas.openxmlformats.org/drawingml/2006/picture">
                <pic:pic xmlns:pic="http://schemas.openxmlformats.org/drawingml/2006/picture">
                  <pic:nvPicPr>
                    <pic:cNvPr id="20" name="IM 14" descr="C:/Users/lenovo/Desktop/台账_20260324174954_93_2.jpg台账_20260324174954_93_2"/>
                    <pic:cNvPicPr/>
                  </pic:nvPicPr>
                  <pic:blipFill>
                    <a:blip r:embed="rId15">
                      <a:clrChange>
                        <a:clrFrom>
                          <a:srgbClr val="FFFFFF"/>
                        </a:clrFrom>
                        <a:clrTo>
                          <a:srgbClr val="FFFFFF">
                            <a:alpha val="0"/>
                          </a:srgbClr>
                        </a:clrTo>
                      </a:clrChange>
                    </a:blip>
                    <a:srcRect t="1366" b="1366"/>
                    <a:stretch>
                      <a:fillRect/>
                    </a:stretch>
                  </pic:blipFill>
                  <pic:spPr>
                    <a:xfrm>
                      <a:off x="0" y="0"/>
                      <a:ext cx="5824220" cy="8766810"/>
                    </a:xfrm>
                    <a:prstGeom prst="rect">
                      <a:avLst/>
                    </a:prstGeom>
                    <a:noFill/>
                    <a:ln>
                      <a:noFill/>
                    </a:ln>
                  </pic:spPr>
                </pic:pic>
              </a:graphicData>
            </a:graphic>
          </wp:anchor>
        </w:drawing>
      </w:r>
    </w:p>
    <w:p w14:paraId="12EFA43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9FECB1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74EA27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1AD9654">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2E0186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6CDFFF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93E2F3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5F3FED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191D66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0038C6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50C25D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3480CF6">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839CBF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044178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A0BC178">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FC1A9C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1C8AD0D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386ED3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6DFB5DD">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8B76595">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83D711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609AEB1">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25476B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8247DC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CABA5D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2574E1A">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557CBD7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99247B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239648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79B3A79">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08608660">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E51EAF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2C43DC9C">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925C7E2">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CA28DBE">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68673C6B">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4241A5C3">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749CF0BF">
      <w:pPr>
        <w:keepNext w:val="0"/>
        <w:keepLines w:val="0"/>
        <w:pageBreakBefore w:val="0"/>
        <w:widowControl w:val="0"/>
        <w:numPr>
          <w:ilvl w:val="0"/>
          <w:numId w:val="0"/>
        </w:numPr>
        <w:tabs>
          <w:tab w:val="right" w:leader="middleDot" w:pos="6300"/>
          <w:tab w:val="right" w:leader="middleDot" w:pos="9450"/>
        </w:tabs>
        <w:kinsoku/>
        <w:wordWrap/>
        <w:overflowPunct/>
        <w:topLinePunct w:val="0"/>
        <w:autoSpaceDE/>
        <w:autoSpaceDN/>
        <w:bidi w:val="0"/>
        <w:adjustRightInd/>
        <w:snapToGrid/>
        <w:spacing w:line="310" w:lineRule="exact"/>
        <w:ind w:left="0" w:leftChars="0" w:firstLine="464" w:firstLineChars="200"/>
        <w:jc w:val="both"/>
        <w:textAlignment w:val="auto"/>
        <w:rPr>
          <w:rFonts w:hint="eastAsia" w:ascii="方正书宋简体" w:hAnsi="方正书宋简体" w:eastAsia="方正书宋简体" w:cs="方正书宋简体"/>
          <w:color w:val="auto"/>
          <w:spacing w:val="11"/>
          <w:sz w:val="21"/>
          <w:szCs w:val="21"/>
          <w:lang w:val="en-US" w:eastAsia="zh-CN"/>
        </w:rPr>
      </w:pPr>
    </w:p>
    <w:p w14:paraId="365C4011">
      <w:pPr>
        <w:rPr>
          <w:rFonts w:hint="eastAsia" w:ascii="方正书宋简体" w:hAnsi="方正书宋简体" w:eastAsia="方正书宋简体" w:cs="方正书宋简体"/>
          <w:color w:val="auto"/>
          <w:spacing w:val="11"/>
          <w:sz w:val="21"/>
          <w:szCs w:val="21"/>
          <w:lang w:val="en-US" w:eastAsia="zh-CN"/>
        </w:rPr>
        <w:sectPr>
          <w:footerReference r:id="rId5" w:type="default"/>
          <w:type w:val="continuous"/>
          <w:pgSz w:w="11906" w:h="16838"/>
          <w:pgMar w:top="2154" w:right="1134" w:bottom="1701" w:left="1134" w:header="1134" w:footer="992" w:gutter="0"/>
          <w:pgNumType w:fmt="decimal"/>
          <w:cols w:space="425" w:num="1"/>
          <w:docGrid w:type="lines" w:linePitch="312" w:charSpace="0"/>
        </w:sectPr>
      </w:pPr>
    </w:p>
    <w:p w14:paraId="2A7A4872">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auto"/>
        <w:rPr>
          <w:rFonts w:hint="eastAsia" w:ascii="宋体" w:hAnsi="宋体" w:eastAsia="宋体" w:cs="宋体"/>
          <w:spacing w:val="15"/>
          <w:kern w:val="0"/>
          <w:sz w:val="21"/>
          <w:szCs w:val="21"/>
          <w:lang w:val="en-US" w:eastAsia="zh-CN" w:bidi="ar"/>
        </w:rPr>
      </w:pPr>
    </w:p>
    <w:sectPr>
      <w:headerReference r:id="rId6" w:type="default"/>
      <w:footerReference r:id="rId7" w:type="default"/>
      <w:type w:val="continuous"/>
      <w:pgSz w:w="11906" w:h="16838"/>
      <w:pgMar w:top="2154" w:right="1134" w:bottom="1701" w:left="1134" w:header="1134" w:footer="992" w:gutter="0"/>
      <w:pgNumType w:fmt="decimal"/>
      <w:cols w:equalWidth="0" w:num="2">
        <w:col w:w="4606" w:space="425"/>
        <w:col w:w="4606"/>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234BE38-1F62-4367-8E4E-5730E3AD4E0B}"/>
  </w:font>
  <w:font w:name="黑体">
    <w:panose1 w:val="02010609060101010101"/>
    <w:charset w:val="86"/>
    <w:family w:val="auto"/>
    <w:pitch w:val="default"/>
    <w:sig w:usb0="800002BF" w:usb1="38CF7CFA" w:usb2="00000016" w:usb3="00000000" w:csb0="00040001" w:csb1="00000000"/>
    <w:embedRegular r:id="rId2" w:fontKey="{46FB948C-24B6-434F-B6FB-04A98D6DFA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19EA635-F573-49E0-A495-04B83A1F69C3}"/>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embedRegular r:id="rId4" w:fontKey="{8445D580-CEF2-48E6-B825-EE336C8FE772}"/>
  </w:font>
  <w:font w:name="Menksoft  ">
    <w:panose1 w:val="02020602000000000000"/>
    <w:charset w:val="00"/>
    <w:family w:val="auto"/>
    <w:pitch w:val="default"/>
    <w:sig w:usb0="A00003FF" w:usb1="5800A4DF" w:usb2="00000000" w:usb3="00000000" w:csb0="400001FF" w:csb1="FFFF0000"/>
  </w:font>
  <w:font w:name="楷体_GB2312">
    <w:panose1 w:val="02010609030101010101"/>
    <w:charset w:val="86"/>
    <w:family w:val="auto"/>
    <w:pitch w:val="default"/>
    <w:sig w:usb0="00000001" w:usb1="080E0000" w:usb2="00000000" w:usb3="00000000" w:csb0="00040000" w:csb1="00000000"/>
  </w:font>
  <w:font w:name="方正书宋简体">
    <w:panose1 w:val="02000000000000000000"/>
    <w:charset w:val="86"/>
    <w:family w:val="auto"/>
    <w:pitch w:val="default"/>
    <w:sig w:usb0="A00002BF" w:usb1="184F6CFA" w:usb2="00000012" w:usb3="00000000" w:csb0="00040001" w:csb1="00000000"/>
    <w:embedRegular r:id="rId5" w:fontKey="{C6E782C0-6BCC-4BDD-9F1B-4A6B1E324D16}"/>
  </w:font>
  <w:font w:name="方正小标宋简体">
    <w:panose1 w:val="02000000000000000000"/>
    <w:charset w:val="86"/>
    <w:family w:val="auto"/>
    <w:pitch w:val="default"/>
    <w:sig w:usb0="00000001" w:usb1="08000000" w:usb2="00000000" w:usb3="00000000" w:csb0="00040000" w:csb1="00000000"/>
    <w:embedRegular r:id="rId6" w:fontKey="{A9DFC2F8-E163-4AE6-84B0-8F92AD262B44}"/>
  </w:font>
  <w:font w:name="Wingdings 2">
    <w:panose1 w:val="05020102010507070707"/>
    <w:charset w:val="00"/>
    <w:family w:val="auto"/>
    <w:pitch w:val="default"/>
    <w:sig w:usb0="00000000" w:usb1="00000000" w:usb2="00000000" w:usb3="00000000" w:csb0="80000000" w:csb1="00000000"/>
  </w:font>
  <w:font w:name="WPSEMBED1">
    <w:panose1 w:val="02010609030101010101"/>
    <w:charset w:val="86"/>
    <w:family w:val="auto"/>
    <w:pitch w:val="default"/>
    <w:sig w:usb0="00000001" w:usb1="080E0000" w:usb2="00000000" w:usb3="00000000" w:csb0="00040000" w:csb1="00000000"/>
  </w:font>
  <w:font w:name="WPSEMBED2">
    <w:panose1 w:val="02020602000000000000"/>
    <w:charset w:val="00"/>
    <w:family w:val="auto"/>
    <w:pitch w:val="default"/>
    <w:sig w:usb0="A00003FF" w:usb1="5800A4DF" w:usb2="00000000" w:usb3="00000000" w:csb0="400001FF" w:csb1="FFFF0000"/>
  </w:font>
  <w:font w:name="WPSEMBED3">
    <w:panose1 w:val="02010609030101010101"/>
    <w:charset w:val="86"/>
    <w:family w:val="auto"/>
    <w:pitch w:val="default"/>
    <w:sig w:usb0="00000001" w:usb1="080E0000" w:usb2="00000000" w:usb3="00000000" w:csb0="00040000" w:csb1="00000000"/>
  </w:font>
  <w:font w:name="WPSEMBED4">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08AF3">
    <w:pPr>
      <w:widowControl/>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rPr>
    </w:pPr>
    <w:r>
      <w:rPr>
        <w:rFonts w:hint="eastAsia" w:ascii="Arial" w:hAnsi="Arial" w:eastAsia="宋体" w:cs="Arial"/>
        <w:snapToGrid w:val="0"/>
        <w:color w:val="000000"/>
        <w:kern w:val="0"/>
        <w:sz w:val="2"/>
        <w:szCs w:val="21"/>
        <w:lang w:val="en-US" w:eastAsia="zh-CN"/>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78AC3">
    <w:pPr>
      <w:widowControl/>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rPr>
    </w:pPr>
    <w:r>
      <w:rPr>
        <w:rFonts w:hint="eastAsia" w:ascii="Arial" w:hAnsi="Arial" w:eastAsia="宋体" w:cs="Arial"/>
        <w:snapToGrid w:val="0"/>
        <w:color w:val="000000"/>
        <w:kern w:val="0"/>
        <w:sz w:val="2"/>
        <w:szCs w:val="21"/>
        <w:lang w:val="en-US" w:eastAsia="zh-C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19707">
    <w:pPr>
      <w:widowControl/>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rPr>
    </w:pPr>
    <w:r>
      <w:rPr>
        <w:rFonts w:hint="eastAsia" w:ascii="Arial" w:hAnsi="Arial" w:eastAsia="宋体" w:cs="Arial"/>
        <w:snapToGrid w:val="0"/>
        <w:color w:val="000000"/>
        <w:kern w:val="0"/>
        <w:sz w:val="2"/>
        <w:szCs w:val="21"/>
        <w:lang w:val="en-US" w:eastAsia="zh-CN"/>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93B0">
    <w:pPr>
      <w:pStyle w:val="9"/>
      <w:pBdr>
        <w:bottom w:val="none" w:color="auto" w:sz="0" w:space="1"/>
      </w:pBdr>
      <w:jc w:val="center"/>
      <w:rPr>
        <w:rFonts w:hint="eastAsia" w:ascii="仿宋_GB2312" w:hAnsi="仿宋_GB2312" w:eastAsia="宋体" w:cs="仿宋_GB231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41F3F">
    <w:pPr>
      <w:pStyle w:val="9"/>
      <w:pBdr>
        <w:bottom w:val="single" w:color="auto" w:sz="4" w:space="1"/>
      </w:pBdr>
      <w:jc w:val="center"/>
      <w:rPr>
        <w:rFonts w:hint="eastAsia" w:ascii="仿宋_GB2312" w:hAnsi="仿宋_GB2312" w:eastAsia="宋体" w:cs="仿宋_GB2312"/>
        <w:lang w:val="en-US" w:eastAsia="zh-CN"/>
      </w:rPr>
    </w:pPr>
    <w:r>
      <w:rPr>
        <w:rFonts w:hint="eastAsia"/>
        <w:sz w:val="18"/>
        <w:lang w:eastAsia="zh-CN"/>
      </w:rPr>
      <w:t>大事记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380"/>
  <w:drawingGridHorizontalSpacing w:val="210"/>
  <w:drawingGridVerticalSpacing w:val="15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4MzVmOGRkNGExYWI5MDYwMDExY2JjZjI1YTc4M2QifQ=="/>
  </w:docVars>
  <w:rsids>
    <w:rsidRoot w:val="7C36499B"/>
    <w:rsid w:val="03DF7554"/>
    <w:rsid w:val="0CA751E9"/>
    <w:rsid w:val="13763D6E"/>
    <w:rsid w:val="18A055FE"/>
    <w:rsid w:val="1A9058A9"/>
    <w:rsid w:val="20642787"/>
    <w:rsid w:val="21707B98"/>
    <w:rsid w:val="2BB26BC5"/>
    <w:rsid w:val="327710FF"/>
    <w:rsid w:val="39182A04"/>
    <w:rsid w:val="3D7C0707"/>
    <w:rsid w:val="3EB96BF2"/>
    <w:rsid w:val="402F1935"/>
    <w:rsid w:val="41566976"/>
    <w:rsid w:val="427769D6"/>
    <w:rsid w:val="441A14E5"/>
    <w:rsid w:val="48054DDA"/>
    <w:rsid w:val="4E4B3218"/>
    <w:rsid w:val="4F1A1801"/>
    <w:rsid w:val="50763149"/>
    <w:rsid w:val="666117D5"/>
    <w:rsid w:val="6E6D7752"/>
    <w:rsid w:val="74DB741C"/>
    <w:rsid w:val="7670701A"/>
    <w:rsid w:val="777B66C8"/>
    <w:rsid w:val="7B882437"/>
    <w:rsid w:val="7C36499B"/>
    <w:rsid w:val="7F720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567"/>
    </w:pPr>
  </w:style>
  <w:style w:type="paragraph" w:styleId="3">
    <w:name w:val="Body Text"/>
    <w:basedOn w:val="1"/>
    <w:autoRedefine/>
    <w:qFormat/>
    <w:uiPriority w:val="0"/>
    <w:pPr>
      <w:spacing w:before="0" w:after="140" w:line="276" w:lineRule="auto"/>
    </w:pPr>
  </w:style>
  <w:style w:type="paragraph" w:styleId="4">
    <w:name w:val="Body Text Indent"/>
    <w:basedOn w:val="1"/>
    <w:autoRedefine/>
    <w:unhideWhenUsed/>
    <w:qFormat/>
    <w:uiPriority w:val="99"/>
    <w:pPr>
      <w:spacing w:line="500" w:lineRule="exact"/>
      <w:ind w:left="1588" w:leftChars="832" w:firstLine="433" w:firstLineChars="196"/>
    </w:pPr>
    <w:rPr>
      <w:sz w:val="24"/>
    </w:rPr>
  </w:style>
  <w:style w:type="paragraph" w:styleId="5">
    <w:name w:val="footer"/>
    <w:basedOn w:val="1"/>
    <w:next w:val="6"/>
    <w:autoRedefine/>
    <w:unhideWhenUsed/>
    <w:qFormat/>
    <w:uiPriority w:val="99"/>
    <w:pPr>
      <w:tabs>
        <w:tab w:val="center" w:pos="4153"/>
        <w:tab w:val="right" w:pos="8306"/>
      </w:tabs>
      <w:snapToGrid w:val="0"/>
      <w:spacing w:line="240" w:lineRule="auto"/>
    </w:pPr>
    <w:rPr>
      <w:sz w:val="18"/>
      <w:szCs w:val="18"/>
    </w:rPr>
  </w:style>
  <w:style w:type="paragraph" w:customStyle="1" w:styleId="6">
    <w:name w:val="BodyText"/>
    <w:basedOn w:val="1"/>
    <w:next w:val="7"/>
    <w:autoRedefine/>
    <w:qFormat/>
    <w:uiPriority w:val="0"/>
    <w:rPr>
      <w:rFonts w:ascii="宋体" w:hAnsi="宋体"/>
      <w:szCs w:val="21"/>
      <w:lang w:val="zh-CN" w:bidi="zh-CN"/>
    </w:rPr>
  </w:style>
  <w:style w:type="paragraph" w:customStyle="1" w:styleId="7">
    <w:name w:val="Index9"/>
    <w:basedOn w:val="1"/>
    <w:next w:val="1"/>
    <w:autoRedefine/>
    <w:qFormat/>
    <w:uiPriority w:val="0"/>
    <w:pPr>
      <w:suppressAutoHyphens/>
      <w:bidi w:val="0"/>
      <w:ind w:left="3360"/>
      <w:jc w:val="both"/>
      <w:textAlignment w:val="baseline"/>
    </w:pPr>
    <w:rPr>
      <w:rFonts w:ascii="Calibri" w:hAnsi="Calibri" w:eastAsia="宋体"/>
      <w:color w:val="000000"/>
      <w:kern w:val="2"/>
      <w:sz w:val="21"/>
      <w:szCs w:val="24"/>
      <w:lang w:val="en-US" w:eastAsia="zh-CN" w:bidi="ar-SA"/>
    </w:rPr>
  </w:style>
  <w:style w:type="paragraph" w:styleId="8">
    <w:name w:val="envelope return"/>
    <w:basedOn w:val="1"/>
    <w:autoRedefine/>
    <w:unhideWhenUsed/>
    <w:qFormat/>
    <w:uiPriority w:val="99"/>
    <w:pPr>
      <w:widowControl w:val="0"/>
      <w:snapToGrid w:val="0"/>
      <w:jc w:val="both"/>
    </w:pPr>
    <w:rPr>
      <w:rFonts w:ascii="Arial" w:hAnsi="Arial" w:eastAsia="宋体" w:cs="Times New Roman"/>
      <w:kern w:val="2"/>
      <w:sz w:val="21"/>
      <w:szCs w:val="24"/>
      <w:lang w:val="en-US" w:eastAsia="zh-CN" w:bidi="ar-SA"/>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footnote text"/>
    <w:basedOn w:val="1"/>
    <w:autoRedefine/>
    <w:unhideWhenUsed/>
    <w:qFormat/>
    <w:uiPriority w:val="0"/>
    <w:pPr>
      <w:snapToGrid w:val="0"/>
      <w:jc w:val="left"/>
    </w:pPr>
    <w:rPr>
      <w:sz w:val="18"/>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3">
    <w:name w:val="Body Text First Indent 2"/>
    <w:basedOn w:val="4"/>
    <w:autoRedefine/>
    <w:qFormat/>
    <w:uiPriority w:val="99"/>
    <w:pPr>
      <w:tabs>
        <w:tab w:val="left" w:pos="540"/>
      </w:tabs>
      <w:spacing w:line="360" w:lineRule="auto"/>
      <w:ind w:firstLine="420" w:firstLineChars="200"/>
      <w:jc w:val="left"/>
    </w:pPr>
    <w:rPr>
      <w:rFonts w:eastAsia="宋体"/>
      <w:color w:val="000000"/>
      <w:sz w:val="24"/>
    </w:rPr>
  </w:style>
  <w:style w:type="character" w:styleId="16">
    <w:name w:val="Strong"/>
    <w:basedOn w:val="15"/>
    <w:autoRedefine/>
    <w:qFormat/>
    <w:uiPriority w:val="0"/>
    <w:rPr>
      <w:rFonts w:ascii="Times New Roman" w:hAnsi="Times New Roman" w:eastAsia="宋体" w:cs="Times New Roman"/>
      <w:b/>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9">
    <w:name w:val="Table Text"/>
    <w:autoRedefine/>
    <w:semiHidden/>
    <w:qFormat/>
    <w:uiPriority w:val="0"/>
    <w:pPr>
      <w:widowControl w:val="0"/>
      <w:jc w:val="both"/>
    </w:pPr>
    <w:rPr>
      <w:rFonts w:ascii="微软雅黑" w:hAnsi="微软雅黑" w:eastAsia="微软雅黑" w:cs="微软雅黑"/>
      <w:kern w:val="2"/>
      <w:sz w:val="14"/>
      <w:szCs w:val="14"/>
      <w:lang w:val="en-US" w:eastAsia="en-US" w:bidi="ar-SA"/>
    </w:rPr>
  </w:style>
  <w:style w:type="paragraph" w:customStyle="1" w:styleId="20">
    <w:name w:val="Default"/>
    <w:basedOn w:val="21"/>
    <w:next w:val="1"/>
    <w:autoRedefine/>
    <w:qFormat/>
    <w:uiPriority w:val="99"/>
    <w:pPr>
      <w:widowControl w:val="0"/>
      <w:autoSpaceDE w:val="0"/>
      <w:autoSpaceDN w:val="0"/>
      <w:adjustRightInd w:val="0"/>
    </w:pPr>
    <w:rPr>
      <w:rFonts w:ascii="PMingLiU-ExtB" w:hAnsi="Times New Roman" w:eastAsia="PMingLiU-ExtB" w:cs="PMingLiU-ExtB"/>
      <w:color w:val="000000"/>
      <w:kern w:val="0"/>
      <w:sz w:val="24"/>
      <w:szCs w:val="24"/>
      <w:lang w:val="en-US" w:eastAsia="zh-CN" w:bidi="ar-SA"/>
    </w:rPr>
  </w:style>
  <w:style w:type="paragraph" w:customStyle="1" w:styleId="21">
    <w:name w:val="正文1"/>
    <w:next w:val="13"/>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
    <w:name w:val="BodyText1I"/>
    <w:basedOn w:val="6"/>
    <w:next w:val="9"/>
    <w:autoRedefine/>
    <w:qFormat/>
    <w:uiPriority w:val="0"/>
    <w:pPr>
      <w:ind w:firstLine="420"/>
    </w:pPr>
  </w:style>
  <w:style w:type="paragraph" w:customStyle="1" w:styleId="23">
    <w:name w:val="Compact"/>
    <w:basedOn w:val="3"/>
    <w:autoRedefine/>
    <w:qFormat/>
    <w:uiPriority w:val="0"/>
    <w:pPr>
      <w:spacing w:before="36" w:after="36"/>
    </w:pPr>
  </w:style>
  <w:style w:type="table" w:customStyle="1" w:styleId="24">
    <w:name w:val="Table"/>
    <w:autoRedefine/>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25">
    <w:name w:val="Body Text First Indent 2"/>
    <w:basedOn w:val="26"/>
    <w:autoRedefine/>
    <w:qFormat/>
    <w:uiPriority w:val="0"/>
    <w:pPr>
      <w:ind w:firstLine="420" w:firstLineChars="200"/>
    </w:pPr>
  </w:style>
  <w:style w:type="paragraph" w:customStyle="1" w:styleId="26">
    <w:name w:val="Body Text Indent"/>
    <w:basedOn w:val="1"/>
    <w:autoRedefine/>
    <w:qFormat/>
    <w:uiPriority w:val="0"/>
    <w:pPr>
      <w:spacing w:after="120" w:afterLines="0"/>
      <w:ind w:left="420" w:leftChars="200"/>
    </w:pPr>
    <w:rPr>
      <w:rFonts w:cs="Times New Roman"/>
      <w:szCs w:val="32"/>
    </w:rPr>
  </w:style>
  <w:style w:type="paragraph" w:customStyle="1" w:styleId="27">
    <w:name w:val="Normal Indent1"/>
    <w:basedOn w:val="1"/>
    <w:autoRedefine/>
    <w:qFormat/>
    <w:uiPriority w:val="0"/>
    <w:pPr>
      <w:ind w:firstLine="567"/>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6868</Words>
  <Characters>7000</Characters>
  <Lines>0</Lines>
  <Paragraphs>0</Paragraphs>
  <TotalTime>81</TotalTime>
  <ScaleCrop>false</ScaleCrop>
  <LinksUpToDate>false</LinksUpToDate>
  <CharactersWithSpaces>7278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2026-04-08T08:47:00Z</dcterms:created>
  <dc:creator>罗智</dc:creator>
  <cp:lastModifiedBy>aying</cp:lastModifiedBy>
  <cp:lastPrinted>2026-04-09T09:51:00Z</cp:lastPrinted>
  <dcterms:modified xsi:type="dcterms:W3CDTF">2026-05-13T02:04:06Z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E0FD38389EB84F15A487D9422952A415_13</vt:lpwstr>
  </property>
  <property fmtid="{D5CDD505-2E9C-101B-9397-08002B2CF9AE}" pid="4" name="KSOTemplateDocerSaveRecord">
    <vt:lpwstr>eyJoZGlkIjoiZjljY2Q5YjI3OWFkZTE2NWRhMGM2ZGM5YTNhOGIwODAiLCJ1c2VySWQiOiIyNTEwMDI3NzUifQ==</vt:lpwstr>
  </property>
</Properties>
</file>