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30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1</w:t>
      </w:r>
    </w:p>
    <w:p w14:paraId="738605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tbl>
      <w:tblPr>
        <w:tblStyle w:val="5"/>
        <w:tblpPr w:leftFromText="180" w:rightFromText="180" w:vertAnchor="text" w:horzAnchor="page" w:tblpX="1821" w:tblpY="820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770"/>
        <w:gridCol w:w="2715"/>
        <w:gridCol w:w="2969"/>
      </w:tblGrid>
      <w:tr w14:paraId="158E8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2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A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经费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（万元/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）</w:t>
            </w:r>
          </w:p>
        </w:tc>
        <w:tc>
          <w:tcPr>
            <w:tcW w:w="2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5B8A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27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旗人民医院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</w:p>
          <w:p w14:paraId="7790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</w:p>
        </w:tc>
      </w:tr>
      <w:tr w14:paraId="061B6F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27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旗第二人民医院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5553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27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旗蒙医综合医院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4B402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0" w:hRule="atLeast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4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备注</w:t>
            </w:r>
          </w:p>
        </w:tc>
        <w:tc>
          <w:tcPr>
            <w:tcW w:w="74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.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人才引进经费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视目标考核情况、技术创新突破等成效浮动±20%；</w:t>
            </w:r>
          </w:p>
          <w:p w14:paraId="1D0D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.个人或团队带头人在协议期内，在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本旗区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内开展一个以上项目的，经费就高不叠加；</w:t>
            </w:r>
          </w:p>
          <w:p w14:paraId="5B9D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.对培养人才、学科获得高层次人才、领军人才、市级重点学科等称号的，可由用人单位另行激励；</w:t>
            </w:r>
          </w:p>
          <w:p w14:paraId="6387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.对贡献特别突出的高层次医学人才（团队），可按“一事一议”原则，向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旗委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提出资金申请。</w:t>
            </w:r>
          </w:p>
        </w:tc>
      </w:tr>
    </w:tbl>
    <w:p w14:paraId="031FB2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柔性引进人才经费分配表</w:t>
      </w:r>
    </w:p>
    <w:p w14:paraId="586D6562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6C0F0683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68EAAA5B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1E615FA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AF428F9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446F00E4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25E84F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0A01FD1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4D41A64C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28CC3E1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C83972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ADA9856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132377E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BCC1825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86D539B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DC3BD58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68E92C31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0C0A353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088716F5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1451174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BBDB32B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9712332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42F7726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9321C44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2E02AA8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04A5A23B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C579DC9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49ECC571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692D565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272DC9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6B94E39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D90E6D4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0DDBF84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750B19A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637FAE88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64B8737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61021C71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46C4399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DA7C7C0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226095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4E991AC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0B2888F0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C70BFD3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1A4AE5F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37E93E12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F80887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79A1E29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705EAE52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13D7F358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218FB4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4CC7E0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2</w:t>
      </w:r>
    </w:p>
    <w:p w14:paraId="13FF2E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6C755DBA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柔性引进人才使用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  <w:t>考核标准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）</w:t>
      </w:r>
    </w:p>
    <w:p w14:paraId="06B9F830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</w:p>
    <w:tbl>
      <w:tblPr>
        <w:tblStyle w:val="8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45"/>
        <w:gridCol w:w="4210"/>
        <w:gridCol w:w="2341"/>
        <w:gridCol w:w="584"/>
        <w:gridCol w:w="528"/>
      </w:tblGrid>
      <w:tr w14:paraId="10FB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216" w:type="pct"/>
            <w:vAlign w:val="top"/>
          </w:tcPr>
          <w:p w14:paraId="16F3EF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87" w:type="pct"/>
            <w:vAlign w:val="center"/>
          </w:tcPr>
          <w:p w14:paraId="59354F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考核项目</w:t>
            </w:r>
          </w:p>
        </w:tc>
        <w:tc>
          <w:tcPr>
            <w:tcW w:w="2141" w:type="pct"/>
            <w:vAlign w:val="center"/>
          </w:tcPr>
          <w:p w14:paraId="397604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考核标准</w:t>
            </w:r>
          </w:p>
        </w:tc>
        <w:tc>
          <w:tcPr>
            <w:tcW w:w="1190" w:type="pct"/>
            <w:vAlign w:val="center"/>
          </w:tcPr>
          <w:p w14:paraId="43CEE9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pacing w:val="7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7"/>
                <w:sz w:val="21"/>
                <w:szCs w:val="21"/>
              </w:rPr>
              <w:t>考核方法和</w:t>
            </w:r>
          </w:p>
          <w:p w14:paraId="45583E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7"/>
                <w:sz w:val="21"/>
                <w:szCs w:val="21"/>
              </w:rPr>
              <w:t>指标说明</w:t>
            </w:r>
          </w:p>
        </w:tc>
        <w:tc>
          <w:tcPr>
            <w:tcW w:w="296" w:type="pct"/>
            <w:vAlign w:val="center"/>
          </w:tcPr>
          <w:p w14:paraId="5EB418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68" w:type="pct"/>
            <w:vAlign w:val="center"/>
          </w:tcPr>
          <w:p w14:paraId="3005EB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得分</w:t>
            </w:r>
          </w:p>
        </w:tc>
      </w:tr>
      <w:tr w14:paraId="7E6D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16" w:type="pct"/>
            <w:vAlign w:val="center"/>
          </w:tcPr>
          <w:p w14:paraId="22D164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1</w:t>
            </w:r>
          </w:p>
        </w:tc>
        <w:tc>
          <w:tcPr>
            <w:tcW w:w="887" w:type="pct"/>
            <w:vAlign w:val="center"/>
          </w:tcPr>
          <w:p w14:paraId="2A510B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诊疗人次增长</w:t>
            </w:r>
          </w:p>
        </w:tc>
        <w:tc>
          <w:tcPr>
            <w:tcW w:w="2141" w:type="pct"/>
            <w:vAlign w:val="center"/>
          </w:tcPr>
          <w:p w14:paraId="1BCA81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引进科室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诊疗人次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与上一年度同比≧30%，得15分；诊疗人次与上一年度同比≧20%，得10分；诊疗人次与上一年度同比≦15%，本项不得分；</w:t>
            </w:r>
          </w:p>
        </w:tc>
        <w:tc>
          <w:tcPr>
            <w:tcW w:w="1190" w:type="pct"/>
            <w:vAlign w:val="center"/>
          </w:tcPr>
          <w:p w14:paraId="6BEF19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查阅相关统计报表及佐证材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vAlign w:val="center"/>
          </w:tcPr>
          <w:p w14:paraId="094544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8" w:type="pct"/>
            <w:vAlign w:val="center"/>
          </w:tcPr>
          <w:p w14:paraId="25BCFE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4018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6" w:type="pct"/>
            <w:vAlign w:val="center"/>
          </w:tcPr>
          <w:p w14:paraId="2F3080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2</w:t>
            </w:r>
          </w:p>
        </w:tc>
        <w:tc>
          <w:tcPr>
            <w:tcW w:w="887" w:type="pct"/>
            <w:vAlign w:val="center"/>
          </w:tcPr>
          <w:p w14:paraId="5B9B94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总收入增长</w:t>
            </w:r>
          </w:p>
        </w:tc>
        <w:tc>
          <w:tcPr>
            <w:tcW w:w="2141" w:type="pct"/>
            <w:vAlign w:val="center"/>
          </w:tcPr>
          <w:p w14:paraId="6B5B60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总收入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与上一年度同比≧30%，得15分；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总收入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与上一年度同比≧20%，得10分；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总收入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与上一年度同比≦10%，本项不得分；</w:t>
            </w:r>
          </w:p>
        </w:tc>
        <w:tc>
          <w:tcPr>
            <w:tcW w:w="1190" w:type="pct"/>
            <w:vAlign w:val="center"/>
          </w:tcPr>
          <w:p w14:paraId="6F713E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查阅相关财务报表及佐证材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</w:t>
            </w:r>
          </w:p>
        </w:tc>
        <w:tc>
          <w:tcPr>
            <w:tcW w:w="296" w:type="pct"/>
            <w:vAlign w:val="center"/>
          </w:tcPr>
          <w:p w14:paraId="7F9710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8" w:type="pct"/>
            <w:vAlign w:val="center"/>
          </w:tcPr>
          <w:p w14:paraId="6BD5AB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F4C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16" w:type="pct"/>
            <w:vAlign w:val="center"/>
          </w:tcPr>
          <w:p w14:paraId="0A2159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6C61D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到岗情况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48A12E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到岗率≧90%，得10分；到岗率≧80%，得5分；到岗率≦70%，本项不得分；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6C1CC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  <w:lang w:val="en-US" w:eastAsia="zh-CN"/>
              </w:rPr>
              <w:t>查阅出诊相关记录</w:t>
            </w:r>
          </w:p>
          <w:p w14:paraId="4BDEDA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排除天气等不可抗力原因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E2BEC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" w:type="pct"/>
            <w:vAlign w:val="center"/>
          </w:tcPr>
          <w:p w14:paraId="0AC880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900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16" w:type="pct"/>
            <w:vAlign w:val="center"/>
          </w:tcPr>
          <w:p w14:paraId="751C67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7" w:type="pct"/>
            <w:vAlign w:val="center"/>
          </w:tcPr>
          <w:p w14:paraId="1C8B7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“传、帮、带”效果</w:t>
            </w:r>
          </w:p>
        </w:tc>
        <w:tc>
          <w:tcPr>
            <w:tcW w:w="2141" w:type="pct"/>
            <w:vAlign w:val="center"/>
          </w:tcPr>
          <w:p w14:paraId="74614B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基于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开展业务培训次数、所带教成员独立开展诊疗活动成效、带教成员职称晋升情况、带教成员培养计划完成度、长效机制建立情况等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量化指标和数据，进行综合评分。</w:t>
            </w:r>
          </w:p>
        </w:tc>
        <w:tc>
          <w:tcPr>
            <w:tcW w:w="1190" w:type="pct"/>
            <w:vAlign w:val="center"/>
          </w:tcPr>
          <w:p w14:paraId="6004F0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带教成员评价、科室负责人评价、引进人才自评</w:t>
            </w:r>
          </w:p>
        </w:tc>
        <w:tc>
          <w:tcPr>
            <w:tcW w:w="296" w:type="pct"/>
            <w:vAlign w:val="center"/>
          </w:tcPr>
          <w:p w14:paraId="4B3C82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" w:type="pct"/>
            <w:vAlign w:val="center"/>
          </w:tcPr>
          <w:p w14:paraId="144E1F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945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5DCC3D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1324A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新技术新项目申报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415A3D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申报院级新技术新项目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5个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得10分；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申报院级新技术新项目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≧3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个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得8分；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申报院级新技术新项目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≧2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个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得5分；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申报院级新技术新项目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≤1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个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不得分；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B1BDB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45B32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10</w:t>
            </w:r>
          </w:p>
        </w:tc>
        <w:tc>
          <w:tcPr>
            <w:tcW w:w="268" w:type="pct"/>
            <w:vAlign w:val="center"/>
          </w:tcPr>
          <w:p w14:paraId="28BC3D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7F14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783C68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50B06B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技术引入与推广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08811F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引入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技术，并作为推广试点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567FF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BCC52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" w:type="pct"/>
            <w:vAlign w:val="center"/>
          </w:tcPr>
          <w:p w14:paraId="7AD568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58F8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653002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488C30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市级重点专科申报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4A9D0D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协助申报市级重点专科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未建成不得分；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5809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C340A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" w:type="pct"/>
            <w:vAlign w:val="center"/>
          </w:tcPr>
          <w:p w14:paraId="25111E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0001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7A938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30266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学术论文发表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3E719C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指导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用人单位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医师发表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≧2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篇相关论文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否则不得分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840C8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DEAA2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8" w:type="pct"/>
            <w:vAlign w:val="center"/>
          </w:tcPr>
          <w:p w14:paraId="31E7D9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6377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16" w:type="pct"/>
            <w:vAlign w:val="center"/>
          </w:tcPr>
          <w:p w14:paraId="2A9078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44CB2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课题研究推动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4C74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在本学科高水平学术刊物或在1区SCI期刊上发表1篇以上研究论文，或主持完成1项以上具有国内领先水平的应用技术研究项目，以用人单位为第一完成单位。未完成则不得分；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AE0D5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8"/>
                <w:sz w:val="21"/>
                <w:szCs w:val="21"/>
              </w:rPr>
              <w:t>查阅相关佐证材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  <w:szCs w:val="21"/>
              </w:rPr>
              <w:t>料。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31D2D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8" w:type="pct"/>
            <w:vAlign w:val="center"/>
          </w:tcPr>
          <w:p w14:paraId="022718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0869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16" w:type="pct"/>
            <w:vAlign w:val="center"/>
          </w:tcPr>
          <w:p w14:paraId="20F7D3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4D6CD3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满意度测评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5992CD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  <w:lang w:val="en-US" w:eastAsia="zh-CN"/>
              </w:rPr>
              <w:t>医务人员</w:t>
            </w: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</w:rPr>
              <w:t>满意度≥90%得</w:t>
            </w: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</w:rPr>
              <w:t>分，满意度≥80％得</w:t>
            </w:r>
            <w:r>
              <w:rPr>
                <w:rFonts w:hint="eastAsia" w:ascii="方正书宋简体" w:hAnsi="方正书宋简体" w:eastAsia="方正书宋简体" w:cs="方正书宋简体"/>
                <w:spacing w:val="-2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</w:rPr>
              <w:t>分，满意度≥70%得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</w:rPr>
              <w:t>分，满意度</w:t>
            </w:r>
            <w:r>
              <w:rPr>
                <w:rFonts w:hint="eastAsia" w:ascii="方正书宋简体" w:hAnsi="方正书宋简体" w:eastAsia="方正书宋简体" w:cs="方正书宋简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</w:rPr>
              <w:t>&lt;70%不得分。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5D1329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"/>
                <w:sz w:val="21"/>
                <w:szCs w:val="21"/>
              </w:rPr>
              <w:t>抽取院班子成员、中层干部和</w:t>
            </w:r>
            <w:r>
              <w:rPr>
                <w:rFonts w:hint="eastAsia" w:ascii="方正书宋简体" w:hAnsi="方正书宋简体" w:eastAsia="方正书宋简体" w:cs="方正书宋简体"/>
                <w:spacing w:val="1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</w:rPr>
              <w:t>职工进行满意度测评。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888EF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8" w:type="pct"/>
            <w:vAlign w:val="center"/>
          </w:tcPr>
          <w:p w14:paraId="15A0DF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14A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16" w:type="pct"/>
            <w:vAlign w:val="center"/>
          </w:tcPr>
          <w:p w14:paraId="2B3229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AA5F2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pacing w:val="-10"/>
                <w:sz w:val="21"/>
                <w:szCs w:val="21"/>
              </w:rPr>
              <w:t>服务能力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pacing w:val="-3"/>
                <w:sz w:val="21"/>
                <w:szCs w:val="21"/>
              </w:rPr>
              <w:t>评价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2C2AC4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8"/>
                <w:sz w:val="21"/>
                <w:szCs w:val="21"/>
              </w:rPr>
              <w:t>年度内针对</w:t>
            </w:r>
            <w:r>
              <w:rPr>
                <w:rFonts w:hint="eastAsia" w:ascii="方正书宋简体" w:hAnsi="方正书宋简体" w:eastAsia="方正书宋简体" w:cs="方正书宋简体"/>
                <w:spacing w:val="8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方正书宋简体" w:hAnsi="方正书宋简体" w:eastAsia="方正书宋简体" w:cs="方正书宋简体"/>
                <w:spacing w:val="8"/>
                <w:sz w:val="21"/>
                <w:szCs w:val="21"/>
              </w:rPr>
              <w:t>管理、医院收入、服务人次、医疗服务能力提升、新技术开展等工作给予评分。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6432C3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7"/>
                <w:sz w:val="21"/>
                <w:szCs w:val="21"/>
              </w:rPr>
              <w:t>旗卫健委按照日常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</w:rPr>
              <w:t>监管情况评分</w:t>
            </w:r>
            <w:r>
              <w:rPr>
                <w:rFonts w:hint="eastAsia" w:ascii="方正书宋简体" w:hAnsi="方正书宋简体" w:eastAsia="方正书宋简体" w:cs="方正书宋简体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4B79F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8" w:type="pct"/>
            <w:vAlign w:val="center"/>
          </w:tcPr>
          <w:p w14:paraId="1FD8FA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2B27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16" w:type="pct"/>
            <w:vAlign w:val="center"/>
          </w:tcPr>
          <w:p w14:paraId="29E1D4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BA625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pacing w:val="-10"/>
                <w:sz w:val="21"/>
                <w:szCs w:val="21"/>
              </w:rPr>
              <w:t>一票否决</w:t>
            </w:r>
          </w:p>
        </w:tc>
        <w:tc>
          <w:tcPr>
            <w:tcW w:w="2141" w:type="pct"/>
            <w:shd w:val="clear" w:color="auto" w:fill="auto"/>
            <w:vAlign w:val="center"/>
          </w:tcPr>
          <w:p w14:paraId="5725B5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4"/>
                <w:sz w:val="21"/>
                <w:szCs w:val="21"/>
                <w:lang w:val="en-US" w:eastAsia="zh-CN"/>
              </w:rPr>
              <w:t>医务人员</w:t>
            </w:r>
            <w:r>
              <w:rPr>
                <w:rFonts w:hint="eastAsia" w:ascii="方正书宋简体" w:hAnsi="方正书宋简体" w:eastAsia="方正书宋简体" w:cs="方正书宋简体"/>
                <w:spacing w:val="14"/>
                <w:sz w:val="21"/>
                <w:szCs w:val="21"/>
              </w:rPr>
              <w:t>满意度&lt;60%、患者满意度&lt;70%、重大违纪</w:t>
            </w:r>
            <w:r>
              <w:rPr>
                <w:rFonts w:hint="eastAsia" w:ascii="方正书宋简体" w:hAnsi="方正书宋简体" w:eastAsia="方正书宋简体" w:cs="方正书宋简体"/>
                <w:spacing w:val="13"/>
                <w:sz w:val="21"/>
                <w:szCs w:val="21"/>
              </w:rPr>
              <w:t>行为、重大安</w:t>
            </w: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</w:rPr>
              <w:t>全事故等行为且产生严重后果者，执行一票否决。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E40B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right="0" w:right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5"/>
                <w:sz w:val="21"/>
                <w:szCs w:val="21"/>
              </w:rPr>
              <w:t>由旗卫生健康委员会医政医</w:t>
            </w:r>
            <w:r>
              <w:rPr>
                <w:rFonts w:hint="eastAsia" w:ascii="方正书宋简体" w:hAnsi="方正书宋简体" w:eastAsia="方正书宋简体" w:cs="方正书宋简体"/>
                <w:spacing w:val="1"/>
                <w:sz w:val="21"/>
                <w:szCs w:val="21"/>
              </w:rPr>
              <w:t>管股、医调委提供相关参考材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料。</w:t>
            </w:r>
            <w:r>
              <w:rPr>
                <w:rFonts w:hint="eastAsia" w:ascii="方正书宋简体" w:hAnsi="方正书宋简体" w:eastAsia="方正书宋简体" w:cs="方正书宋简体"/>
                <w:spacing w:val="9"/>
                <w:sz w:val="21"/>
                <w:szCs w:val="21"/>
              </w:rPr>
              <w:t>查阅相关报表及佐证材料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81731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268" w:type="pct"/>
            <w:vAlign w:val="center"/>
          </w:tcPr>
          <w:p w14:paraId="5BFDC5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35CC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" w:type="pct"/>
            <w:vAlign w:val="center"/>
          </w:tcPr>
          <w:p w14:paraId="7E9C1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7" w:type="pct"/>
            <w:vAlign w:val="center"/>
          </w:tcPr>
          <w:p w14:paraId="249CCF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  <w:tc>
          <w:tcPr>
            <w:tcW w:w="2141" w:type="pct"/>
            <w:vAlign w:val="center"/>
          </w:tcPr>
          <w:p w14:paraId="20784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  <w:tc>
          <w:tcPr>
            <w:tcW w:w="1190" w:type="pct"/>
            <w:vAlign w:val="center"/>
          </w:tcPr>
          <w:p w14:paraId="360419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</w:p>
        </w:tc>
        <w:tc>
          <w:tcPr>
            <w:tcW w:w="296" w:type="pct"/>
            <w:vAlign w:val="center"/>
          </w:tcPr>
          <w:p w14:paraId="14B01C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268" w:type="pct"/>
            <w:vAlign w:val="center"/>
          </w:tcPr>
          <w:p w14:paraId="3B5478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</w:tbl>
    <w:p w14:paraId="13BAFB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left="0"/>
        <w:textAlignment w:val="auto"/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sectPr>
          <w:pgSz w:w="11906" w:h="16838"/>
          <w:pgMar w:top="2154" w:right="1134" w:bottom="1701" w:left="1134" w:header="1134" w:footer="992" w:gutter="0"/>
          <w:pgNumType w:fmt="decimal"/>
          <w:cols w:space="425" w:num="1"/>
          <w:docGrid w:type="lines" w:linePitch="312" w:charSpace="0"/>
        </w:sectPr>
      </w:pPr>
    </w:p>
    <w:p w14:paraId="660FD4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left="0"/>
        <w:textAlignment w:val="auto"/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</w:pPr>
    </w:p>
    <w:p w14:paraId="6D7AC0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left="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b/>
          <w:bCs/>
          <w:sz w:val="21"/>
          <w:szCs w:val="21"/>
        </w:rPr>
        <w:t>说明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：</w:t>
      </w:r>
    </w:p>
    <w:p w14:paraId="301F6F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left="0" w:firstLine="420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en-US" w:bidi="ar-SA"/>
        </w:rPr>
        <w:t>1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 w:bidi="ar-SA"/>
        </w:rPr>
        <w:t>.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本考核评分表用于评估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公立医院柔性引才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工作绩效，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各用人单位可根据引进人才具体情况实行“一人一案”制定相关考核方案细则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。</w:t>
      </w:r>
    </w:p>
    <w:p w14:paraId="45DE253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firstLine="420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en-US" w:bidi="ar-SA"/>
        </w:rPr>
        <w:t>2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 w:bidi="ar-SA"/>
        </w:rPr>
        <w:t>.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各项考核标准需严格按照实际情况进行评分，</w:t>
      </w:r>
    </w:p>
    <w:p w14:paraId="5ACEC7E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</w:rPr>
        <w:t>确保公平公正。</w:t>
      </w:r>
    </w:p>
    <w:p w14:paraId="5240253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 w:bidi="ar-SA"/>
        </w:rPr>
      </w:pPr>
    </w:p>
    <w:p w14:paraId="4335CA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 w:bidi="ar-SA"/>
        </w:rPr>
      </w:pPr>
    </w:p>
    <w:p w14:paraId="0B85AE0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firstLine="420" w:firstLineChars="200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 w:bidi="ar-SA"/>
        </w:rPr>
        <w:t>3.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考核过程中，若发现存在弄虚作假、违规操作等行为，将视情节轻重给予相应处罚，并可能影响奖金支付。</w:t>
      </w:r>
    </w:p>
    <w:p w14:paraId="5491876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sectPr>
          <w:type w:val="continuous"/>
          <w:pgSz w:w="11906" w:h="16838"/>
          <w:pgMar w:top="2154" w:right="1134" w:bottom="1701" w:left="1134" w:header="1134" w:footer="992" w:gutter="0"/>
          <w:pgNumType w:fmt="decimal"/>
          <w:cols w:equalWidth="0" w:num="2">
            <w:col w:w="4606" w:space="425"/>
            <w:col w:w="4606"/>
          </w:cols>
          <w:docGrid w:type="lines" w:linePitch="312" w:charSpace="0"/>
        </w:sectPr>
      </w:pP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en-US" w:bidi="ar-SA"/>
        </w:rPr>
        <w:t>4.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考核评分表最终解释权归鄂托克旗</w:t>
      </w:r>
      <w:r>
        <w:rPr>
          <w:rFonts w:hint="eastAsia" w:ascii="方正书宋简体" w:hAnsi="方正书宋简体" w:eastAsia="方正书宋简体" w:cs="方正书宋简体"/>
          <w:sz w:val="21"/>
          <w:szCs w:val="21"/>
          <w:lang w:val="en-US" w:eastAsia="zh-CN"/>
        </w:rPr>
        <w:t>卫生健康委</w:t>
      </w:r>
      <w:r>
        <w:rPr>
          <w:rFonts w:hint="eastAsia" w:ascii="方正书宋简体" w:hAnsi="方正书宋简体" w:eastAsia="方正书宋简体" w:cs="方正书宋简体"/>
          <w:sz w:val="21"/>
          <w:szCs w:val="21"/>
        </w:rPr>
        <w:t>所有。</w:t>
      </w:r>
    </w:p>
    <w:p w14:paraId="400C6D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B87E7-5A43-4F1C-B427-690E2D02F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3D0C25-D81D-4700-ABDF-08E36C8B38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027ABB-A960-4B36-8577-DB459B349C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14EAEE6-8D28-4711-95D0-2867CCF6BB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31BC2"/>
    <w:rsid w:val="066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ompact"/>
    <w:basedOn w:val="2"/>
    <w:autoRedefine/>
    <w:qFormat/>
    <w:uiPriority w:val="0"/>
    <w:pPr>
      <w:spacing w:before="36" w:after="36"/>
    </w:pPr>
  </w:style>
  <w:style w:type="table" w:customStyle="1" w:styleId="8">
    <w:name w:val="Table"/>
    <w:autoRedefine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9">
    <w:name w:val="Table Text"/>
    <w:autoRedefine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2026-05-13T01:53:00Z</dcterms:created>
  <dc:creator>aying</dc:creator>
  <cp:lastModifiedBy>aying</cp:lastModifiedBy>
  <dcterms:modified xsi:type="dcterms:W3CDTF">2026-05-13T01:53:32Z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8D8DF54314BB42738D47CB6A2F25281F_11</vt:lpwstr>
  </property>
  <property fmtid="{D5CDD505-2E9C-101B-9397-08002B2CF9AE}" pid="4" name="KSOTemplateDocerSaveRecord">
    <vt:lpwstr>eyJoZGlkIjoiZjljY2Q5YjI3OWFkZTE2NWRhMGM2ZGM5YTNhOGIwODAiLCJ1c2VySWQiOiIyNTEwMDI3NzUifQ==</vt:lpwstr>
  </property>
</Properties>
</file>