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C5E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10" w:lineRule="exact"/>
        <w:ind w:left="0" w:leftChars="0" w:firstLine="0" w:firstLineChars="0"/>
        <w:jc w:val="both"/>
        <w:textAlignment w:val="auto"/>
        <w:rPr>
          <w:rFonts w:hint="eastAsia" w:ascii="方正书宋简体" w:hAnsi="方正书宋简体" w:eastAsia="方正书宋简体" w:cs="方正书宋简体"/>
          <w:color w:val="auto"/>
          <w:spacing w:val="0"/>
          <w:kern w:val="21"/>
          <w:sz w:val="21"/>
          <w:szCs w:val="21"/>
          <w:lang w:val="en-US" w:eastAsia="zh-CN"/>
        </w:rPr>
      </w:pP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附件1</w:t>
      </w:r>
    </w:p>
    <w:p w14:paraId="34A5DC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10" w:lineRule="exact"/>
        <w:ind w:left="0" w:leftChars="0" w:firstLine="0" w:firstLineChars="0"/>
        <w:jc w:val="both"/>
        <w:textAlignment w:val="auto"/>
        <w:rPr>
          <w:rFonts w:hint="eastAsia" w:ascii="方正书宋简体" w:hAnsi="方正书宋简体" w:eastAsia="方正书宋简体" w:cs="方正书宋简体"/>
          <w:color w:val="auto"/>
          <w:spacing w:val="0"/>
          <w:kern w:val="21"/>
          <w:sz w:val="21"/>
          <w:szCs w:val="21"/>
          <w:lang w:val="en-US" w:eastAsia="zh-CN"/>
        </w:rPr>
      </w:pPr>
    </w:p>
    <w:p w14:paraId="44A63BD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6" w:afterLines="5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鄂托克旗征地区片综合地价表</w:t>
      </w:r>
    </w:p>
    <w:tbl>
      <w:tblPr>
        <w:tblStyle w:val="3"/>
        <w:tblW w:w="10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08"/>
        <w:gridCol w:w="3600"/>
        <w:gridCol w:w="1173"/>
        <w:gridCol w:w="643"/>
        <w:gridCol w:w="673"/>
        <w:gridCol w:w="715"/>
        <w:gridCol w:w="704"/>
        <w:gridCol w:w="860"/>
      </w:tblGrid>
      <w:tr w14:paraId="7A66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盟市名称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旗县</w:t>
            </w:r>
          </w:p>
          <w:p w14:paraId="660B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区域区片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8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区片综合地价</w:t>
            </w:r>
          </w:p>
          <w:p w14:paraId="2CFE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3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地类修正系数</w:t>
            </w:r>
          </w:p>
        </w:tc>
      </w:tr>
      <w:tr w14:paraId="0FA3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B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B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B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4C43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农用地</w:t>
            </w:r>
          </w:p>
        </w:tc>
      </w:tr>
      <w:tr w14:paraId="2B60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4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9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乌兰镇（哈马日格太嘎查、乌兰图克嘎查）、棋盘井镇（额尔和图嘎查）、蒙西镇（羊场村、碱柜村、巴音温都尔嘎查、伊克布拉格嘎查、新民村、渠畔村）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1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5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3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</w:tr>
      <w:tr w14:paraId="5718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E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乌兰镇（察汗淖尔嘎查、乌兰柴达木嘎查）、棋盘井镇（乌仁都西嘎查）、阿尔巴斯苏木（赛音乌素嘎查）、鄂托克旗赛因乌素草籽场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B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8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</w:tr>
      <w:tr w14:paraId="6C8C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4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1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7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兰镇（赛罕塔拉嘎查、德日苏嘎查、包日塔拉嘎查、查汗陶勒盖嘎查、苏吉嘎查、沙日布日都嘎查、马新布拉格嘎查、敖伦淖尔嘎查、包日呼舒嘎查、海岱嘎查）、棋盘井镇（百眼井村、阿如其日嘎村、石勒凯村、呼吉嘎查、苏米图村、深井村、楚鲁拜嘎查、伊克达赖嘎查）、蒙西镇（其劳图村、苏亥图嘎查）、木凯淖尔镇（扎德盖村、索扣村、达楞图如村、伊克乌素村、巴音淖尔村、乌兰其日嘎村、木凯淖尔村、桃力民村、乌兰吉林村、召稍村、乌兰哈达村、包勒壕内村、乌素其日嘎村、察汗敖包嘎查、旧庙湾村、大克泊尔村、水泉子村、小湖村）、苏米图苏木（额尔和图嘎查、苏米图嘎查、伊连陶勒盖嘎查、苏里格嘎查、马什亥嘎查、查干敖包嘎查、斯布扣嘎查、哈达图嘎查、巴嘎额尔和图嘎查、巴音布拉格嘎查）、阿尔巴斯苏木（巴音乌素嘎查、乌兰其日嘎嘎查、哈图嘎查、脑高岱嘎查、呼和陶勒盖嘎查、敖伦其日嘎嘎查、巴音陶勒盖嘎查、阿如布拉格嘎查、布隆嘎查、乌兰乌素嘎查、陶利嘎查、希尼其日嘎嘎查、马新布拉格嘎查）、内蒙古白绒山羊种养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6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</w:t>
            </w:r>
          </w:p>
        </w:tc>
      </w:tr>
    </w:tbl>
    <w:p w14:paraId="0483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0" w:lineRule="exact"/>
        <w:textAlignment w:val="auto"/>
        <w:rPr>
          <w:rFonts w:hint="eastAsia" w:ascii="方正书宋简体" w:hAnsi="方正书宋简体" w:eastAsia="方正书宋简体" w:cs="方正书宋简体"/>
          <w:snapToGrid/>
          <w:color w:val="000000"/>
          <w:spacing w:val="0"/>
          <w:kern w:val="21"/>
          <w:sz w:val="21"/>
          <w:szCs w:val="21"/>
          <w:lang w:val="en-US" w:eastAsia="zh-CN"/>
        </w:rPr>
      </w:pP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附件2</w:t>
      </w:r>
    </w:p>
    <w:p w14:paraId="1CC1A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7377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6" w:afterLines="5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napToGrid/>
          <w:color w:val="000000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鄂托克旗青苗补偿标准表</w:t>
      </w:r>
    </w:p>
    <w:tbl>
      <w:tblPr>
        <w:tblStyle w:val="3"/>
        <w:tblW w:w="95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8"/>
        <w:gridCol w:w="1015"/>
        <w:gridCol w:w="1338"/>
        <w:gridCol w:w="1085"/>
        <w:gridCol w:w="3859"/>
      </w:tblGrid>
      <w:tr w14:paraId="5985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C6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一级类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二级类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4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三级类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1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补偿标准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</w:t>
            </w:r>
          </w:p>
        </w:tc>
      </w:tr>
      <w:tr w14:paraId="5C40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水浇地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1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DD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C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元/亩</w:t>
            </w:r>
          </w:p>
        </w:tc>
        <w:tc>
          <w:tcPr>
            <w:tcW w:w="3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补偿标准规定外的农作物青苗，参照本标准内同类型农作物青苗补偿标准补偿。对于刚刚播种的农作物，按其一季产值的1/3补偿，对于成长期的农作物，最高按一季产值补偿;对于粮食、油料和蔬菜青苗，能够得到收获的，不予补偿，不能收获的按一季补偿。</w:t>
            </w:r>
          </w:p>
        </w:tc>
      </w:tr>
      <w:tr w14:paraId="07F1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4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A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苜蓿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4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A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元/亩</w:t>
            </w: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9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</w:tr>
      <w:tr w14:paraId="35B8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3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C5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0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C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元/亩</w:t>
            </w: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E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</w:tr>
      <w:tr w14:paraId="16C7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C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CF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E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元/亩</w:t>
            </w: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C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</w:tr>
      <w:tr w14:paraId="1F37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D2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葵花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44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元/亩</w:t>
            </w: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7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</w:tr>
      <w:tr w14:paraId="355A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B7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D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土豆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0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5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元/亩</w:t>
            </w: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F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</w:tr>
      <w:tr w14:paraId="724B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D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西瓜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A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C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B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元/亩</w:t>
            </w: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F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</w:tr>
      <w:tr w14:paraId="6356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5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谷类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13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元/亩</w:t>
            </w: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D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</w:tr>
      <w:tr w14:paraId="366C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E6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C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籽瓜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8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A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元/亩</w:t>
            </w: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7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</w:tr>
      <w:tr w14:paraId="1240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0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蔬菜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B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元/亩</w:t>
            </w: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9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</w:p>
        </w:tc>
      </w:tr>
      <w:tr w14:paraId="53C8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5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2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21"/>
                <w:sz w:val="21"/>
                <w:szCs w:val="21"/>
                <w:u w:val="none"/>
                <w:lang w:val="en-US" w:eastAsia="zh-CN" w:bidi="ar"/>
              </w:rPr>
              <w:t>备注：一级类、二级类内容均可调整，如一级类可调整为水田、旱地，二级类可调整为温室种植、大棚种植等，以满足当地实际征地工作为标准；三级类为选填，如有必要可使用三级类继续细化补偿标准。</w:t>
            </w:r>
          </w:p>
        </w:tc>
      </w:tr>
    </w:tbl>
    <w:p w14:paraId="52E7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0" w:lineRule="exact"/>
        <w:textAlignment w:val="auto"/>
        <w:rPr>
          <w:rFonts w:hint="eastAsia" w:ascii="方正书宋简体" w:hAnsi="方正书宋简体" w:eastAsia="方正书宋简体" w:cs="方正书宋简体"/>
          <w:snapToGrid/>
          <w:color w:val="000000"/>
          <w:spacing w:val="0"/>
          <w:kern w:val="21"/>
          <w:sz w:val="21"/>
          <w:szCs w:val="21"/>
          <w:lang w:val="en-US" w:eastAsia="zh-CN"/>
        </w:rPr>
      </w:pP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附件3</w:t>
      </w:r>
    </w:p>
    <w:p w14:paraId="64253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</w:p>
    <w:p w14:paraId="0736E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6" w:afterLines="5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napToGrid/>
          <w:color w:val="000000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鄂托克旗地上附着物补偿标准表</w:t>
      </w:r>
    </w:p>
    <w:tbl>
      <w:tblPr>
        <w:tblStyle w:val="3"/>
        <w:tblW w:w="96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093"/>
        <w:gridCol w:w="1325"/>
        <w:gridCol w:w="1015"/>
        <w:gridCol w:w="1223"/>
        <w:gridCol w:w="3631"/>
      </w:tblGrid>
      <w:tr w14:paraId="70C9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一级类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二级类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三级类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补偿</w:t>
            </w:r>
          </w:p>
          <w:p w14:paraId="7CA1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1B0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房屋及配套</w:t>
            </w:r>
          </w:p>
          <w:p w14:paraId="1E7D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4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框架结构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3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4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E7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0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6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砖混结构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8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72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9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8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8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砖木结构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D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5D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D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窑洞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A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6B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9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0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土房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1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6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农业基础</w:t>
            </w:r>
          </w:p>
          <w:p w14:paraId="2636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大棚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日光温室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元/亩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4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A3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7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D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土木钢结构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元/亩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1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D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8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A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砖木钢结构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3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元/亩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2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53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3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8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机井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＜150米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4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5D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0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E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≥150米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5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4E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B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大口井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8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D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2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80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2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旱井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7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0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87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D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民用井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砖砌井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C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B2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A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E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石砌井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A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6E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其他设施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土木结构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B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1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0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F6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7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6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砖木结构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1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8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2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5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厕所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土木结构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9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0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9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9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9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砖木结构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0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76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A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院墙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土木结构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2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0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8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3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砖混结构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6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A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5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4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网围栏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E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木头杆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元/根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2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81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2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水泥杆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元/根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A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06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1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A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网片围栏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6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4F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1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一般围栏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D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8C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B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5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围栏开口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0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元/处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F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F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7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囤棚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土木结构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3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D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2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7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砖混结构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D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0B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F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D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2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E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7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草棚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0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5E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4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4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鸡窝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E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7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9E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9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露天灶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E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8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F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8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B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4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沼气泡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1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4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14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E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5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4F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8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9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沥青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9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8A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0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3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砖石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B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04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坟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4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元/座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坟前，用地单位必须发布迁坟公告。烈士、宗教和少数民族坟墓迁移应会同民政、民族宗教部门一道处理。双人坟补偿金额增加30%。坟墓有其他墓地设施的，补偿金增加20%。临时使用土地距离在30米以外的不做补偿</w:t>
            </w:r>
          </w:p>
        </w:tc>
      </w:tr>
      <w:tr w14:paraId="0853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樟子松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20cm以下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E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樟子松补偿以主杆高度来确定标准</w:t>
            </w:r>
          </w:p>
        </w:tc>
      </w:tr>
      <w:tr w14:paraId="42DE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1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21-30cm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C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C7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4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0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31-40cm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7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83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8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A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41-50cm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47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0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51-100cm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7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D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5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100-150cm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3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C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D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4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150-200cm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5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F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E8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F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200-250cm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3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0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2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6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250-300cm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9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D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9B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B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300-400cm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B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3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82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4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400cm 以上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4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0B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柳叶鼠李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B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又名黑格栏</w:t>
            </w:r>
          </w:p>
        </w:tc>
      </w:tr>
      <w:tr w14:paraId="6253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榆树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当年新植幼树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榆树补偿以胸径来确定标准，10年以上榆树胸径(树高1.3米处的直径，如测得的是围径&lt;周长&gt;），除以3.14后为胸径)小于6cm的，按6-10年的幼树的标准计算</w:t>
            </w:r>
          </w:p>
        </w:tc>
      </w:tr>
      <w:tr w14:paraId="78C0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9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2-3年幼树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8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9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1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9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4-5年幼树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7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06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2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6-10年幼树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C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AF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E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10年以上榆树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胸径6-10cm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E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0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EB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D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F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胸径10-14cm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4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A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FE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6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A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胸径14-18cm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F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A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15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4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E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胸径18-22cm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5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88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5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5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胸径22-26cm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A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C4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A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6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胸径26-30cm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1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0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F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F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胸径30-34cm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8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99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6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 34-38cm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F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69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F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5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 38-42cm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8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6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7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C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胸径42-46cm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C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6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0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7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胸径46-50cm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A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A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C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C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9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胸径50-54cm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7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C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C6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E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0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胸径54-60cm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3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49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7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B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胸径60cm以上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6A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4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39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杨树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当年新幼苗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2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杨树补偿以胸径来确定标准，5年以上胸径小于6cm的杨树补偿按照3-5年的幼树补偿</w:t>
            </w:r>
          </w:p>
        </w:tc>
      </w:tr>
      <w:tr w14:paraId="12C5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4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2-3年幼树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0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CD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5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3-5年幼树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9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0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F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5年以上杨树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胸径6-10cm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A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3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D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2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5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C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 10-14cm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6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D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C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胸径13-18cm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2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1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FB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6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C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 18-22cm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95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55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B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胸径22-26cm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3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8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56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9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2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胸径26-30cm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7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7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76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E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2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胸径30-34cm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0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7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91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0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4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胸径34-38cm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C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B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6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6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胸径38-42cm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5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57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3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3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B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 42-46cm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9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F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26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A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胸径46-50cm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1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E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9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A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B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胸径50-54cm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A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F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6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7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胸径54-60cm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C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1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4C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9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胸径60cm以上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A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0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16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旱柳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当年载小树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4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5年以上旱柳，上胸径小于6cm的，补偿价按4-5年生旱柳的补偿标准计算，胸径＞6cm 的独杆旱柳，补偿价格参考杨树，在与之相同胸径的杨树补偿价的基础上下调 10%-20%。5年生以上，胸径＞6cm 的头木作业(结椽)旱柳，分为主干和椽两个部分进行补偿，然后把两个部分相加，作为对一株旱柳的补偿金额</w:t>
            </w:r>
          </w:p>
        </w:tc>
      </w:tr>
      <w:tr w14:paraId="1845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5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2-3年生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2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4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2D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B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4-5年生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4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5E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6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主干（5年以生以上）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胸径6-10cm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3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6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05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B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胸径10-14cm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8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C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83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3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E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胸径10-14cm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B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2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12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1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F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胸径18-22cm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2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F8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4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胸径22-26cm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A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9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C9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E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0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 26-30cm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8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2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C2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8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胸径30-34cm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4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E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F6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5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C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胸径34-38cm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2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06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1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0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胸径38-42cm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B2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E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2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胸径42-46cm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A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3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8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1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0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胸径46-50cm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0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0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02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4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7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胸径50-54cm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B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E5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旱柳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主干（5年以生以上）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胸径54-60cm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9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5年以上旱柳，上胸径小于6cm的，补偿价按4-5年生旱柳的补偿标准计算，胸径＞6cm 的独杆旱柳，补偿价格参考杨树，在与之相同胸径的杨树补偿价的基础上下调 10%-20%。5年生以上，胸径＞6cm 的头木作业(结椽)旱柳，分为主干和椽两个部分进行补偿，然后把两个部分相加，作为对一株旱柳的补偿金额</w:t>
            </w:r>
          </w:p>
        </w:tc>
      </w:tr>
      <w:tr w14:paraId="66F7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3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胸径60cm 以上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B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2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D2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9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椽（5年以生以上）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大头直径4cm以下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E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元／根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F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DF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3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6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大头直径4-6cm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元／根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6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6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7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1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大头直径6cm以上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9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元／根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F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4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E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元／米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1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85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幼果树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7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3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1.果树的栽培必须符合中国主要造林树种的栽种要求,补偿中包括套种或裁的其他作物的补偿。2.两种或多种混栽的，以多的一种计算，其余不另计算补偿。3.庭院单株另补。</w:t>
            </w:r>
          </w:p>
        </w:tc>
      </w:tr>
      <w:tr w14:paraId="05F0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C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0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初果树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6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F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4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86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盛果树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4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B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元/株</w:t>
            </w:r>
          </w:p>
        </w:tc>
        <w:tc>
          <w:tcPr>
            <w:tcW w:w="3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E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6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其它树木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F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2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F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F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参照上述补偿</w:t>
            </w:r>
          </w:p>
        </w:tc>
      </w:tr>
    </w:tbl>
    <w:p w14:paraId="77D54904">
      <w:pPr>
        <w:spacing w:line="578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06FA36">
      <w:pPr>
        <w:spacing w:line="578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680973">
      <w:pPr>
        <w:spacing w:line="578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91549F3">
      <w:pPr>
        <w:spacing w:line="578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2291128">
      <w:pPr>
        <w:spacing w:line="578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7E096FD">
      <w:pPr>
        <w:spacing w:line="578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060FA7">
      <w:pPr>
        <w:spacing w:line="578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EF368E7">
      <w:pPr>
        <w:spacing w:line="578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83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jc w:val="both"/>
        <w:textAlignment w:val="baseline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附件4</w:t>
      </w:r>
    </w:p>
    <w:p w14:paraId="7C145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jc w:val="both"/>
        <w:textAlignment w:val="baseline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55E1D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26" w:afterLines="50"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风机、</w:t>
      </w:r>
      <w:r>
        <w:rPr>
          <w:rFonts w:hint="eastAsia" w:ascii="仿宋_GB2312" w:hAnsi="仿宋_GB2312" w:eastAsia="仿宋_GB2312" w:cs="仿宋_GB2312"/>
          <w:sz w:val="44"/>
          <w:szCs w:val="44"/>
        </w:rPr>
        <w:t>电力线路征地补偿标准表</w:t>
      </w:r>
    </w:p>
    <w:p w14:paraId="27035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jc w:val="right"/>
        <w:textAlignment w:val="baseline"/>
        <w:rPr>
          <w:rFonts w:hint="eastAsia" w:ascii="楷体_GB2312" w:hAnsi="楷体_GB2312" w:eastAsia="楷体_GB2312" w:cs="楷体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sz w:val="21"/>
          <w:szCs w:val="21"/>
        </w:rPr>
        <w:t>（单位：元／根、个、基）</w:t>
      </w:r>
    </w:p>
    <w:p w14:paraId="26FA0AE2">
      <w:pPr>
        <w:spacing w:line="100" w:lineRule="exact"/>
        <w:jc w:val="center"/>
        <w:rPr>
          <w:rFonts w:ascii="Times New Roman" w:hAnsi="Times New Roman" w:eastAsia="方正小标宋简体" w:cs="Times New Roman"/>
          <w:sz w:val="21"/>
          <w:szCs w:val="21"/>
        </w:rPr>
      </w:pPr>
    </w:p>
    <w:tbl>
      <w:tblPr>
        <w:tblStyle w:val="3"/>
        <w:tblW w:w="50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932"/>
        <w:gridCol w:w="1133"/>
        <w:gridCol w:w="5352"/>
      </w:tblGrid>
      <w:tr w14:paraId="5344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96" w:type="dxa"/>
            <w:noWrap w:val="0"/>
            <w:vAlign w:val="center"/>
          </w:tcPr>
          <w:p w14:paraId="320AC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杆塔类型</w:t>
            </w:r>
          </w:p>
        </w:tc>
        <w:tc>
          <w:tcPr>
            <w:tcW w:w="825" w:type="dxa"/>
            <w:noWrap w:val="0"/>
            <w:vAlign w:val="center"/>
          </w:tcPr>
          <w:p w14:paraId="1DEE7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</w:t>
            </w:r>
          </w:p>
        </w:tc>
        <w:tc>
          <w:tcPr>
            <w:tcW w:w="1003" w:type="dxa"/>
            <w:noWrap w:val="0"/>
            <w:vAlign w:val="center"/>
          </w:tcPr>
          <w:p w14:paraId="12E64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补偿费（元）</w:t>
            </w:r>
          </w:p>
        </w:tc>
        <w:tc>
          <w:tcPr>
            <w:tcW w:w="4738" w:type="dxa"/>
            <w:noWrap w:val="0"/>
            <w:vAlign w:val="center"/>
          </w:tcPr>
          <w:p w14:paraId="48112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征地范围</w:t>
            </w:r>
          </w:p>
        </w:tc>
      </w:tr>
      <w:tr w14:paraId="2E54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6" w:type="dxa"/>
            <w:noWrap w:val="0"/>
            <w:vAlign w:val="center"/>
          </w:tcPr>
          <w:p w14:paraId="4B210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单杆</w:t>
            </w:r>
          </w:p>
        </w:tc>
        <w:tc>
          <w:tcPr>
            <w:tcW w:w="825" w:type="dxa"/>
            <w:noWrap w:val="0"/>
            <w:vAlign w:val="center"/>
          </w:tcPr>
          <w:p w14:paraId="65327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根</w:t>
            </w:r>
          </w:p>
        </w:tc>
        <w:tc>
          <w:tcPr>
            <w:tcW w:w="1003" w:type="dxa"/>
            <w:noWrap w:val="0"/>
            <w:vAlign w:val="center"/>
          </w:tcPr>
          <w:p w14:paraId="04086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5000</w:t>
            </w:r>
          </w:p>
        </w:tc>
        <w:tc>
          <w:tcPr>
            <w:tcW w:w="4738" w:type="dxa"/>
            <w:noWrap w:val="0"/>
            <w:vAlign w:val="center"/>
          </w:tcPr>
          <w:p w14:paraId="2F0B4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带拉线以杆和拉线为界向四周延伸2米为征地范围</w:t>
            </w:r>
          </w:p>
        </w:tc>
      </w:tr>
      <w:tr w14:paraId="22D3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6" w:type="dxa"/>
            <w:noWrap w:val="0"/>
            <w:vAlign w:val="center"/>
          </w:tcPr>
          <w:p w14:paraId="74885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双杆</w:t>
            </w:r>
          </w:p>
        </w:tc>
        <w:tc>
          <w:tcPr>
            <w:tcW w:w="825" w:type="dxa"/>
            <w:noWrap w:val="0"/>
            <w:vAlign w:val="center"/>
          </w:tcPr>
          <w:p w14:paraId="1EA2A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个</w:t>
            </w:r>
          </w:p>
        </w:tc>
        <w:tc>
          <w:tcPr>
            <w:tcW w:w="1003" w:type="dxa"/>
            <w:noWrap w:val="0"/>
            <w:vAlign w:val="center"/>
          </w:tcPr>
          <w:p w14:paraId="76D49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8000</w:t>
            </w:r>
          </w:p>
        </w:tc>
        <w:tc>
          <w:tcPr>
            <w:tcW w:w="4738" w:type="dxa"/>
            <w:noWrap w:val="0"/>
            <w:vAlign w:val="center"/>
          </w:tcPr>
          <w:p w14:paraId="786CA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以双杆实际占地边界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带拉线以杆和拉线为界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向四周延伸2米为征地范围</w:t>
            </w:r>
          </w:p>
        </w:tc>
      </w:tr>
      <w:tr w14:paraId="5191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6" w:type="dxa"/>
            <w:noWrap w:val="0"/>
            <w:vAlign w:val="center"/>
          </w:tcPr>
          <w:p w14:paraId="08188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三杆</w:t>
            </w:r>
          </w:p>
        </w:tc>
        <w:tc>
          <w:tcPr>
            <w:tcW w:w="825" w:type="dxa"/>
            <w:noWrap w:val="0"/>
            <w:vAlign w:val="center"/>
          </w:tcPr>
          <w:p w14:paraId="78D97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个</w:t>
            </w:r>
          </w:p>
        </w:tc>
        <w:tc>
          <w:tcPr>
            <w:tcW w:w="1003" w:type="dxa"/>
            <w:noWrap w:val="0"/>
            <w:vAlign w:val="center"/>
          </w:tcPr>
          <w:p w14:paraId="6186A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10000</w:t>
            </w:r>
          </w:p>
        </w:tc>
        <w:tc>
          <w:tcPr>
            <w:tcW w:w="4738" w:type="dxa"/>
            <w:noWrap w:val="0"/>
            <w:vAlign w:val="center"/>
          </w:tcPr>
          <w:p w14:paraId="6E9B1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以三杆实际占地边界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带拉线以杆和拉线为界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向四周延伸2米为征地范围</w:t>
            </w:r>
          </w:p>
        </w:tc>
      </w:tr>
      <w:tr w14:paraId="4C5A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6" w:type="dxa"/>
            <w:noWrap w:val="0"/>
            <w:vAlign w:val="center"/>
          </w:tcPr>
          <w:p w14:paraId="1F66A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拉线</w:t>
            </w:r>
          </w:p>
        </w:tc>
        <w:tc>
          <w:tcPr>
            <w:tcW w:w="825" w:type="dxa"/>
            <w:noWrap w:val="0"/>
            <w:vAlign w:val="center"/>
          </w:tcPr>
          <w:p w14:paraId="16FE0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根</w:t>
            </w:r>
          </w:p>
        </w:tc>
        <w:tc>
          <w:tcPr>
            <w:tcW w:w="1003" w:type="dxa"/>
            <w:noWrap w:val="0"/>
            <w:vAlign w:val="center"/>
          </w:tcPr>
          <w:p w14:paraId="1633F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5000</w:t>
            </w:r>
          </w:p>
        </w:tc>
        <w:tc>
          <w:tcPr>
            <w:tcW w:w="4738" w:type="dxa"/>
            <w:noWrap w:val="0"/>
            <w:vAlign w:val="center"/>
          </w:tcPr>
          <w:p w14:paraId="74D91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</w:tr>
      <w:tr w14:paraId="1433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6" w:type="dxa"/>
            <w:noWrap w:val="0"/>
            <w:vAlign w:val="center"/>
          </w:tcPr>
          <w:p w14:paraId="03937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35千伏铁塔</w:t>
            </w:r>
          </w:p>
        </w:tc>
        <w:tc>
          <w:tcPr>
            <w:tcW w:w="825" w:type="dxa"/>
            <w:noWrap w:val="0"/>
            <w:vAlign w:val="center"/>
          </w:tcPr>
          <w:p w14:paraId="4B27C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基</w:t>
            </w:r>
          </w:p>
        </w:tc>
        <w:tc>
          <w:tcPr>
            <w:tcW w:w="1003" w:type="dxa"/>
            <w:noWrap w:val="0"/>
            <w:vAlign w:val="center"/>
          </w:tcPr>
          <w:p w14:paraId="1DD09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15000</w:t>
            </w:r>
          </w:p>
        </w:tc>
        <w:tc>
          <w:tcPr>
            <w:tcW w:w="4738" w:type="dxa"/>
            <w:noWrap w:val="0"/>
            <w:vAlign w:val="center"/>
          </w:tcPr>
          <w:p w14:paraId="3E484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以铁塔实际占地边界向四周延伸5米为征地范围</w:t>
            </w:r>
          </w:p>
        </w:tc>
      </w:tr>
      <w:tr w14:paraId="618F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6" w:type="dxa"/>
            <w:noWrap w:val="0"/>
            <w:vAlign w:val="center"/>
          </w:tcPr>
          <w:p w14:paraId="45FC1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110千伏铁塔</w:t>
            </w:r>
          </w:p>
        </w:tc>
        <w:tc>
          <w:tcPr>
            <w:tcW w:w="825" w:type="dxa"/>
            <w:noWrap w:val="0"/>
            <w:vAlign w:val="center"/>
          </w:tcPr>
          <w:p w14:paraId="4808B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基</w:t>
            </w:r>
          </w:p>
        </w:tc>
        <w:tc>
          <w:tcPr>
            <w:tcW w:w="1003" w:type="dxa"/>
            <w:noWrap w:val="0"/>
            <w:vAlign w:val="center"/>
          </w:tcPr>
          <w:p w14:paraId="0DC96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0000</w:t>
            </w:r>
          </w:p>
        </w:tc>
        <w:tc>
          <w:tcPr>
            <w:tcW w:w="4738" w:type="dxa"/>
            <w:noWrap w:val="0"/>
            <w:vAlign w:val="center"/>
          </w:tcPr>
          <w:p w14:paraId="5B41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以铁塔实际占地边界向外延伸5米为征地范围</w:t>
            </w:r>
          </w:p>
        </w:tc>
      </w:tr>
      <w:tr w14:paraId="3538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6" w:type="dxa"/>
            <w:noWrap w:val="0"/>
            <w:vAlign w:val="center"/>
          </w:tcPr>
          <w:p w14:paraId="01380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220千伏铁塔</w:t>
            </w:r>
          </w:p>
        </w:tc>
        <w:tc>
          <w:tcPr>
            <w:tcW w:w="825" w:type="dxa"/>
            <w:noWrap w:val="0"/>
            <w:vAlign w:val="center"/>
          </w:tcPr>
          <w:p w14:paraId="63F21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基</w:t>
            </w:r>
          </w:p>
        </w:tc>
        <w:tc>
          <w:tcPr>
            <w:tcW w:w="1003" w:type="dxa"/>
            <w:noWrap w:val="0"/>
            <w:vAlign w:val="center"/>
          </w:tcPr>
          <w:p w14:paraId="1B26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000</w:t>
            </w:r>
          </w:p>
        </w:tc>
        <w:tc>
          <w:tcPr>
            <w:tcW w:w="4738" w:type="dxa"/>
            <w:noWrap w:val="0"/>
            <w:vAlign w:val="center"/>
          </w:tcPr>
          <w:p w14:paraId="1A534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以铁塔实际占地边界向外延伸5米为征地范围</w:t>
            </w:r>
          </w:p>
        </w:tc>
      </w:tr>
      <w:tr w14:paraId="3501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6" w:type="dxa"/>
            <w:noWrap w:val="0"/>
            <w:vAlign w:val="center"/>
          </w:tcPr>
          <w:p w14:paraId="27014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500千伏以上铁塔</w:t>
            </w:r>
          </w:p>
        </w:tc>
        <w:tc>
          <w:tcPr>
            <w:tcW w:w="825" w:type="dxa"/>
            <w:noWrap w:val="0"/>
            <w:vAlign w:val="center"/>
          </w:tcPr>
          <w:p w14:paraId="7D936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基</w:t>
            </w:r>
          </w:p>
        </w:tc>
        <w:tc>
          <w:tcPr>
            <w:tcW w:w="1003" w:type="dxa"/>
            <w:noWrap w:val="0"/>
            <w:vAlign w:val="center"/>
          </w:tcPr>
          <w:p w14:paraId="151F9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0000</w:t>
            </w:r>
          </w:p>
        </w:tc>
        <w:tc>
          <w:tcPr>
            <w:tcW w:w="4738" w:type="dxa"/>
            <w:noWrap w:val="0"/>
            <w:vAlign w:val="center"/>
          </w:tcPr>
          <w:p w14:paraId="09CBB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以铁塔实际占地边界向外延伸5米为征地范围</w:t>
            </w:r>
          </w:p>
        </w:tc>
      </w:tr>
      <w:tr w14:paraId="6C8D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6" w:type="dxa"/>
            <w:noWrap w:val="0"/>
            <w:vAlign w:val="center"/>
          </w:tcPr>
          <w:p w14:paraId="2FAA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风机(含箱变)</w:t>
            </w:r>
          </w:p>
        </w:tc>
        <w:tc>
          <w:tcPr>
            <w:tcW w:w="825" w:type="dxa"/>
            <w:noWrap w:val="0"/>
            <w:vAlign w:val="center"/>
          </w:tcPr>
          <w:p w14:paraId="076A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基</w:t>
            </w:r>
          </w:p>
        </w:tc>
        <w:tc>
          <w:tcPr>
            <w:tcW w:w="1003" w:type="dxa"/>
            <w:noWrap w:val="0"/>
            <w:vAlign w:val="center"/>
          </w:tcPr>
          <w:p w14:paraId="39429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40000</w:t>
            </w:r>
          </w:p>
        </w:tc>
        <w:tc>
          <w:tcPr>
            <w:tcW w:w="4738" w:type="dxa"/>
            <w:noWrap w:val="0"/>
            <w:vAlign w:val="center"/>
          </w:tcPr>
          <w:p w14:paraId="53B0D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以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  <w:lang w:val="en-US" w:eastAsia="zh-CN"/>
              </w:rPr>
              <w:t>风机</w:t>
            </w: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实际占地边界向外延伸5米为征地范围</w:t>
            </w:r>
          </w:p>
        </w:tc>
      </w:tr>
      <w:tr w14:paraId="2A2A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6" w:type="dxa"/>
            <w:noWrap w:val="0"/>
            <w:vAlign w:val="center"/>
          </w:tcPr>
          <w:p w14:paraId="3A025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直埋电缆线</w:t>
            </w:r>
          </w:p>
        </w:tc>
        <w:tc>
          <w:tcPr>
            <w:tcW w:w="825" w:type="dxa"/>
            <w:noWrap w:val="0"/>
            <w:vAlign w:val="center"/>
          </w:tcPr>
          <w:p w14:paraId="12A88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420" w:firstLineChars="200"/>
              <w:jc w:val="both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  <w:tc>
          <w:tcPr>
            <w:tcW w:w="5741" w:type="dxa"/>
            <w:gridSpan w:val="2"/>
            <w:noWrap w:val="0"/>
            <w:vAlign w:val="center"/>
          </w:tcPr>
          <w:p w14:paraId="5C88A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以中心线两侧各1米范围内为永久征收土地范围，补偿标准按照区片综合地价执行。</w:t>
            </w:r>
          </w:p>
        </w:tc>
      </w:tr>
      <w:tr w14:paraId="617A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6" w:type="dxa"/>
            <w:noWrap w:val="0"/>
            <w:vAlign w:val="center"/>
          </w:tcPr>
          <w:p w14:paraId="10B88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电缆沟、电缆隧道</w:t>
            </w:r>
          </w:p>
        </w:tc>
        <w:tc>
          <w:tcPr>
            <w:tcW w:w="825" w:type="dxa"/>
            <w:noWrap w:val="0"/>
            <w:vAlign w:val="center"/>
          </w:tcPr>
          <w:p w14:paraId="507D1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420" w:firstLineChars="200"/>
              <w:jc w:val="both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</w:p>
        </w:tc>
        <w:tc>
          <w:tcPr>
            <w:tcW w:w="5741" w:type="dxa"/>
            <w:gridSpan w:val="2"/>
            <w:noWrap w:val="0"/>
            <w:vAlign w:val="center"/>
          </w:tcPr>
          <w:p w14:paraId="67AAB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baseline"/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按照实际占地边界两侧各1米范围内为永久征收土地范围，补偿标准按照区片综合地价执行。</w:t>
            </w:r>
          </w:p>
        </w:tc>
      </w:tr>
    </w:tbl>
    <w:p w14:paraId="060F3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</w:p>
    <w:p w14:paraId="179AD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书宋简体" w:hAnsi="方正书宋简体" w:eastAsia="方正书宋简体" w:cs="方正书宋简体"/>
          <w:sz w:val="21"/>
          <w:szCs w:val="21"/>
        </w:rPr>
        <w:t>一、如铁塔实际占地面积与相对应的区片地价标准计算后，补偿费高于表中补偿标准的，按实际占地面积及区片地价标准计算补偿。</w:t>
      </w:r>
    </w:p>
    <w:p w14:paraId="4404C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书宋简体" w:hAnsi="方正书宋简体" w:eastAsia="方正书宋简体" w:cs="方正书宋简体"/>
          <w:sz w:val="21"/>
          <w:szCs w:val="21"/>
        </w:rPr>
        <w:t>二、通信线路杆塔占地补偿标准参照上表执行。</w:t>
      </w:r>
    </w:p>
    <w:p w14:paraId="52651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exact"/>
        <w:ind w:firstLine="420" w:firstLineChars="200"/>
        <w:jc w:val="both"/>
        <w:textAlignment w:val="auto"/>
        <w:rPr>
          <w:rFonts w:hint="eastAsia" w:ascii="方正书宋简体" w:hAnsi="方正书宋简体" w:eastAsia="方正书宋简体" w:cs="方正书宋简体"/>
          <w:snapToGrid/>
          <w:color w:val="000000"/>
          <w:spacing w:val="0"/>
          <w:kern w:val="21"/>
          <w:position w:val="0"/>
          <w:sz w:val="21"/>
          <w:szCs w:val="21"/>
          <w:lang w:val="en-US" w:eastAsia="zh-CN" w:bidi="ar-SA"/>
        </w:rPr>
        <w:sectPr>
          <w:pgSz w:w="11905" w:h="16838"/>
          <w:pgMar w:top="1701" w:right="1247" w:bottom="1701" w:left="1247" w:header="10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448" w:charSpace="0"/>
        </w:sectPr>
      </w:pPr>
      <w:r>
        <w:rPr>
          <w:rFonts w:hint="eastAsia" w:ascii="方正书宋简体" w:hAnsi="方正书宋简体" w:eastAsia="方正书宋简体" w:cs="方正书宋简体"/>
          <w:sz w:val="21"/>
          <w:szCs w:val="21"/>
        </w:rPr>
        <w:t>三、</w:t>
      </w:r>
      <w:r>
        <w:rPr>
          <w:rFonts w:hint="eastAsia" w:ascii="方正书宋简体" w:hAnsi="方正书宋简体" w:eastAsia="方正书宋简体" w:cs="方正书宋简体"/>
          <w:spacing w:val="3"/>
          <w:sz w:val="21"/>
          <w:szCs w:val="21"/>
        </w:rPr>
        <w:t>10千伏及以下农网工程，只对损毁的地上附着物</w:t>
      </w:r>
      <w:r>
        <w:rPr>
          <w:rFonts w:hint="eastAsia" w:ascii="方正书宋简体" w:hAnsi="方正书宋简体" w:eastAsia="方正书宋简体" w:cs="方正书宋简体"/>
          <w:spacing w:val="3"/>
          <w:sz w:val="21"/>
          <w:szCs w:val="21"/>
          <w:lang w:val="en-US" w:eastAsia="zh-CN"/>
        </w:rPr>
        <w:t>(</w:t>
      </w:r>
      <w:r>
        <w:rPr>
          <w:rFonts w:hint="eastAsia" w:ascii="方正书宋简体" w:hAnsi="方正书宋简体" w:eastAsia="方正书宋简体" w:cs="方正书宋简体"/>
          <w:spacing w:val="3"/>
          <w:sz w:val="21"/>
          <w:szCs w:val="21"/>
        </w:rPr>
        <w:t>含青苗</w:t>
      </w:r>
      <w:r>
        <w:rPr>
          <w:rFonts w:hint="eastAsia" w:ascii="方正书宋简体" w:hAnsi="方正书宋简体" w:eastAsia="方正书宋简体" w:cs="方正书宋简体"/>
          <w:spacing w:val="3"/>
          <w:sz w:val="21"/>
          <w:szCs w:val="21"/>
          <w:lang w:val="en-US" w:eastAsia="zh-CN"/>
        </w:rPr>
        <w:t>)</w:t>
      </w:r>
      <w:r>
        <w:rPr>
          <w:rFonts w:hint="eastAsia" w:ascii="方正书宋简体" w:hAnsi="方正书宋简体" w:eastAsia="方正书宋简体" w:cs="方正书宋简体"/>
          <w:spacing w:val="3"/>
          <w:sz w:val="21"/>
          <w:szCs w:val="21"/>
        </w:rPr>
        <w:t>给予补偿，对杆塔及拉线占地不予补偿。</w:t>
      </w:r>
      <w:bookmarkStart w:id="0" w:name="_GoBack"/>
      <w:bookmarkEnd w:id="0"/>
    </w:p>
    <w:p w14:paraId="4564DA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FC0344-7D4D-4673-83D6-CD8ADF0005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91A38E-E0A3-4933-916B-EA34D0376D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02CF408-CD63-43F7-9AC8-6344DE8B4B8C}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13A3AA2-19B9-49EE-B6D7-3607A816E8F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97B92BB6-6B95-450D-8C80-40B6AA5F552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5564B21-97EF-40CD-9AA0-56066605A4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30756"/>
    <w:rsid w:val="01F3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Body Text First Indent 2"/>
    <w:basedOn w:val="6"/>
    <w:qFormat/>
    <w:uiPriority w:val="0"/>
    <w:pPr>
      <w:ind w:firstLine="420" w:firstLineChars="200"/>
    </w:pPr>
  </w:style>
  <w:style w:type="paragraph" w:customStyle="1" w:styleId="6">
    <w:name w:val="Body Text Indent"/>
    <w:basedOn w:val="1"/>
    <w:qFormat/>
    <w:uiPriority w:val="0"/>
    <w:pPr>
      <w:spacing w:after="120" w:afterLines="0"/>
      <w:ind w:left="420" w:leftChars="200"/>
    </w:pPr>
    <w:rPr>
      <w:rFonts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2025-10-27T08:42:00Z</dcterms:created>
  <dc:creator>aying</dc:creator>
  <cp:lastModifiedBy>aying</cp:lastModifiedBy>
  <dcterms:modified xsi:type="dcterms:W3CDTF">2025-10-27T08:43:04Z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F1F350CB7DE041EBA1A65CFCBE9AFE0A_11</vt:lpwstr>
  </property>
  <property fmtid="{D5CDD505-2E9C-101B-9397-08002B2CF9AE}" pid="4" name="KSOTemplateDocerSaveRecord">
    <vt:lpwstr>eyJoZGlkIjoiMjJkNTk5ODJkOWFhZjVjZTFiYmMzYzI2MjcwOWU1NGUiLCJ1c2VySWQiOiIxNzA4ODIyNTk1In0=</vt:lpwstr>
  </property>
</Properties>
</file>