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D6AE1">
      <w:pPr>
        <w:keepNext w:val="0"/>
        <w:keepLines w:val="0"/>
        <w:pageBreakBefore w:val="0"/>
        <w:widowControl w:val="0"/>
        <w:kinsoku/>
        <w:wordWrap/>
        <w:overflowPunct/>
        <w:topLinePunct w:val="0"/>
        <w:autoSpaceDE/>
        <w:autoSpaceDN/>
        <w:bidi w:val="0"/>
        <w:adjustRightInd/>
        <w:snapToGrid/>
        <w:spacing w:line="310" w:lineRule="exact"/>
        <w:textAlignment w:val="auto"/>
        <w:rPr>
          <w:rFonts w:hint="eastAsia" w:ascii="仿宋_GB2312" w:hAnsi="仿宋_GB2312" w:eastAsia="仿宋_GB2312" w:cs="仿宋_GB2312"/>
          <w:sz w:val="32"/>
          <w:szCs w:val="32"/>
          <w:lang w:val="en-US" w:eastAsia="zh-CN"/>
        </w:rPr>
      </w:pPr>
      <w:bookmarkStart w:id="0" w:name="_Toc26541"/>
      <w:bookmarkStart w:id="1" w:name="_Toc25348"/>
      <w:bookmarkStart w:id="2" w:name="_Toc22920"/>
      <w:bookmarkStart w:id="3" w:name="_Toc22653"/>
      <w:bookmarkStart w:id="4" w:name="_Toc28379"/>
      <w:bookmarkStart w:id="5" w:name="_Toc22028"/>
      <w:bookmarkStart w:id="6" w:name="_Toc2497"/>
      <w:bookmarkStart w:id="7" w:name="_Toc21061"/>
    </w:p>
    <w:p w14:paraId="0F2E8A7A">
      <w:pPr>
        <w:pageBreakBefore w:val="0"/>
        <w:wordWrap/>
        <w:overflowPunct/>
        <w:topLinePunct w:val="0"/>
        <w:bidi w:val="0"/>
        <w:adjustRightInd w:val="0"/>
        <w:snapToGrid w:val="0"/>
        <w:spacing w:before="240" w:after="60" w:line="560" w:lineRule="exact"/>
        <w:ind w:firstLine="0" w:firstLineChars="0"/>
        <w:jc w:val="center"/>
        <w:rPr>
          <w:rFonts w:hint="eastAsia" w:ascii="仿宋_GB2312" w:hAnsi="仿宋_GB2312" w:eastAsia="仿宋_GB2312" w:cs="仿宋_GB2312"/>
          <w:bCs/>
          <w:color w:val="auto"/>
          <w:sz w:val="44"/>
          <w:szCs w:val="44"/>
          <w:highlight w:val="none"/>
        </w:rPr>
      </w:pPr>
      <w:bookmarkStart w:id="8" w:name="_Toc89348581"/>
      <w:bookmarkStart w:id="9" w:name="_Toc132725928"/>
      <w:bookmarkStart w:id="10" w:name="_Toc132018440"/>
      <w:bookmarkStart w:id="11" w:name="_Toc91752444"/>
      <w:bookmarkStart w:id="12" w:name="_Toc132792089"/>
      <w:bookmarkStart w:id="13" w:name="_Toc134627837"/>
      <w:bookmarkStart w:id="14" w:name="_Toc98514034"/>
      <w:bookmarkStart w:id="15" w:name="_Toc135297692"/>
      <w:bookmarkStart w:id="16" w:name="_Toc89259917"/>
      <w:bookmarkStart w:id="17" w:name="_Toc136353982"/>
      <w:bookmarkStart w:id="18" w:name="_Toc98513950"/>
      <w:bookmarkStart w:id="19" w:name="_Toc132633443"/>
      <w:bookmarkStart w:id="20" w:name="_Toc89178566"/>
      <w:bookmarkStart w:id="21" w:name="_Toc91062221"/>
      <w:bookmarkStart w:id="22" w:name="_Toc135297356"/>
      <w:bookmarkStart w:id="23" w:name="_Toc89178478"/>
      <w:bookmarkStart w:id="24" w:name="_Toc132018738"/>
      <w:bookmarkStart w:id="380" w:name="_GoBack"/>
      <w:r>
        <w:rPr>
          <w:rFonts w:hint="eastAsia" w:ascii="仿宋_GB2312" w:hAnsi="仿宋_GB2312" w:eastAsia="仿宋_GB2312" w:cs="仿宋_GB2312"/>
          <w:bCs/>
          <w:color w:val="auto"/>
          <w:sz w:val="44"/>
          <w:szCs w:val="44"/>
          <w:highlight w:val="none"/>
        </w:rPr>
        <w:t>鄂托克旗应急避难场所专项规划</w:t>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02097D11">
      <w:pPr>
        <w:pageBreakBefore w:val="0"/>
        <w:wordWrap/>
        <w:overflowPunct/>
        <w:topLinePunct w:val="0"/>
        <w:bidi w:val="0"/>
        <w:adjustRightInd w:val="0"/>
        <w:snapToGrid w:val="0"/>
        <w:spacing w:before="240" w:after="60" w:line="560" w:lineRule="exact"/>
        <w:ind w:firstLine="0" w:firstLineChars="0"/>
        <w:jc w:val="center"/>
        <w:rPr>
          <w:rFonts w:hint="eastAsia" w:ascii="仿宋_GB2312" w:hAnsi="仿宋_GB2312" w:eastAsia="仿宋_GB2312" w:cs="仿宋_GB2312"/>
          <w:bCs/>
          <w:color w:val="auto"/>
          <w:sz w:val="44"/>
          <w:szCs w:val="44"/>
          <w:highlight w:val="none"/>
        </w:rPr>
      </w:pPr>
      <w:bookmarkStart w:id="25" w:name="_Toc132018739"/>
      <w:bookmarkStart w:id="26" w:name="_Toc98514035"/>
      <w:bookmarkStart w:id="27" w:name="_Toc89178567"/>
      <w:bookmarkStart w:id="28" w:name="_Toc91752445"/>
      <w:bookmarkStart w:id="29" w:name="_Toc89348582"/>
      <w:bookmarkStart w:id="30" w:name="_Toc132633445"/>
      <w:bookmarkStart w:id="31" w:name="_Toc98513951"/>
      <w:bookmarkStart w:id="32" w:name="_Toc134627839"/>
      <w:bookmarkStart w:id="33" w:name="_Toc91062222"/>
      <w:bookmarkStart w:id="34" w:name="_Toc132725930"/>
      <w:bookmarkStart w:id="35" w:name="_Toc135297694"/>
      <w:bookmarkStart w:id="36" w:name="_Toc135297358"/>
      <w:bookmarkStart w:id="37" w:name="_Toc132018441"/>
      <w:bookmarkStart w:id="38" w:name="_Toc136353984"/>
      <w:bookmarkStart w:id="39" w:name="_Toc132792091"/>
      <w:bookmarkStart w:id="40" w:name="_Toc89259918"/>
      <w:bookmarkStart w:id="41" w:name="_Toc89178479"/>
      <w:r>
        <w:rPr>
          <w:rFonts w:hint="eastAsia" w:ascii="仿宋_GB2312" w:hAnsi="仿宋_GB2312" w:eastAsia="仿宋_GB2312" w:cs="仿宋_GB2312"/>
          <w:bCs/>
          <w:color w:val="auto"/>
          <w:sz w:val="44"/>
          <w:szCs w:val="44"/>
          <w:highlight w:val="none"/>
        </w:rPr>
        <w:t>（202</w:t>
      </w:r>
      <w:r>
        <w:rPr>
          <w:rFonts w:hint="eastAsia" w:ascii="仿宋_GB2312" w:hAnsi="仿宋_GB2312" w:eastAsia="仿宋_GB2312" w:cs="仿宋_GB2312"/>
          <w:bCs/>
          <w:color w:val="auto"/>
          <w:sz w:val="44"/>
          <w:szCs w:val="44"/>
          <w:highlight w:val="none"/>
          <w:lang w:val="en-US" w:eastAsia="zh-CN"/>
        </w:rPr>
        <w:t>5年—</w:t>
      </w:r>
      <w:r>
        <w:rPr>
          <w:rFonts w:hint="eastAsia" w:ascii="仿宋_GB2312" w:hAnsi="仿宋_GB2312" w:eastAsia="仿宋_GB2312" w:cs="仿宋_GB2312"/>
          <w:bCs/>
          <w:color w:val="auto"/>
          <w:sz w:val="44"/>
          <w:szCs w:val="44"/>
          <w:highlight w:val="none"/>
        </w:rPr>
        <w:t>2035年）</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bookmarkEnd w:id="380"/>
    <w:p w14:paraId="2944FC20">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snapToGrid/>
          <w:color w:val="auto"/>
          <w:kern w:val="2"/>
          <w:sz w:val="44"/>
          <w:szCs w:val="44"/>
          <w:highlight w:val="none"/>
          <w:lang w:eastAsia="zh-CN"/>
        </w:rPr>
      </w:pPr>
      <w:r>
        <w:rPr>
          <w:rFonts w:hint="eastAsia" w:ascii="仿宋_GB2312" w:hAnsi="仿宋_GB2312" w:eastAsia="仿宋_GB2312" w:cs="仿宋_GB2312"/>
          <w:snapToGrid/>
          <w:color w:val="auto"/>
          <w:kern w:val="2"/>
          <w:sz w:val="44"/>
          <w:szCs w:val="44"/>
          <w:highlight w:val="none"/>
          <w:lang w:eastAsia="zh-CN"/>
        </w:rPr>
        <w:t>202</w:t>
      </w:r>
      <w:r>
        <w:rPr>
          <w:rFonts w:hint="eastAsia" w:ascii="仿宋_GB2312" w:hAnsi="仿宋_GB2312" w:eastAsia="仿宋_GB2312" w:cs="仿宋_GB2312"/>
          <w:snapToGrid/>
          <w:color w:val="auto"/>
          <w:kern w:val="2"/>
          <w:sz w:val="44"/>
          <w:szCs w:val="44"/>
          <w:highlight w:val="none"/>
          <w:lang w:val="en-US" w:eastAsia="zh-CN"/>
        </w:rPr>
        <w:t>5</w:t>
      </w:r>
      <w:r>
        <w:rPr>
          <w:rFonts w:hint="eastAsia" w:ascii="仿宋_GB2312" w:hAnsi="仿宋_GB2312" w:eastAsia="仿宋_GB2312" w:cs="仿宋_GB2312"/>
          <w:snapToGrid/>
          <w:color w:val="auto"/>
          <w:kern w:val="2"/>
          <w:sz w:val="44"/>
          <w:szCs w:val="44"/>
          <w:highlight w:val="none"/>
          <w:lang w:eastAsia="zh-CN"/>
        </w:rPr>
        <w:t>年</w:t>
      </w:r>
      <w:r>
        <w:rPr>
          <w:rFonts w:hint="eastAsia" w:ascii="仿宋_GB2312" w:hAnsi="仿宋_GB2312" w:eastAsia="仿宋_GB2312" w:cs="仿宋_GB2312"/>
          <w:snapToGrid/>
          <w:color w:val="auto"/>
          <w:kern w:val="2"/>
          <w:sz w:val="44"/>
          <w:szCs w:val="44"/>
          <w:highlight w:val="none"/>
          <w:lang w:val="en-US" w:eastAsia="zh-CN"/>
        </w:rPr>
        <w:t>12</w:t>
      </w:r>
      <w:r>
        <w:rPr>
          <w:rFonts w:hint="eastAsia" w:ascii="仿宋_GB2312" w:hAnsi="仿宋_GB2312" w:eastAsia="仿宋_GB2312" w:cs="仿宋_GB2312"/>
          <w:snapToGrid/>
          <w:color w:val="auto"/>
          <w:kern w:val="2"/>
          <w:sz w:val="44"/>
          <w:szCs w:val="44"/>
          <w:highlight w:val="none"/>
          <w:lang w:eastAsia="zh-CN"/>
        </w:rPr>
        <w:t>月</w:t>
      </w:r>
    </w:p>
    <w:p w14:paraId="42EEE90D">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560" w:lineRule="exact"/>
        <w:ind w:leftChars="0"/>
        <w:jc w:val="center"/>
        <w:textAlignment w:val="auto"/>
        <w:rPr>
          <w:rFonts w:hint="eastAsia" w:eastAsia="方正小标宋_GBK" w:asciiTheme="minorHAnsi" w:hAnsiTheme="minorHAnsi" w:cstheme="minorBidi"/>
          <w:b w:val="0"/>
          <w:bCs/>
          <w:snapToGrid/>
          <w:color w:val="auto"/>
          <w:sz w:val="36"/>
          <w:szCs w:val="36"/>
          <w:highlight w:val="none"/>
          <w:lang w:eastAsia="zh-CN"/>
        </w:rPr>
      </w:pPr>
      <w:bookmarkStart w:id="42" w:name="_Toc23403"/>
      <w:bookmarkStart w:id="43" w:name="_Toc24308"/>
      <w:bookmarkStart w:id="44" w:name="_Toc4362"/>
      <w:bookmarkStart w:id="45" w:name="_Toc29874"/>
      <w:bookmarkStart w:id="46" w:name="_Toc27402"/>
      <w:bookmarkStart w:id="47" w:name="_Toc29469"/>
      <w:bookmarkStart w:id="48" w:name="_Toc32511"/>
      <w:r>
        <w:rPr>
          <w:rFonts w:hint="eastAsia" w:ascii="仿宋_GB2312" w:hAnsi="仿宋_GB2312" w:eastAsia="仿宋_GB2312" w:cs="仿宋_GB2312"/>
          <w:b w:val="0"/>
          <w:bCs/>
          <w:snapToGrid/>
          <w:color w:val="auto"/>
          <w:sz w:val="44"/>
          <w:szCs w:val="44"/>
          <w:highlight w:val="none"/>
          <w:lang w:eastAsia="zh-CN"/>
        </w:rPr>
        <w:t>前言</w:t>
      </w:r>
      <w:bookmarkEnd w:id="42"/>
      <w:bookmarkEnd w:id="43"/>
      <w:bookmarkEnd w:id="44"/>
      <w:bookmarkEnd w:id="45"/>
      <w:bookmarkEnd w:id="46"/>
      <w:bookmarkEnd w:id="47"/>
      <w:bookmarkEnd w:id="48"/>
    </w:p>
    <w:p w14:paraId="3D01238A">
      <w:pPr>
        <w:pStyle w:val="25"/>
        <w:keepNext w:val="0"/>
        <w:keepLines w:val="0"/>
        <w:pageBreakBefore w:val="0"/>
        <w:widowControl w:val="0"/>
        <w:kinsoku/>
        <w:wordWrap/>
        <w:overflowPunct/>
        <w:topLinePunct w:val="0"/>
        <w:autoSpaceDE/>
        <w:autoSpaceDN/>
        <w:bidi w:val="0"/>
        <w:adjustRightInd w:val="0"/>
        <w:snapToGrid w:val="0"/>
        <w:spacing w:beforeAutospacing="0" w:line="310" w:lineRule="exact"/>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p>
    <w:p w14:paraId="78A5E47B">
      <w:pPr>
        <w:pStyle w:val="25"/>
        <w:keepNext w:val="0"/>
        <w:keepLines w:val="0"/>
        <w:pageBreakBefore w:val="0"/>
        <w:widowControl w:val="0"/>
        <w:kinsoku/>
        <w:wordWrap/>
        <w:overflowPunct/>
        <w:topLinePunct w:val="0"/>
        <w:autoSpaceDE/>
        <w:autoSpaceDN/>
        <w:bidi w:val="0"/>
        <w:adjustRightInd w:val="0"/>
        <w:snapToGrid w:val="0"/>
        <w:spacing w:beforeAutospacing="0" w:line="310" w:lineRule="exact"/>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p>
    <w:p w14:paraId="392846FF">
      <w:pPr>
        <w:pStyle w:val="25"/>
        <w:keepNext w:val="0"/>
        <w:keepLines w:val="0"/>
        <w:pageBreakBefore w:val="0"/>
        <w:widowControl w:val="0"/>
        <w:kinsoku/>
        <w:wordWrap/>
        <w:overflowPunct/>
        <w:topLinePunct w:val="0"/>
        <w:autoSpaceDE/>
        <w:autoSpaceDN/>
        <w:bidi w:val="0"/>
        <w:adjustRightInd w:val="0"/>
        <w:snapToGrid w:val="0"/>
        <w:spacing w:beforeAutospacing="0" w:line="310" w:lineRule="exact"/>
        <w:jc w:val="both"/>
        <w:textAlignment w:val="auto"/>
        <w:rPr>
          <w:rFonts w:hint="eastAsia" w:ascii="方正书宋简体" w:hAnsi="方正书宋简体" w:eastAsia="方正书宋简体" w:cs="方正书宋简体"/>
          <w:snapToGrid/>
          <w:color w:val="auto"/>
          <w:kern w:val="2"/>
          <w:sz w:val="21"/>
          <w:szCs w:val="21"/>
          <w:highlight w:val="none"/>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701" w:right="1247" w:bottom="1701" w:left="1247" w:header="850" w:footer="227" w:gutter="0"/>
          <w:pgNumType w:fmt="decimal"/>
          <w:cols w:space="425" w:num="1"/>
          <w:docGrid w:type="lines" w:linePitch="435" w:charSpace="0"/>
        </w:sectPr>
      </w:pPr>
    </w:p>
    <w:p w14:paraId="3950CAA0">
      <w:pPr>
        <w:pStyle w:val="25"/>
        <w:keepNext w:val="0"/>
        <w:keepLines w:val="0"/>
        <w:pageBreakBefore w:val="0"/>
        <w:widowControl w:val="0"/>
        <w:kinsoku/>
        <w:wordWrap/>
        <w:overflowPunct/>
        <w:topLinePunct w:val="0"/>
        <w:autoSpaceDE/>
        <w:autoSpaceDN/>
        <w:bidi w:val="0"/>
        <w:adjustRightInd w:val="0"/>
        <w:snapToGrid w:val="0"/>
        <w:spacing w:beforeAutospacing="0"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r>
        <w:rPr>
          <w:rFonts w:hint="eastAsia" w:ascii="方正书宋简体" w:hAnsi="方正书宋简体" w:eastAsia="方正书宋简体" w:cs="方正书宋简体"/>
          <w:snapToGrid/>
          <w:color w:val="auto"/>
          <w:kern w:val="2"/>
          <w:sz w:val="21"/>
          <w:szCs w:val="21"/>
          <w:highlight w:val="none"/>
          <w:lang w:eastAsia="zh-CN"/>
        </w:rPr>
        <w:t>应急避难场所是公共安全和应急管理的重要组成部分，是应对突发灾害和事故灾难，最大限度减少人员伤亡和财产损失、增强抵御灾害能力的有力保障。党的二十大以来，党中央、国务院高度重视应急避难场所建设和发展，要求坚持安全第一、预防为主、综合治理，建立大安全大应急框架，完善公共安全体系，推动公共安全治理模式向事前预防转型。提高防灾减灾救灾和重大突发公共事件处置保障能力，加强区域性应急力量建设。2023年7月31日，应急管理部、发展改革委等</w:t>
      </w:r>
      <w:r>
        <w:rPr>
          <w:rFonts w:hint="eastAsia" w:ascii="方正书宋简体" w:hAnsi="方正书宋简体" w:eastAsia="方正书宋简体" w:cs="方正书宋简体"/>
          <w:snapToGrid/>
          <w:color w:val="auto"/>
          <w:kern w:val="2"/>
          <w:sz w:val="21"/>
          <w:szCs w:val="21"/>
          <w:highlight w:val="none"/>
          <w:lang w:val="en-US" w:eastAsia="zh-CN"/>
        </w:rPr>
        <w:t>12</w:t>
      </w:r>
      <w:r>
        <w:rPr>
          <w:rFonts w:hint="eastAsia" w:ascii="方正书宋简体" w:hAnsi="方正书宋简体" w:eastAsia="方正书宋简体" w:cs="方正书宋简体"/>
          <w:snapToGrid/>
          <w:color w:val="auto"/>
          <w:kern w:val="2"/>
          <w:sz w:val="21"/>
          <w:szCs w:val="21"/>
          <w:highlight w:val="none"/>
          <w:lang w:eastAsia="zh-CN"/>
        </w:rPr>
        <w:t>部委联合印发《关于印发〈关于加强应急避难场所建设的指导意见〉的通知》（应急〔2023〕76号），提出：“到2025年，全面开展省、市、县</w:t>
      </w:r>
      <w:r>
        <w:rPr>
          <w:rFonts w:hint="eastAsia" w:ascii="方正书宋简体" w:hAnsi="方正书宋简体" w:eastAsia="方正书宋简体" w:cs="方正书宋简体"/>
          <w:snapToGrid/>
          <w:color w:val="auto"/>
          <w:kern w:val="2"/>
          <w:sz w:val="21"/>
          <w:szCs w:val="21"/>
          <w:highlight w:val="none"/>
          <w:lang w:val="en-US" w:eastAsia="zh-CN"/>
        </w:rPr>
        <w:t>（旗）</w:t>
      </w:r>
      <w:r>
        <w:rPr>
          <w:rFonts w:hint="eastAsia" w:ascii="方正书宋简体" w:hAnsi="方正书宋简体" w:eastAsia="方正书宋简体" w:cs="方正书宋简体"/>
          <w:snapToGrid/>
          <w:color w:val="auto"/>
          <w:kern w:val="2"/>
          <w:sz w:val="21"/>
          <w:szCs w:val="21"/>
          <w:highlight w:val="none"/>
          <w:lang w:eastAsia="zh-CN"/>
        </w:rPr>
        <w:t>应急避难场所专项规划编制，批复后纳入详细规划及国土空间规划‘一张图’，初步形成省、市、旗、乡镇（街道）和村（社区）五级应急避难场所布局，综合防灾减灾功能进一步夯实。到2035年底前，城乡布局合理、资源统筹共享、功能设施完备、平急（疫/战）综合利用、管理运维规范，与中国式现代化相适应的全国应急避难场所体系全面建立。”</w:t>
      </w:r>
    </w:p>
    <w:p w14:paraId="4F8A662B">
      <w:pPr>
        <w:pStyle w:val="25"/>
        <w:keepNext w:val="0"/>
        <w:keepLines w:val="0"/>
        <w:pageBreakBefore w:val="0"/>
        <w:widowControl w:val="0"/>
        <w:kinsoku/>
        <w:wordWrap/>
        <w:overflowPunct/>
        <w:topLinePunct w:val="0"/>
        <w:autoSpaceDE/>
        <w:autoSpaceDN/>
        <w:bidi w:val="0"/>
        <w:adjustRightInd w:val="0"/>
        <w:snapToGrid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r>
        <w:rPr>
          <w:rFonts w:hint="eastAsia" w:ascii="方正书宋简体" w:hAnsi="方正书宋简体" w:eastAsia="方正书宋简体" w:cs="方正书宋简体"/>
          <w:snapToGrid/>
          <w:color w:val="auto"/>
          <w:kern w:val="2"/>
          <w:sz w:val="21"/>
          <w:szCs w:val="21"/>
          <w:highlight w:val="none"/>
          <w:lang w:val="en-US" w:eastAsia="zh-CN"/>
        </w:rPr>
        <w:t>2023年8月23日</w:t>
      </w:r>
      <w:r>
        <w:rPr>
          <w:rFonts w:hint="eastAsia" w:ascii="方正书宋简体" w:hAnsi="方正书宋简体" w:eastAsia="方正书宋简体" w:cs="方正书宋简体"/>
          <w:snapToGrid/>
          <w:color w:val="auto"/>
          <w:kern w:val="2"/>
          <w:sz w:val="21"/>
          <w:szCs w:val="21"/>
          <w:highlight w:val="none"/>
          <w:lang w:eastAsia="zh-CN"/>
        </w:rPr>
        <w:t>自治区应急管理厅发布《关于加强应急避难场所建设的指导意见》（内应急字〔2023〕79号），要求各盟市结合本地实际制定专项规划，重点依据地理环境、人口分布和灾害风险进行场所选址与功能配置。文件强调“平灾结合、就近疏散”原则，推动应急避难场所与国土空间规划、人防工程等衔接。</w:t>
      </w:r>
    </w:p>
    <w:p w14:paraId="0E9E5445">
      <w:pPr>
        <w:pStyle w:val="25"/>
        <w:keepNext w:val="0"/>
        <w:keepLines w:val="0"/>
        <w:pageBreakBefore w:val="0"/>
        <w:widowControl w:val="0"/>
        <w:kinsoku/>
        <w:wordWrap/>
        <w:overflowPunct/>
        <w:topLinePunct w:val="0"/>
        <w:autoSpaceDE/>
        <w:autoSpaceDN/>
        <w:bidi w:val="0"/>
        <w:adjustRightInd w:val="0"/>
        <w:snapToGrid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r>
        <w:rPr>
          <w:rFonts w:hint="eastAsia" w:ascii="方正书宋简体" w:hAnsi="方正书宋简体" w:eastAsia="方正书宋简体" w:cs="方正书宋简体"/>
          <w:snapToGrid/>
          <w:color w:val="auto"/>
          <w:kern w:val="2"/>
          <w:sz w:val="21"/>
          <w:szCs w:val="21"/>
          <w:highlight w:val="none"/>
          <w:lang w:eastAsia="zh-CN"/>
        </w:rPr>
        <w:t>2025年3月，鄂尔多斯市召开应急避难场所专项规划编制推进会，邀请专家解读国家《应急避难场所专项规划编制指南》及分级分类标准。会议要求各旗区将应急避难场所纳入国土空间规划体系，并强化部门协同。</w:t>
      </w:r>
    </w:p>
    <w:p w14:paraId="77166C1E">
      <w:pPr>
        <w:pStyle w:val="25"/>
        <w:keepNext w:val="0"/>
        <w:keepLines w:val="0"/>
        <w:pageBreakBefore w:val="0"/>
        <w:widowControl w:val="0"/>
        <w:kinsoku/>
        <w:wordWrap/>
        <w:overflowPunct/>
        <w:topLinePunct w:val="0"/>
        <w:autoSpaceDE/>
        <w:autoSpaceDN/>
        <w:bidi w:val="0"/>
        <w:adjustRightInd w:val="0"/>
        <w:snapToGrid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r>
        <w:rPr>
          <w:rFonts w:hint="eastAsia" w:ascii="方正书宋简体" w:hAnsi="方正书宋简体" w:eastAsia="方正书宋简体" w:cs="方正书宋简体"/>
          <w:snapToGrid/>
          <w:color w:val="auto"/>
          <w:kern w:val="2"/>
          <w:sz w:val="21"/>
          <w:szCs w:val="21"/>
          <w:highlight w:val="none"/>
          <w:lang w:eastAsia="zh-CN"/>
        </w:rPr>
        <w:t>为贯彻落实习近平总书记关于防灾减灾救灾的重要指示，全面落实应急管理部等12部委《关于印发〈关于加强应急避难场所建设的指导意见〉的通知》（应急〔2023〕76号）文件精神，根据自治区应急管理厅2024年工作部署，结合</w:t>
      </w:r>
      <w:r>
        <w:rPr>
          <w:rFonts w:hint="eastAsia" w:ascii="方正书宋简体" w:hAnsi="方正书宋简体" w:eastAsia="方正书宋简体" w:cs="方正书宋简体"/>
          <w:snapToGrid/>
          <w:color w:val="auto"/>
          <w:kern w:val="2"/>
          <w:sz w:val="21"/>
          <w:szCs w:val="21"/>
          <w:highlight w:val="none"/>
          <w:lang w:val="en-US" w:eastAsia="zh-CN"/>
        </w:rPr>
        <w:t>鄂托克旗</w:t>
      </w:r>
      <w:r>
        <w:rPr>
          <w:rFonts w:hint="eastAsia" w:ascii="方正书宋简体" w:hAnsi="方正书宋简体" w:eastAsia="方正书宋简体" w:cs="方正书宋简体"/>
          <w:snapToGrid/>
          <w:color w:val="auto"/>
          <w:kern w:val="2"/>
          <w:sz w:val="21"/>
          <w:szCs w:val="21"/>
          <w:highlight w:val="none"/>
          <w:lang w:eastAsia="zh-CN"/>
        </w:rPr>
        <w:t>应急避难场所建设情况，开展《</w:t>
      </w:r>
      <w:r>
        <w:rPr>
          <w:rFonts w:hint="eastAsia" w:ascii="方正书宋简体" w:hAnsi="方正书宋简体" w:eastAsia="方正书宋简体" w:cs="方正书宋简体"/>
          <w:snapToGrid/>
          <w:color w:val="auto"/>
          <w:kern w:val="2"/>
          <w:sz w:val="21"/>
          <w:szCs w:val="21"/>
          <w:highlight w:val="none"/>
          <w:lang w:val="en-US" w:eastAsia="zh-CN"/>
        </w:rPr>
        <w:t>鄂托克旗</w:t>
      </w:r>
      <w:r>
        <w:rPr>
          <w:rFonts w:hint="eastAsia" w:ascii="方正书宋简体" w:hAnsi="方正书宋简体" w:eastAsia="方正书宋简体" w:cs="方正书宋简体"/>
          <w:snapToGrid/>
          <w:color w:val="auto"/>
          <w:kern w:val="2"/>
          <w:sz w:val="21"/>
          <w:szCs w:val="21"/>
          <w:highlight w:val="none"/>
          <w:lang w:eastAsia="zh-CN"/>
        </w:rPr>
        <w:t>应急避难场所专项规划》编制工作，指导应急避难场所科学布局、合理建设、灾害疏散引导等工作。</w:t>
      </w:r>
    </w:p>
    <w:p w14:paraId="6E10BACC">
      <w:pPr>
        <w:pStyle w:val="25"/>
        <w:keepNext w:val="0"/>
        <w:keepLines w:val="0"/>
        <w:pageBreakBefore w:val="0"/>
        <w:widowControl w:val="0"/>
        <w:kinsoku/>
        <w:wordWrap/>
        <w:overflowPunct/>
        <w:topLinePunct w:val="0"/>
        <w:autoSpaceDE/>
        <w:autoSpaceDN/>
        <w:bidi w:val="0"/>
        <w:adjustRightInd w:val="0"/>
        <w:snapToGrid w:val="0"/>
        <w:spacing w:beforeAutospacing="0" w:line="310" w:lineRule="exact"/>
        <w:jc w:val="both"/>
        <w:textAlignment w:val="auto"/>
        <w:rPr>
          <w:rFonts w:hint="eastAsia" w:eastAsia="仿宋_GB2312" w:cstheme="minorBidi"/>
          <w:snapToGrid/>
          <w:color w:val="auto"/>
          <w:kern w:val="2"/>
          <w:sz w:val="32"/>
          <w:highlight w:val="none"/>
          <w:lang w:eastAsia="zh-CN"/>
        </w:rPr>
        <w:sectPr>
          <w:type w:val="continuous"/>
          <w:pgSz w:w="11906" w:h="16838"/>
          <w:pgMar w:top="1701" w:right="1247" w:bottom="1701" w:left="1247" w:header="850" w:footer="227" w:gutter="0"/>
          <w:pgNumType w:fmt="decimal"/>
          <w:cols w:equalWidth="0" w:num="2">
            <w:col w:w="4493" w:space="425"/>
            <w:col w:w="4493"/>
          </w:cols>
          <w:docGrid w:type="lines" w:linePitch="435" w:charSpace="0"/>
        </w:sectPr>
      </w:pPr>
    </w:p>
    <w:p w14:paraId="31B7F7FF">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310" w:lineRule="exact"/>
        <w:ind w:left="0" w:leftChars="0" w:firstLine="0" w:firstLineChars="0"/>
        <w:jc w:val="center"/>
        <w:textAlignment w:val="auto"/>
        <w:rPr>
          <w:rFonts w:hint="eastAsia" w:ascii="方正书宋简体" w:hAnsi="方正书宋简体" w:eastAsia="方正书宋简体" w:cs="方正书宋简体"/>
          <w:b/>
          <w:bCs w:val="0"/>
          <w:snapToGrid/>
          <w:color w:val="auto"/>
          <w:sz w:val="21"/>
          <w:szCs w:val="21"/>
          <w:highlight w:val="none"/>
          <w:lang w:eastAsia="zh-CN"/>
        </w:rPr>
      </w:pPr>
      <w:r>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第一章       </w:t>
      </w:r>
      <w:r>
        <w:rPr>
          <w:rFonts w:hint="eastAsia" w:ascii="方正书宋简体" w:hAnsi="方正书宋简体" w:eastAsia="方正书宋简体" w:cs="方正书宋简体"/>
          <w:b/>
          <w:bCs w:val="0"/>
          <w:snapToGrid/>
          <w:color w:val="auto"/>
          <w:sz w:val="21"/>
          <w:szCs w:val="21"/>
          <w:highlight w:val="none"/>
          <w:lang w:eastAsia="zh-CN"/>
        </w:rPr>
        <w:t>总则</w:t>
      </w:r>
      <w:bookmarkEnd w:id="0"/>
      <w:bookmarkEnd w:id="1"/>
      <w:bookmarkEnd w:id="2"/>
      <w:bookmarkEnd w:id="3"/>
      <w:bookmarkEnd w:id="4"/>
      <w:bookmarkEnd w:id="5"/>
      <w:bookmarkEnd w:id="6"/>
      <w:bookmarkEnd w:id="7"/>
    </w:p>
    <w:p w14:paraId="6B2A9BFD">
      <w:pPr>
        <w:pageBreakBefore w:val="0"/>
        <w:wordWrap/>
        <w:overflowPunct/>
        <w:topLinePunct w:val="0"/>
        <w:bidi w:val="0"/>
        <w:spacing w:line="310" w:lineRule="exact"/>
        <w:rPr>
          <w:rFonts w:hint="eastAsia" w:ascii="方正书宋简体" w:hAnsi="方正书宋简体" w:eastAsia="方正书宋简体" w:cs="方正书宋简体"/>
          <w:sz w:val="21"/>
          <w:szCs w:val="21"/>
          <w:lang w:eastAsia="zh-CN"/>
        </w:rPr>
      </w:pPr>
    </w:p>
    <w:p w14:paraId="2B672C42">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sectPr>
          <w:footerReference r:id="rId11" w:type="default"/>
          <w:pgSz w:w="11906" w:h="16838"/>
          <w:pgMar w:top="1701" w:right="1247" w:bottom="1701" w:left="1247" w:header="850" w:footer="1109" w:gutter="0"/>
          <w:pgNumType w:fmt="decimal"/>
          <w:cols w:space="425" w:num="1"/>
        </w:sectPr>
      </w:pPr>
      <w:bookmarkStart w:id="49" w:name="bookmark36"/>
      <w:bookmarkEnd w:id="49"/>
      <w:bookmarkStart w:id="50" w:name="_Toc5464"/>
      <w:bookmarkStart w:id="51" w:name="_Toc23439"/>
      <w:bookmarkStart w:id="52" w:name="_Toc13461"/>
      <w:bookmarkStart w:id="53" w:name="_Toc305"/>
    </w:p>
    <w:p w14:paraId="3C9036D5">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第1条 </w:t>
      </w:r>
      <w:r>
        <w:rPr>
          <w:rFonts w:hint="eastAsia" w:ascii="方正书宋简体" w:hAnsi="方正书宋简体" w:eastAsia="方正书宋简体" w:cs="方正书宋简体"/>
          <w:b/>
          <w:bCs/>
          <w:snapToGrid/>
          <w:color w:val="auto"/>
          <w:kern w:val="2"/>
          <w:sz w:val="21"/>
          <w:szCs w:val="21"/>
          <w:highlight w:val="none"/>
          <w:lang w:val="en-US" w:eastAsia="zh-CN"/>
        </w:rPr>
        <w:t>指导思想</w:t>
      </w:r>
      <w:bookmarkEnd w:id="50"/>
      <w:bookmarkEnd w:id="51"/>
      <w:bookmarkEnd w:id="52"/>
      <w:bookmarkEnd w:id="53"/>
    </w:p>
    <w:p w14:paraId="215650A4">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r>
        <w:rPr>
          <w:rFonts w:hint="eastAsia" w:ascii="方正书宋简体" w:hAnsi="方正书宋简体" w:eastAsia="方正书宋简体" w:cs="方正书宋简体"/>
          <w:snapToGrid/>
          <w:color w:val="auto"/>
          <w:kern w:val="2"/>
          <w:sz w:val="21"/>
          <w:szCs w:val="21"/>
          <w:highlight w:val="none"/>
          <w:lang w:eastAsia="zh-CN"/>
        </w:rPr>
        <w:t>以习近平新时代中国特色社会主义思想为指导，全面贯彻党的二十大</w:t>
      </w:r>
      <w:r>
        <w:rPr>
          <w:rFonts w:hint="eastAsia" w:ascii="方正书宋简体" w:hAnsi="方正书宋简体" w:eastAsia="方正书宋简体" w:cs="方正书宋简体"/>
          <w:snapToGrid/>
          <w:color w:val="auto"/>
          <w:kern w:val="2"/>
          <w:sz w:val="21"/>
          <w:szCs w:val="21"/>
          <w:highlight w:val="none"/>
          <w:lang w:val="en-US" w:eastAsia="zh-CN"/>
        </w:rPr>
        <w:t>和二十届历次全会</w:t>
      </w:r>
      <w:r>
        <w:rPr>
          <w:rFonts w:hint="eastAsia" w:ascii="方正书宋简体" w:hAnsi="方正书宋简体" w:eastAsia="方正书宋简体" w:cs="方正书宋简体"/>
          <w:snapToGrid/>
          <w:color w:val="auto"/>
          <w:kern w:val="2"/>
          <w:sz w:val="21"/>
          <w:szCs w:val="21"/>
          <w:highlight w:val="none"/>
          <w:lang w:eastAsia="zh-CN"/>
        </w:rPr>
        <w:t>精神，以实施民生重大工程为载体，坚持以人民为中心，把人民生命财产安全放在首位，实行预防为主，防御与救助相结合的方针，以现有公共设施场地为基础，持续推进覆盖全域的应急避难设施建设，全面提升城市综合防御突发事件的能力，筑牢防灾减灾救灾的人民防线。</w:t>
      </w:r>
    </w:p>
    <w:p w14:paraId="024483A1">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54" w:name="_Toc8823"/>
      <w:bookmarkStart w:id="55" w:name="_Toc7324"/>
      <w:bookmarkStart w:id="56" w:name="_Toc6361"/>
      <w:bookmarkStart w:id="57" w:name="_Toc31174"/>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第2条 </w:t>
      </w:r>
      <w:r>
        <w:rPr>
          <w:rFonts w:hint="eastAsia" w:ascii="方正书宋简体" w:hAnsi="方正书宋简体" w:eastAsia="方正书宋简体" w:cs="方正书宋简体"/>
          <w:b/>
          <w:bCs/>
          <w:snapToGrid/>
          <w:color w:val="auto"/>
          <w:kern w:val="2"/>
          <w:sz w:val="21"/>
          <w:szCs w:val="21"/>
          <w:highlight w:val="none"/>
          <w:lang w:val="en-US" w:eastAsia="zh-CN"/>
        </w:rPr>
        <w:t>规划原则</w:t>
      </w:r>
      <w:bookmarkEnd w:id="54"/>
      <w:bookmarkEnd w:id="55"/>
      <w:bookmarkEnd w:id="56"/>
      <w:bookmarkEnd w:id="57"/>
    </w:p>
    <w:p w14:paraId="50AF7E1E">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bookmarkStart w:id="58" w:name="_Toc13434"/>
      <w:bookmarkStart w:id="59" w:name="_Toc25445"/>
      <w:bookmarkStart w:id="60" w:name="_Toc24852"/>
      <w:bookmarkStart w:id="61" w:name="_Toc6200"/>
      <w:bookmarkStart w:id="62" w:name="_Toc11641"/>
      <w:bookmarkStart w:id="63" w:name="_Toc24333"/>
      <w:r>
        <w:rPr>
          <w:rFonts w:hint="eastAsia" w:ascii="方正书宋简体" w:hAnsi="方正书宋简体" w:eastAsia="方正书宋简体" w:cs="方正书宋简体"/>
          <w:b/>
          <w:bCs/>
          <w:snapToGrid/>
          <w:color w:val="auto"/>
          <w:kern w:val="0"/>
          <w:sz w:val="21"/>
          <w:szCs w:val="21"/>
          <w:highlight w:val="none"/>
          <w:lang w:eastAsia="zh-CN" w:bidi="ar"/>
        </w:rPr>
        <w:t>贯彻新发展要求</w:t>
      </w:r>
      <w:bookmarkEnd w:id="58"/>
      <w:bookmarkEnd w:id="59"/>
      <w:bookmarkEnd w:id="60"/>
      <w:bookmarkEnd w:id="61"/>
      <w:bookmarkEnd w:id="62"/>
      <w:bookmarkEnd w:id="63"/>
      <w:r>
        <w:rPr>
          <w:rFonts w:hint="eastAsia" w:ascii="方正书宋简体" w:hAnsi="方正书宋简体" w:eastAsia="方正书宋简体" w:cs="方正书宋简体"/>
          <w:b/>
          <w:bCs/>
          <w:snapToGrid/>
          <w:color w:val="auto"/>
          <w:kern w:val="0"/>
          <w:sz w:val="21"/>
          <w:szCs w:val="21"/>
          <w:highlight w:val="none"/>
          <w:lang w:eastAsia="zh-CN" w:bidi="ar"/>
        </w:rPr>
        <w:t>。</w:t>
      </w:r>
      <w:r>
        <w:rPr>
          <w:rFonts w:hint="eastAsia" w:ascii="方正书宋简体" w:hAnsi="方正书宋简体" w:eastAsia="方正书宋简体" w:cs="方正书宋简体"/>
          <w:snapToGrid/>
          <w:color w:val="auto"/>
          <w:kern w:val="2"/>
          <w:sz w:val="21"/>
          <w:szCs w:val="21"/>
          <w:highlight w:val="none"/>
          <w:lang w:eastAsia="zh-CN"/>
        </w:rPr>
        <w:t>坚持以人民为中心的发展思想，坚持“人民至上、生命至上”，坚持底线思维、极限思维，适应建立大安全大应急框架和健全完善国家应急管理体系新任务新要求，统筹发展和安全，最大限度保障人民群众生命安全和维护社会稳定。</w:t>
      </w:r>
    </w:p>
    <w:p w14:paraId="1DB33B71">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bookmarkStart w:id="64" w:name="_Toc6388"/>
      <w:bookmarkStart w:id="65" w:name="_Toc19667"/>
      <w:bookmarkStart w:id="66" w:name="_Toc12705"/>
      <w:bookmarkStart w:id="67" w:name="_Toc17685"/>
      <w:bookmarkStart w:id="68" w:name="_Toc17935"/>
      <w:bookmarkStart w:id="69" w:name="_Toc1063"/>
      <w:r>
        <w:rPr>
          <w:rFonts w:hint="eastAsia" w:ascii="方正书宋简体" w:hAnsi="方正书宋简体" w:eastAsia="方正书宋简体" w:cs="方正书宋简体"/>
          <w:b/>
          <w:bCs/>
          <w:snapToGrid/>
          <w:color w:val="auto"/>
          <w:kern w:val="0"/>
          <w:sz w:val="21"/>
          <w:szCs w:val="21"/>
          <w:highlight w:val="none"/>
          <w:lang w:eastAsia="zh-CN" w:bidi="ar"/>
        </w:rPr>
        <w:t>强化规划指导作用</w:t>
      </w:r>
      <w:bookmarkEnd w:id="64"/>
      <w:bookmarkEnd w:id="65"/>
      <w:bookmarkEnd w:id="66"/>
      <w:bookmarkEnd w:id="67"/>
      <w:bookmarkEnd w:id="68"/>
      <w:bookmarkEnd w:id="69"/>
      <w:r>
        <w:rPr>
          <w:rFonts w:hint="eastAsia" w:ascii="方正书宋简体" w:hAnsi="方正书宋简体" w:eastAsia="方正书宋简体" w:cs="方正书宋简体"/>
          <w:b/>
          <w:bCs/>
          <w:snapToGrid/>
          <w:color w:val="auto"/>
          <w:kern w:val="0"/>
          <w:sz w:val="21"/>
          <w:szCs w:val="21"/>
          <w:highlight w:val="none"/>
          <w:lang w:eastAsia="zh-CN" w:bidi="ar"/>
        </w:rPr>
        <w:t>。</w:t>
      </w:r>
      <w:r>
        <w:rPr>
          <w:rFonts w:hint="eastAsia" w:ascii="方正书宋简体" w:hAnsi="方正书宋简体" w:eastAsia="方正书宋简体" w:cs="方正书宋简体"/>
          <w:snapToGrid/>
          <w:color w:val="auto"/>
          <w:kern w:val="2"/>
          <w:sz w:val="21"/>
          <w:szCs w:val="21"/>
          <w:highlight w:val="none"/>
          <w:lang w:eastAsia="zh-CN"/>
        </w:rPr>
        <w:t>将编制应急避难场所专项规划作为科学合理规划、高标准建设应急避难场所的必要前提，坚持需求导向、问题导向、目标导向，突出分级分类，科学规划设计本行政区适宜级别类型的应急避难场所，增强规划的针对性、科学性、指导性和可实施性。</w:t>
      </w:r>
    </w:p>
    <w:p w14:paraId="2B2504EB">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bookmarkStart w:id="70" w:name="_Toc1308"/>
      <w:bookmarkStart w:id="71" w:name="_Toc17756"/>
      <w:bookmarkStart w:id="72" w:name="_Toc18255"/>
      <w:bookmarkStart w:id="73" w:name="_Toc31275"/>
      <w:bookmarkStart w:id="74" w:name="_Toc8283"/>
      <w:bookmarkStart w:id="75" w:name="_Toc11637"/>
      <w:r>
        <w:rPr>
          <w:rFonts w:hint="eastAsia" w:ascii="方正书宋简体" w:hAnsi="方正书宋简体" w:eastAsia="方正书宋简体" w:cs="方正书宋简体"/>
          <w:b/>
          <w:bCs/>
          <w:snapToGrid/>
          <w:color w:val="auto"/>
          <w:kern w:val="0"/>
          <w:sz w:val="21"/>
          <w:szCs w:val="21"/>
          <w:highlight w:val="none"/>
          <w:lang w:eastAsia="zh-CN" w:bidi="ar"/>
        </w:rPr>
        <w:t>突出区域风险特征</w:t>
      </w:r>
      <w:bookmarkEnd w:id="70"/>
      <w:bookmarkEnd w:id="71"/>
      <w:bookmarkEnd w:id="72"/>
      <w:bookmarkEnd w:id="73"/>
      <w:bookmarkEnd w:id="74"/>
      <w:bookmarkEnd w:id="75"/>
      <w:r>
        <w:rPr>
          <w:rFonts w:hint="eastAsia" w:ascii="方正书宋简体" w:hAnsi="方正书宋简体" w:eastAsia="方正书宋简体" w:cs="方正书宋简体"/>
          <w:b/>
          <w:bCs/>
          <w:snapToGrid/>
          <w:color w:val="auto"/>
          <w:kern w:val="0"/>
          <w:sz w:val="21"/>
          <w:szCs w:val="21"/>
          <w:highlight w:val="none"/>
          <w:lang w:eastAsia="zh-CN" w:bidi="ar"/>
        </w:rPr>
        <w:t>。</w:t>
      </w:r>
      <w:r>
        <w:rPr>
          <w:rFonts w:hint="eastAsia" w:ascii="方正书宋简体" w:hAnsi="方正书宋简体" w:eastAsia="方正书宋简体" w:cs="方正书宋简体"/>
          <w:snapToGrid/>
          <w:color w:val="auto"/>
          <w:kern w:val="2"/>
          <w:sz w:val="21"/>
          <w:szCs w:val="21"/>
          <w:highlight w:val="none"/>
          <w:lang w:eastAsia="zh-CN"/>
        </w:rPr>
        <w:t>突出不同区域特点和灾害事故特征，充分考虑</w:t>
      </w:r>
      <w:r>
        <w:rPr>
          <w:rFonts w:hint="eastAsia" w:ascii="方正书宋简体" w:hAnsi="方正书宋简体" w:eastAsia="方正书宋简体" w:cs="方正书宋简体"/>
          <w:snapToGrid/>
          <w:color w:val="auto"/>
          <w:kern w:val="2"/>
          <w:sz w:val="21"/>
          <w:szCs w:val="21"/>
          <w:highlight w:val="none"/>
          <w:lang w:val="en-US" w:eastAsia="zh-CN"/>
        </w:rPr>
        <w:t>全旗</w:t>
      </w:r>
      <w:r>
        <w:rPr>
          <w:rFonts w:hint="eastAsia" w:ascii="方正书宋简体" w:hAnsi="方正书宋简体" w:eastAsia="方正书宋简体" w:cs="方正书宋简体"/>
          <w:snapToGrid/>
          <w:color w:val="auto"/>
          <w:kern w:val="2"/>
          <w:sz w:val="21"/>
          <w:szCs w:val="21"/>
          <w:highlight w:val="none"/>
          <w:lang w:eastAsia="zh-CN"/>
        </w:rPr>
        <w:t>地理地质环境、气象水文条件和人口分布、土地资源、城乡产业布局、公共设施与场地空间等因素，做好本行政区安全风险分析，合理确定应急避难需求。</w:t>
      </w:r>
    </w:p>
    <w:p w14:paraId="382DAF62">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bookmarkStart w:id="76" w:name="_Toc24955"/>
      <w:bookmarkStart w:id="77" w:name="_Toc18677"/>
      <w:bookmarkStart w:id="78" w:name="_Toc28919"/>
      <w:bookmarkStart w:id="79" w:name="_Toc19745"/>
      <w:bookmarkStart w:id="80" w:name="_Toc12974"/>
      <w:bookmarkStart w:id="81" w:name="_Toc27701"/>
      <w:r>
        <w:rPr>
          <w:rFonts w:hint="eastAsia" w:ascii="方正书宋简体" w:hAnsi="方正书宋简体" w:eastAsia="方正书宋简体" w:cs="方正书宋简体"/>
          <w:b/>
          <w:bCs/>
          <w:snapToGrid/>
          <w:color w:val="auto"/>
          <w:kern w:val="0"/>
          <w:sz w:val="21"/>
          <w:szCs w:val="21"/>
          <w:highlight w:val="none"/>
          <w:lang w:eastAsia="zh-CN" w:bidi="ar"/>
        </w:rPr>
        <w:t>统筹资源共建共用</w:t>
      </w:r>
      <w:bookmarkEnd w:id="76"/>
      <w:bookmarkEnd w:id="77"/>
      <w:bookmarkEnd w:id="78"/>
      <w:bookmarkEnd w:id="79"/>
      <w:bookmarkEnd w:id="80"/>
      <w:bookmarkEnd w:id="81"/>
      <w:r>
        <w:rPr>
          <w:rFonts w:hint="eastAsia" w:ascii="方正书宋简体" w:hAnsi="方正书宋简体" w:eastAsia="方正书宋简体" w:cs="方正书宋简体"/>
          <w:b/>
          <w:bCs/>
          <w:snapToGrid/>
          <w:color w:val="auto"/>
          <w:kern w:val="0"/>
          <w:sz w:val="21"/>
          <w:szCs w:val="21"/>
          <w:highlight w:val="none"/>
          <w:lang w:eastAsia="zh-CN" w:bidi="ar"/>
        </w:rPr>
        <w:t>。</w:t>
      </w:r>
      <w:r>
        <w:rPr>
          <w:rFonts w:hint="eastAsia" w:ascii="方正书宋简体" w:hAnsi="方正书宋简体" w:eastAsia="方正书宋简体" w:cs="方正书宋简体"/>
          <w:snapToGrid/>
          <w:color w:val="auto"/>
          <w:kern w:val="2"/>
          <w:sz w:val="21"/>
          <w:szCs w:val="21"/>
          <w:highlight w:val="none"/>
          <w:lang w:eastAsia="zh-CN"/>
        </w:rPr>
        <w:t>融入新型城镇化、乡村振兴战略等，积极推进应急避难场所平急、平疫、平战结合，加强防灾防疫防空应急避难资源，以及公共文化、教育、体育、旅游和城乡基础设施等融合共建共用。</w:t>
      </w:r>
    </w:p>
    <w:p w14:paraId="0D4ECF2B">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0"/>
          <w:sz w:val="21"/>
          <w:szCs w:val="21"/>
          <w:highlight w:val="none"/>
          <w:lang w:val="en-US" w:eastAsia="zh-CN" w:bidi="ar"/>
        </w:rPr>
      </w:pPr>
      <w:r>
        <w:rPr>
          <w:rFonts w:hint="eastAsia" w:ascii="方正书宋简体" w:hAnsi="方正书宋简体" w:eastAsia="方正书宋简体" w:cs="方正书宋简体"/>
          <w:b/>
          <w:bCs/>
          <w:snapToGrid/>
          <w:color w:val="auto"/>
          <w:kern w:val="0"/>
          <w:sz w:val="21"/>
          <w:szCs w:val="21"/>
          <w:highlight w:val="none"/>
          <w:lang w:val="en-US" w:eastAsia="zh-CN" w:bidi="ar"/>
        </w:rPr>
        <w:t>坚持近远期分步实施。</w:t>
      </w:r>
      <w:r>
        <w:rPr>
          <w:rFonts w:hint="eastAsia" w:ascii="方正书宋简体" w:hAnsi="方正书宋简体" w:eastAsia="方正书宋简体" w:cs="方正书宋简体"/>
          <w:snapToGrid/>
          <w:color w:val="auto"/>
          <w:kern w:val="2"/>
          <w:sz w:val="21"/>
          <w:szCs w:val="21"/>
          <w:highlight w:val="none"/>
          <w:lang w:val="en-US" w:eastAsia="zh-CN"/>
        </w:rPr>
        <w:t>以国土空间总体规划为基础，以近远期分步实施为路径，逐步保障城乡安全应急避难场所有效实施。</w:t>
      </w:r>
    </w:p>
    <w:p w14:paraId="63213962">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82" w:name="_Toc31930"/>
      <w:bookmarkStart w:id="83" w:name="_Toc26652"/>
      <w:bookmarkStart w:id="84" w:name="_Toc17142"/>
      <w:bookmarkStart w:id="85" w:name="_Toc32134"/>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第3条 </w:t>
      </w:r>
      <w:r>
        <w:rPr>
          <w:rFonts w:hint="eastAsia" w:ascii="方正书宋简体" w:hAnsi="方正书宋简体" w:eastAsia="方正书宋简体" w:cs="方正书宋简体"/>
          <w:b/>
          <w:bCs/>
          <w:snapToGrid/>
          <w:color w:val="auto"/>
          <w:kern w:val="2"/>
          <w:sz w:val="21"/>
          <w:szCs w:val="21"/>
          <w:highlight w:val="none"/>
          <w:lang w:val="en-US" w:eastAsia="zh-CN"/>
        </w:rPr>
        <w:t>规划依据</w:t>
      </w:r>
      <w:bookmarkEnd w:id="82"/>
      <w:bookmarkEnd w:id="83"/>
      <w:bookmarkEnd w:id="84"/>
      <w:bookmarkEnd w:id="85"/>
    </w:p>
    <w:p w14:paraId="7B1BF30F">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lang w:eastAsia="zh-CN"/>
        </w:rPr>
      </w:pPr>
      <w:bookmarkStart w:id="86" w:name="_Toc16772"/>
      <w:bookmarkStart w:id="87" w:name="_Toc9"/>
      <w:bookmarkStart w:id="88" w:name="_Toc594"/>
      <w:r>
        <w:rPr>
          <w:rFonts w:hint="eastAsia" w:ascii="方正书宋简体" w:hAnsi="方正书宋简体" w:eastAsia="方正书宋简体" w:cs="方正书宋简体"/>
          <w:b/>
          <w:bCs/>
          <w:snapToGrid/>
          <w:color w:val="auto"/>
          <w:kern w:val="2"/>
          <w:sz w:val="21"/>
          <w:szCs w:val="21"/>
          <w:highlight w:val="none"/>
          <w:lang w:val="en-US" w:eastAsia="zh-CN"/>
        </w:rPr>
        <w:t>（一）法律法规</w:t>
      </w:r>
      <w:bookmarkEnd w:id="86"/>
      <w:bookmarkEnd w:id="87"/>
      <w:bookmarkEnd w:id="88"/>
    </w:p>
    <w:p w14:paraId="436FEA5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0" w:leftChars="0" w:firstLine="412" w:firstLineChars="20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1</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《中华人民共和国土地管理法》（2019年修正）；</w:t>
      </w:r>
    </w:p>
    <w:p w14:paraId="2777203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0" w:leftChars="0" w:firstLine="412" w:firstLineChars="200"/>
        <w:jc w:val="both"/>
        <w:textAlignment w:val="baseline"/>
        <w:rPr>
          <w:rFonts w:hint="eastAsia" w:ascii="方正书宋简体" w:hAnsi="方正书宋简体" w:eastAsia="方正书宋简体" w:cs="方正书宋简体"/>
          <w:color w:val="auto"/>
          <w:spacing w:val="-2"/>
          <w:w w:val="100"/>
          <w:sz w:val="21"/>
          <w:szCs w:val="21"/>
          <w:highlight w:val="none"/>
        </w:rPr>
      </w:pPr>
      <w:r>
        <w:rPr>
          <w:rFonts w:hint="eastAsia" w:ascii="方正书宋简体" w:hAnsi="方正书宋简体" w:eastAsia="方正书宋简体" w:cs="方正书宋简体"/>
          <w:snapToGrid w:val="0"/>
          <w:color w:val="auto"/>
          <w:spacing w:val="-2"/>
          <w:w w:val="100"/>
          <w:kern w:val="0"/>
          <w:sz w:val="21"/>
          <w:szCs w:val="21"/>
          <w:lang w:val="en-US" w:eastAsia="en-US" w:bidi="ar-SA"/>
        </w:rPr>
        <w:t>2</w:t>
      </w:r>
      <w:r>
        <w:rPr>
          <w:rFonts w:hint="eastAsia" w:ascii="方正书宋简体" w:hAnsi="方正书宋简体" w:eastAsia="方正书宋简体" w:cs="方正书宋简体"/>
          <w:snapToGrid w:val="0"/>
          <w:color w:val="auto"/>
          <w:spacing w:val="-2"/>
          <w:w w:val="100"/>
          <w:kern w:val="0"/>
          <w:sz w:val="21"/>
          <w:szCs w:val="21"/>
          <w:lang w:val="en-US" w:eastAsia="zh-CN" w:bidi="ar-SA"/>
        </w:rPr>
        <w:t>.</w:t>
      </w:r>
      <w:r>
        <w:rPr>
          <w:rFonts w:hint="eastAsia" w:ascii="方正书宋简体" w:hAnsi="方正书宋简体" w:eastAsia="方正书宋简体" w:cs="方正书宋简体"/>
          <w:color w:val="auto"/>
          <w:spacing w:val="-2"/>
          <w:w w:val="100"/>
          <w:sz w:val="21"/>
          <w:szCs w:val="21"/>
          <w:highlight w:val="none"/>
        </w:rPr>
        <w:t>《中华人民共和国城乡规划法》（2019年修正）；</w:t>
      </w:r>
    </w:p>
    <w:p w14:paraId="4819E41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0" w:leftChars="0" w:firstLine="412" w:firstLineChars="200"/>
        <w:jc w:val="both"/>
        <w:textAlignment w:val="baseline"/>
        <w:rPr>
          <w:rFonts w:hint="eastAsia" w:ascii="方正书宋简体" w:hAnsi="方正书宋简体" w:eastAsia="方正书宋简体" w:cs="方正书宋简体"/>
          <w:color w:val="auto"/>
          <w:spacing w:val="-2"/>
          <w:w w:val="100"/>
          <w:sz w:val="21"/>
          <w:szCs w:val="21"/>
          <w:highlight w:val="none"/>
        </w:rPr>
      </w:pPr>
      <w:r>
        <w:rPr>
          <w:rFonts w:hint="eastAsia" w:ascii="方正书宋简体" w:hAnsi="方正书宋简体" w:eastAsia="方正书宋简体" w:cs="方正书宋简体"/>
          <w:snapToGrid w:val="0"/>
          <w:color w:val="auto"/>
          <w:spacing w:val="-2"/>
          <w:w w:val="100"/>
          <w:kern w:val="0"/>
          <w:sz w:val="21"/>
          <w:szCs w:val="21"/>
          <w:lang w:val="en-US" w:eastAsia="en-US" w:bidi="ar-SA"/>
        </w:rPr>
        <w:t>3</w:t>
      </w:r>
      <w:r>
        <w:rPr>
          <w:rFonts w:hint="eastAsia" w:ascii="方正书宋简体" w:hAnsi="方正书宋简体" w:eastAsia="方正书宋简体" w:cs="方正书宋简体"/>
          <w:snapToGrid w:val="0"/>
          <w:color w:val="auto"/>
          <w:spacing w:val="-2"/>
          <w:w w:val="100"/>
          <w:kern w:val="0"/>
          <w:sz w:val="21"/>
          <w:szCs w:val="21"/>
          <w:lang w:val="en-US" w:eastAsia="zh-CN" w:bidi="ar-SA"/>
        </w:rPr>
        <w:t>.</w:t>
      </w:r>
      <w:r>
        <w:rPr>
          <w:rFonts w:hint="eastAsia" w:ascii="方正书宋简体" w:hAnsi="方正书宋简体" w:eastAsia="方正书宋简体" w:cs="方正书宋简体"/>
          <w:color w:val="auto"/>
          <w:spacing w:val="-2"/>
          <w:w w:val="100"/>
          <w:sz w:val="21"/>
          <w:szCs w:val="21"/>
          <w:highlight w:val="none"/>
        </w:rPr>
        <w:t>《中华人民共和国环境保护法》（2014年修订）；</w:t>
      </w:r>
    </w:p>
    <w:p w14:paraId="5ECA555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0" w:leftChars="0" w:firstLine="412" w:firstLineChars="200"/>
        <w:jc w:val="both"/>
        <w:textAlignment w:val="baseline"/>
        <w:rPr>
          <w:rFonts w:hint="eastAsia" w:ascii="方正书宋简体" w:hAnsi="方正书宋简体" w:eastAsia="方正书宋简体" w:cs="方正书宋简体"/>
          <w:color w:val="auto"/>
          <w:spacing w:val="-2"/>
          <w:w w:val="100"/>
          <w:sz w:val="21"/>
          <w:szCs w:val="21"/>
          <w:highlight w:val="none"/>
        </w:rPr>
      </w:pPr>
      <w:r>
        <w:rPr>
          <w:rFonts w:hint="eastAsia" w:ascii="方正书宋简体" w:hAnsi="方正书宋简体" w:eastAsia="方正书宋简体" w:cs="方正书宋简体"/>
          <w:snapToGrid w:val="0"/>
          <w:color w:val="auto"/>
          <w:spacing w:val="-2"/>
          <w:w w:val="100"/>
          <w:kern w:val="0"/>
          <w:sz w:val="21"/>
          <w:szCs w:val="21"/>
          <w:lang w:val="en-US" w:eastAsia="en-US" w:bidi="ar-SA"/>
        </w:rPr>
        <w:t>4</w:t>
      </w:r>
      <w:r>
        <w:rPr>
          <w:rFonts w:hint="eastAsia" w:ascii="方正书宋简体" w:hAnsi="方正书宋简体" w:eastAsia="方正书宋简体" w:cs="方正书宋简体"/>
          <w:snapToGrid w:val="0"/>
          <w:color w:val="auto"/>
          <w:spacing w:val="-2"/>
          <w:w w:val="100"/>
          <w:kern w:val="0"/>
          <w:sz w:val="21"/>
          <w:szCs w:val="21"/>
          <w:lang w:val="en-US" w:eastAsia="zh-CN" w:bidi="ar-SA"/>
        </w:rPr>
        <w:t>.</w:t>
      </w:r>
      <w:r>
        <w:rPr>
          <w:rFonts w:hint="eastAsia" w:ascii="方正书宋简体" w:hAnsi="方正书宋简体" w:eastAsia="方正书宋简体" w:cs="方正书宋简体"/>
          <w:color w:val="auto"/>
          <w:spacing w:val="-2"/>
          <w:w w:val="100"/>
          <w:sz w:val="21"/>
          <w:szCs w:val="21"/>
          <w:highlight w:val="none"/>
        </w:rPr>
        <w:t>《中华人民共和国防震减灾法》（2008年修订）；</w:t>
      </w:r>
    </w:p>
    <w:p w14:paraId="1E80046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0" w:leftChars="0" w:firstLine="412" w:firstLineChars="200"/>
        <w:jc w:val="both"/>
        <w:textAlignment w:val="baseline"/>
        <w:rPr>
          <w:rFonts w:hint="eastAsia" w:ascii="方正书宋简体" w:hAnsi="方正书宋简体" w:eastAsia="方正书宋简体" w:cs="方正书宋简体"/>
          <w:color w:val="auto"/>
          <w:spacing w:val="-2"/>
          <w:w w:val="100"/>
          <w:sz w:val="21"/>
          <w:szCs w:val="21"/>
          <w:highlight w:val="none"/>
        </w:rPr>
      </w:pPr>
      <w:r>
        <w:rPr>
          <w:rFonts w:hint="eastAsia" w:ascii="方正书宋简体" w:hAnsi="方正书宋简体" w:eastAsia="方正书宋简体" w:cs="方正书宋简体"/>
          <w:snapToGrid w:val="0"/>
          <w:color w:val="auto"/>
          <w:spacing w:val="-2"/>
          <w:w w:val="100"/>
          <w:kern w:val="0"/>
          <w:sz w:val="21"/>
          <w:szCs w:val="21"/>
          <w:lang w:val="en-US" w:eastAsia="en-US" w:bidi="ar-SA"/>
        </w:rPr>
        <w:t>5</w:t>
      </w:r>
      <w:r>
        <w:rPr>
          <w:rFonts w:hint="eastAsia" w:ascii="方正书宋简体" w:hAnsi="方正书宋简体" w:eastAsia="方正书宋简体" w:cs="方正书宋简体"/>
          <w:snapToGrid w:val="0"/>
          <w:color w:val="auto"/>
          <w:spacing w:val="-2"/>
          <w:w w:val="100"/>
          <w:kern w:val="0"/>
          <w:sz w:val="21"/>
          <w:szCs w:val="21"/>
          <w:lang w:val="en-US" w:eastAsia="zh-CN" w:bidi="ar-SA"/>
        </w:rPr>
        <w:t>.</w:t>
      </w:r>
      <w:r>
        <w:rPr>
          <w:rFonts w:hint="eastAsia" w:ascii="方正书宋简体" w:hAnsi="方正书宋简体" w:eastAsia="方正书宋简体" w:cs="方正书宋简体"/>
          <w:color w:val="auto"/>
          <w:spacing w:val="-2"/>
          <w:w w:val="100"/>
          <w:sz w:val="21"/>
          <w:szCs w:val="21"/>
          <w:highlight w:val="none"/>
        </w:rPr>
        <w:t>《中华人民共和国突发事件应对法》（200</w:t>
      </w:r>
      <w:r>
        <w:rPr>
          <w:rFonts w:hint="eastAsia" w:ascii="方正书宋简体" w:hAnsi="方正书宋简体" w:eastAsia="方正书宋简体" w:cs="方正书宋简体"/>
          <w:color w:val="auto"/>
          <w:spacing w:val="-2"/>
          <w:w w:val="100"/>
          <w:sz w:val="21"/>
          <w:szCs w:val="21"/>
          <w:highlight w:val="none"/>
          <w:lang w:val="en-US" w:eastAsia="zh-CN"/>
        </w:rPr>
        <w:t>4</w:t>
      </w:r>
      <w:r>
        <w:rPr>
          <w:rFonts w:hint="eastAsia" w:ascii="方正书宋简体" w:hAnsi="方正书宋简体" w:eastAsia="方正书宋简体" w:cs="方正书宋简体"/>
          <w:color w:val="auto"/>
          <w:spacing w:val="-2"/>
          <w:w w:val="100"/>
          <w:sz w:val="21"/>
          <w:szCs w:val="21"/>
          <w:highlight w:val="none"/>
        </w:rPr>
        <w:t>年）；</w:t>
      </w:r>
    </w:p>
    <w:p w14:paraId="23772EA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0" w:leftChars="0" w:firstLine="412" w:firstLineChars="200"/>
        <w:jc w:val="both"/>
        <w:textAlignment w:val="baseline"/>
        <w:rPr>
          <w:rFonts w:hint="eastAsia" w:ascii="方正书宋简体" w:hAnsi="方正书宋简体" w:eastAsia="方正书宋简体" w:cs="方正书宋简体"/>
          <w:color w:val="auto"/>
          <w:spacing w:val="-2"/>
          <w:w w:val="100"/>
          <w:sz w:val="21"/>
          <w:szCs w:val="21"/>
          <w:highlight w:val="none"/>
        </w:rPr>
      </w:pPr>
      <w:r>
        <w:rPr>
          <w:rFonts w:hint="eastAsia" w:ascii="方正书宋简体" w:hAnsi="方正书宋简体" w:eastAsia="方正书宋简体" w:cs="方正书宋简体"/>
          <w:snapToGrid w:val="0"/>
          <w:color w:val="auto"/>
          <w:spacing w:val="-2"/>
          <w:w w:val="100"/>
          <w:kern w:val="0"/>
          <w:sz w:val="21"/>
          <w:szCs w:val="21"/>
          <w:lang w:val="en-US" w:eastAsia="en-US" w:bidi="ar-SA"/>
        </w:rPr>
        <w:t>6</w:t>
      </w:r>
      <w:r>
        <w:rPr>
          <w:rFonts w:hint="eastAsia" w:ascii="方正书宋简体" w:hAnsi="方正书宋简体" w:eastAsia="方正书宋简体" w:cs="方正书宋简体"/>
          <w:snapToGrid w:val="0"/>
          <w:color w:val="auto"/>
          <w:spacing w:val="-2"/>
          <w:w w:val="100"/>
          <w:kern w:val="0"/>
          <w:sz w:val="21"/>
          <w:szCs w:val="21"/>
          <w:lang w:val="en-US" w:eastAsia="zh-CN" w:bidi="ar-SA"/>
        </w:rPr>
        <w:t>.</w:t>
      </w:r>
      <w:r>
        <w:rPr>
          <w:rFonts w:hint="eastAsia" w:ascii="方正书宋简体" w:hAnsi="方正书宋简体" w:eastAsia="方正书宋简体" w:cs="方正书宋简体"/>
          <w:color w:val="auto"/>
          <w:spacing w:val="-2"/>
          <w:w w:val="100"/>
          <w:sz w:val="21"/>
          <w:szCs w:val="21"/>
          <w:highlight w:val="none"/>
        </w:rPr>
        <w:t>《中华人民共和国防洪法》（2016年修正）；</w:t>
      </w:r>
    </w:p>
    <w:p w14:paraId="5153D5A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0" w:leftChars="0" w:firstLine="412" w:firstLineChars="20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7</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其他相关法律、法规。</w:t>
      </w:r>
    </w:p>
    <w:p w14:paraId="05BCC5DB">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bookmarkStart w:id="89" w:name="_Toc20132"/>
      <w:bookmarkStart w:id="90" w:name="_Toc27621"/>
      <w:bookmarkStart w:id="91" w:name="_Toc525"/>
      <w:bookmarkStart w:id="92" w:name="_Toc10938"/>
      <w:bookmarkStart w:id="93" w:name="_Toc31603"/>
      <w:bookmarkStart w:id="94" w:name="_Toc15458"/>
      <w:bookmarkStart w:id="95" w:name="_Toc28142"/>
      <w:r>
        <w:rPr>
          <w:rFonts w:hint="eastAsia" w:ascii="方正书宋简体" w:hAnsi="方正书宋简体" w:eastAsia="方正书宋简体" w:cs="方正书宋简体"/>
          <w:b/>
          <w:bCs/>
          <w:snapToGrid/>
          <w:color w:val="auto"/>
          <w:kern w:val="2"/>
          <w:sz w:val="21"/>
          <w:szCs w:val="21"/>
          <w:highlight w:val="none"/>
          <w:lang w:val="en-US" w:eastAsia="zh-CN"/>
        </w:rPr>
        <w:t>（二）重要政策及文件</w:t>
      </w:r>
      <w:bookmarkEnd w:id="89"/>
      <w:bookmarkEnd w:id="90"/>
      <w:bookmarkEnd w:id="91"/>
      <w:bookmarkEnd w:id="92"/>
      <w:bookmarkEnd w:id="93"/>
      <w:bookmarkEnd w:id="94"/>
      <w:bookmarkEnd w:id="95"/>
    </w:p>
    <w:p w14:paraId="6874782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1</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lang w:val="en-US" w:eastAsia="zh-CN"/>
        </w:rPr>
        <w:t>国务院</w:t>
      </w:r>
      <w:r>
        <w:rPr>
          <w:rFonts w:hint="eastAsia" w:ascii="方正书宋简体" w:hAnsi="方正书宋简体" w:eastAsia="方正书宋简体" w:cs="方正书宋简体"/>
          <w:color w:val="auto"/>
          <w:spacing w:val="-2"/>
          <w:sz w:val="21"/>
          <w:szCs w:val="21"/>
          <w:highlight w:val="none"/>
        </w:rPr>
        <w:t>《关于印发“十四五”国家应急体系规划的通知》（国发〔2021〕36号）；</w:t>
      </w:r>
    </w:p>
    <w:p w14:paraId="02F5A0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2</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lang w:val="en-US" w:eastAsia="zh-CN"/>
        </w:rPr>
        <w:t>应急管理部</w:t>
      </w:r>
      <w:r>
        <w:rPr>
          <w:rFonts w:hint="eastAsia" w:ascii="方正书宋简体" w:hAnsi="方正书宋简体" w:eastAsia="方正书宋简体" w:cs="方正书宋简体"/>
          <w:color w:val="auto"/>
          <w:spacing w:val="-2"/>
          <w:sz w:val="21"/>
          <w:szCs w:val="21"/>
          <w:highlight w:val="none"/>
        </w:rPr>
        <w:t>《关于加强应急避难场所建设的指导意见》（应急〔2023〕76号）；</w:t>
      </w:r>
    </w:p>
    <w:p w14:paraId="2AA799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3</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lang w:val="en-US" w:eastAsia="zh-CN"/>
        </w:rPr>
        <w:t>内蒙古自治区应急管理厅</w:t>
      </w:r>
      <w:r>
        <w:rPr>
          <w:rFonts w:hint="eastAsia" w:ascii="方正书宋简体" w:hAnsi="方正书宋简体" w:eastAsia="方正书宋简体" w:cs="方正书宋简体"/>
          <w:color w:val="auto"/>
          <w:spacing w:val="-2"/>
          <w:sz w:val="21"/>
          <w:szCs w:val="21"/>
          <w:highlight w:val="none"/>
        </w:rPr>
        <w:t>《关于加强应急避难场所建设的指导意见》（内应急字〔2023〕79号）；</w:t>
      </w:r>
    </w:p>
    <w:p w14:paraId="01974D9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4</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其他重要政策及规范性文件。</w:t>
      </w:r>
    </w:p>
    <w:p w14:paraId="58B8D1AD">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bookmarkStart w:id="96" w:name="_Toc71"/>
      <w:bookmarkStart w:id="97" w:name="_Toc13404"/>
      <w:bookmarkStart w:id="98" w:name="_Toc1840"/>
      <w:bookmarkStart w:id="99" w:name="_Toc12795"/>
      <w:bookmarkStart w:id="100" w:name="_Toc10761"/>
      <w:bookmarkStart w:id="101" w:name="_Toc30566"/>
      <w:bookmarkStart w:id="102" w:name="_Toc32188"/>
      <w:r>
        <w:rPr>
          <w:rFonts w:hint="eastAsia" w:ascii="方正书宋简体" w:hAnsi="方正书宋简体" w:eastAsia="方正书宋简体" w:cs="方正书宋简体"/>
          <w:b/>
          <w:bCs/>
          <w:snapToGrid/>
          <w:color w:val="auto"/>
          <w:kern w:val="2"/>
          <w:sz w:val="21"/>
          <w:szCs w:val="21"/>
          <w:highlight w:val="none"/>
          <w:lang w:val="en-US" w:eastAsia="zh-CN"/>
        </w:rPr>
        <w:t>（三）规范</w:t>
      </w:r>
      <w:bookmarkEnd w:id="96"/>
      <w:bookmarkEnd w:id="97"/>
      <w:bookmarkEnd w:id="98"/>
      <w:bookmarkEnd w:id="99"/>
      <w:r>
        <w:rPr>
          <w:rFonts w:hint="eastAsia" w:ascii="方正书宋简体" w:hAnsi="方正书宋简体" w:eastAsia="方正书宋简体" w:cs="方正书宋简体"/>
          <w:b/>
          <w:bCs/>
          <w:snapToGrid/>
          <w:color w:val="auto"/>
          <w:kern w:val="2"/>
          <w:sz w:val="21"/>
          <w:szCs w:val="21"/>
          <w:highlight w:val="none"/>
          <w:lang w:val="en-US" w:eastAsia="zh-CN"/>
        </w:rPr>
        <w:t>标准</w:t>
      </w:r>
      <w:bookmarkEnd w:id="100"/>
      <w:bookmarkEnd w:id="101"/>
      <w:bookmarkEnd w:id="102"/>
    </w:p>
    <w:p w14:paraId="02BBD9A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1</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《应急避难场所评估指南（试行）》（应急管理厅〔2023〕36号）；</w:t>
      </w:r>
    </w:p>
    <w:p w14:paraId="1D05A3B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2</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《应急避难场所专项规划编制指南》（应急〔2023〕135号）；</w:t>
      </w:r>
    </w:p>
    <w:p w14:paraId="05907BB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3</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《应急避难场所术语》（GB/T44012-2024）；</w:t>
      </w:r>
    </w:p>
    <w:p w14:paraId="353D641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4</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《应急避难场所分级及分类》（GB/T44013-2024）；</w:t>
      </w:r>
    </w:p>
    <w:p w14:paraId="0A0EFD8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5</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《应急避难场所标志》（GB/T44014-2024）；</w:t>
      </w:r>
    </w:p>
    <w:p w14:paraId="605BD12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6</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w:t>
      </w:r>
      <w:r>
        <w:rPr>
          <w:rFonts w:hint="eastAsia" w:ascii="方正书宋简体" w:hAnsi="方正书宋简体" w:eastAsia="方正书宋简体" w:cs="方正书宋简体"/>
          <w:color w:val="auto"/>
          <w:spacing w:val="-2"/>
          <w:sz w:val="21"/>
          <w:szCs w:val="21"/>
          <w:highlight w:val="none"/>
          <w:lang w:val="en-US" w:eastAsia="zh-CN"/>
        </w:rPr>
        <w:t>应急避难场所通用技术要求</w:t>
      </w:r>
      <w:r>
        <w:rPr>
          <w:rFonts w:hint="eastAsia" w:ascii="方正书宋简体" w:hAnsi="方正书宋简体" w:eastAsia="方正书宋简体" w:cs="方正书宋简体"/>
          <w:color w:val="auto"/>
          <w:spacing w:val="-2"/>
          <w:sz w:val="21"/>
          <w:szCs w:val="21"/>
          <w:highlight w:val="none"/>
        </w:rPr>
        <w:t>》（GB/T</w:t>
      </w:r>
      <w:r>
        <w:rPr>
          <w:rFonts w:hint="eastAsia" w:ascii="方正书宋简体" w:hAnsi="方正书宋简体" w:eastAsia="方正书宋简体" w:cs="方正书宋简体"/>
          <w:color w:val="auto"/>
          <w:spacing w:val="-2"/>
          <w:sz w:val="21"/>
          <w:szCs w:val="21"/>
          <w:highlight w:val="none"/>
          <w:lang w:val="en-US" w:eastAsia="zh-CN"/>
        </w:rPr>
        <w:t>35624</w:t>
      </w:r>
      <w:r>
        <w:rPr>
          <w:rFonts w:hint="eastAsia" w:ascii="方正书宋简体" w:hAnsi="方正书宋简体" w:eastAsia="方正书宋简体" w:cs="方正书宋简体"/>
          <w:color w:val="auto"/>
          <w:spacing w:val="-2"/>
          <w:sz w:val="21"/>
          <w:szCs w:val="21"/>
          <w:highlight w:val="none"/>
        </w:rPr>
        <w:t>-202</w:t>
      </w:r>
      <w:r>
        <w:rPr>
          <w:rFonts w:hint="eastAsia" w:ascii="方正书宋简体" w:hAnsi="方正书宋简体" w:eastAsia="方正书宋简体" w:cs="方正书宋简体"/>
          <w:color w:val="auto"/>
          <w:spacing w:val="-2"/>
          <w:sz w:val="21"/>
          <w:szCs w:val="21"/>
          <w:highlight w:val="none"/>
          <w:lang w:val="en-US" w:eastAsia="zh-CN"/>
        </w:rPr>
        <w:t>5</w:t>
      </w:r>
      <w:r>
        <w:rPr>
          <w:rFonts w:hint="eastAsia" w:ascii="方正书宋简体" w:hAnsi="方正书宋简体" w:eastAsia="方正书宋简体" w:cs="方正书宋简体"/>
          <w:color w:val="auto"/>
          <w:spacing w:val="-2"/>
          <w:sz w:val="21"/>
          <w:szCs w:val="21"/>
          <w:highlight w:val="none"/>
        </w:rPr>
        <w:t>）；</w:t>
      </w:r>
    </w:p>
    <w:p w14:paraId="4C5916E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7</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《应急指挥通信保障能力建设规范》（TJ/T27-2024）；</w:t>
      </w:r>
    </w:p>
    <w:p w14:paraId="0127124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8</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《应急避难场所设施设备及物资配置》（TJ/T26-2024）；</w:t>
      </w:r>
    </w:p>
    <w:p w14:paraId="14944C2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9</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《防灾避难场所设计规范》（GB51143-2015）（2021年修订）；</w:t>
      </w:r>
    </w:p>
    <w:p w14:paraId="09980F7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2" w:leftChars="0" w:firstLine="632" w:firstLineChars="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10</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其他标准规范和技术文件。</w:t>
      </w:r>
    </w:p>
    <w:p w14:paraId="05486495">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bookmarkStart w:id="103" w:name="_Toc11187"/>
      <w:bookmarkStart w:id="104" w:name="_Toc25299"/>
      <w:bookmarkStart w:id="105" w:name="_Toc12937"/>
      <w:bookmarkStart w:id="106" w:name="_Toc556"/>
      <w:bookmarkStart w:id="107" w:name="_Toc27044"/>
      <w:bookmarkStart w:id="108" w:name="_Toc29927"/>
      <w:bookmarkStart w:id="109" w:name="_Toc623"/>
      <w:r>
        <w:rPr>
          <w:rFonts w:hint="eastAsia" w:ascii="方正书宋简体" w:hAnsi="方正书宋简体" w:eastAsia="方正书宋简体" w:cs="方正书宋简体"/>
          <w:b/>
          <w:bCs/>
          <w:snapToGrid/>
          <w:color w:val="auto"/>
          <w:kern w:val="2"/>
          <w:sz w:val="21"/>
          <w:szCs w:val="21"/>
          <w:highlight w:val="none"/>
          <w:lang w:val="en-US" w:eastAsia="zh-CN"/>
        </w:rPr>
        <w:t>（四）相关规划</w:t>
      </w:r>
      <w:bookmarkEnd w:id="103"/>
      <w:bookmarkEnd w:id="104"/>
      <w:bookmarkEnd w:id="105"/>
      <w:bookmarkEnd w:id="106"/>
      <w:bookmarkEnd w:id="107"/>
      <w:bookmarkEnd w:id="108"/>
      <w:bookmarkEnd w:id="109"/>
    </w:p>
    <w:p w14:paraId="0CE6884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0" w:leftChars="0" w:firstLine="412" w:firstLineChars="20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1</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《鄂托克旗国民经济和社会发展第十四个五年规划和二〇三五年远景目标纲要》</w:t>
      </w:r>
      <w:r>
        <w:rPr>
          <w:rFonts w:hint="eastAsia" w:ascii="方正书宋简体" w:hAnsi="方正书宋简体" w:eastAsia="方正书宋简体" w:cs="方正书宋简体"/>
          <w:color w:val="auto"/>
          <w:spacing w:val="-2"/>
          <w:sz w:val="21"/>
          <w:szCs w:val="21"/>
          <w:highlight w:val="none"/>
          <w:lang w:eastAsia="zh-CN"/>
        </w:rPr>
        <w:t>；</w:t>
      </w:r>
    </w:p>
    <w:p w14:paraId="66FF0F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0" w:leftChars="0" w:firstLine="412" w:firstLineChars="20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2</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w:t>
      </w:r>
      <w:r>
        <w:rPr>
          <w:rFonts w:hint="eastAsia" w:ascii="方正书宋简体" w:hAnsi="方正书宋简体" w:eastAsia="方正书宋简体" w:cs="方正书宋简体"/>
          <w:color w:val="auto"/>
          <w:spacing w:val="-2"/>
          <w:sz w:val="21"/>
          <w:szCs w:val="21"/>
          <w:highlight w:val="none"/>
          <w:lang w:val="en-US" w:eastAsia="zh-CN"/>
        </w:rPr>
        <w:t>鄂托克旗</w:t>
      </w:r>
      <w:r>
        <w:rPr>
          <w:rFonts w:hint="eastAsia" w:ascii="方正书宋简体" w:hAnsi="方正书宋简体" w:eastAsia="方正书宋简体" w:cs="方正书宋简体"/>
          <w:color w:val="auto"/>
          <w:spacing w:val="-2"/>
          <w:sz w:val="21"/>
          <w:szCs w:val="21"/>
          <w:highlight w:val="none"/>
        </w:rPr>
        <w:t>国土空间总体规划（2021</w:t>
      </w:r>
      <w:r>
        <w:rPr>
          <w:rFonts w:hint="eastAsia" w:ascii="方正书宋简体" w:hAnsi="方正书宋简体" w:eastAsia="方正书宋简体" w:cs="方正书宋简体"/>
          <w:color w:val="auto"/>
          <w:spacing w:val="-2"/>
          <w:sz w:val="21"/>
          <w:szCs w:val="21"/>
          <w:highlight w:val="none"/>
          <w:lang w:eastAsia="zh-CN"/>
        </w:rPr>
        <w:t>—</w:t>
      </w:r>
      <w:r>
        <w:rPr>
          <w:rFonts w:hint="eastAsia" w:ascii="方正书宋简体" w:hAnsi="方正书宋简体" w:eastAsia="方正书宋简体" w:cs="方正书宋简体"/>
          <w:color w:val="auto"/>
          <w:spacing w:val="-2"/>
          <w:sz w:val="21"/>
          <w:szCs w:val="21"/>
          <w:highlight w:val="none"/>
        </w:rPr>
        <w:t>2035年）》；</w:t>
      </w:r>
    </w:p>
    <w:p w14:paraId="1B86459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10" w:lineRule="exact"/>
        <w:ind w:left="0" w:leftChars="0" w:firstLine="412" w:firstLineChars="200"/>
        <w:jc w:val="both"/>
        <w:textAlignment w:val="baseline"/>
        <w:rPr>
          <w:rFonts w:hint="eastAsia" w:ascii="方正书宋简体" w:hAnsi="方正书宋简体" w:eastAsia="方正书宋简体" w:cs="方正书宋简体"/>
          <w:color w:val="auto"/>
          <w:spacing w:val="-2"/>
          <w:sz w:val="21"/>
          <w:szCs w:val="21"/>
          <w:highlight w:val="none"/>
        </w:rPr>
      </w:pPr>
      <w:r>
        <w:rPr>
          <w:rFonts w:hint="eastAsia" w:ascii="方正书宋简体" w:hAnsi="方正书宋简体" w:eastAsia="方正书宋简体" w:cs="方正书宋简体"/>
          <w:snapToGrid w:val="0"/>
          <w:color w:val="auto"/>
          <w:spacing w:val="-2"/>
          <w:kern w:val="0"/>
          <w:sz w:val="21"/>
          <w:szCs w:val="21"/>
          <w:lang w:val="en-US" w:eastAsia="en-US" w:bidi="ar-SA"/>
        </w:rPr>
        <w:t>3</w:t>
      </w:r>
      <w:r>
        <w:rPr>
          <w:rFonts w:hint="eastAsia" w:ascii="方正书宋简体" w:hAnsi="方正书宋简体" w:eastAsia="方正书宋简体" w:cs="方正书宋简体"/>
          <w:snapToGrid w:val="0"/>
          <w:color w:val="auto"/>
          <w:spacing w:val="-2"/>
          <w:kern w:val="0"/>
          <w:sz w:val="21"/>
          <w:szCs w:val="21"/>
          <w:lang w:val="en-US" w:eastAsia="zh-CN" w:bidi="ar-SA"/>
        </w:rPr>
        <w:t>.</w:t>
      </w:r>
      <w:r>
        <w:rPr>
          <w:rFonts w:hint="eastAsia" w:ascii="方正书宋简体" w:hAnsi="方正书宋简体" w:eastAsia="方正书宋简体" w:cs="方正书宋简体"/>
          <w:color w:val="auto"/>
          <w:spacing w:val="-2"/>
          <w:sz w:val="21"/>
          <w:szCs w:val="21"/>
          <w:highlight w:val="none"/>
        </w:rPr>
        <w:t>《鄂托克旗“十四五”应急体系建设规划》</w:t>
      </w:r>
      <w:r>
        <w:rPr>
          <w:rFonts w:hint="eastAsia" w:ascii="方正书宋简体" w:hAnsi="方正书宋简体" w:eastAsia="方正书宋简体" w:cs="方正书宋简体"/>
          <w:color w:val="auto"/>
          <w:spacing w:val="-2"/>
          <w:sz w:val="21"/>
          <w:szCs w:val="21"/>
          <w:highlight w:val="none"/>
          <w:lang w:eastAsia="zh-CN"/>
        </w:rPr>
        <w:t>。</w:t>
      </w:r>
    </w:p>
    <w:p w14:paraId="499A7C88">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110" w:name="_Toc291"/>
      <w:bookmarkStart w:id="111" w:name="_Toc16882"/>
      <w:bookmarkStart w:id="112" w:name="_Toc30361"/>
      <w:bookmarkStart w:id="113" w:name="_Toc1770"/>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第4条 </w:t>
      </w:r>
      <w:r>
        <w:rPr>
          <w:rFonts w:hint="eastAsia" w:ascii="方正书宋简体" w:hAnsi="方正书宋简体" w:eastAsia="方正书宋简体" w:cs="方正书宋简体"/>
          <w:b/>
          <w:bCs/>
          <w:snapToGrid/>
          <w:color w:val="auto"/>
          <w:kern w:val="2"/>
          <w:sz w:val="21"/>
          <w:szCs w:val="21"/>
          <w:highlight w:val="none"/>
          <w:lang w:val="en-US" w:eastAsia="zh-CN"/>
        </w:rPr>
        <w:t>规划范围</w:t>
      </w:r>
      <w:bookmarkEnd w:id="110"/>
      <w:bookmarkEnd w:id="111"/>
      <w:bookmarkEnd w:id="112"/>
      <w:bookmarkEnd w:id="113"/>
    </w:p>
    <w:p w14:paraId="313CE8EB">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本次规划范围为鄂托克旗全部国土空间，包含两个层级，分别为鄂托克旗旗域以及鄂托克旗中心城区。</w:t>
      </w:r>
    </w:p>
    <w:p w14:paraId="7F925861">
      <w:pPr>
        <w:keepNext w:val="0"/>
        <w:keepLines w:val="0"/>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0"/>
          <w:sz w:val="21"/>
          <w:szCs w:val="21"/>
          <w:highlight w:val="none"/>
          <w:u w:val="single"/>
          <w:lang w:val="en-US" w:eastAsia="zh-CN" w:bidi="ar"/>
        </w:rPr>
      </w:pPr>
      <w:r>
        <w:rPr>
          <w:rFonts w:hint="eastAsia" w:ascii="方正书宋简体" w:hAnsi="方正书宋简体" w:eastAsia="方正书宋简体" w:cs="方正书宋简体"/>
          <w:b/>
          <w:bCs/>
          <w:snapToGrid/>
          <w:color w:val="auto"/>
          <w:kern w:val="0"/>
          <w:sz w:val="21"/>
          <w:szCs w:val="21"/>
          <w:highlight w:val="none"/>
          <w:u w:val="single"/>
          <w:lang w:val="en-US" w:eastAsia="zh-CN" w:bidi="ar"/>
        </w:rPr>
        <w:t>旗域规划范围为6个苏木镇：乌兰镇、棋盘井镇、蒙西镇、木凯淖尔镇、苏米图苏木、阿尔巴斯苏木，总面积20364.15平方公里。</w:t>
      </w:r>
    </w:p>
    <w:p w14:paraId="6C9949EF">
      <w:pPr>
        <w:keepNext w:val="0"/>
        <w:keepLines w:val="0"/>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0"/>
          <w:sz w:val="21"/>
          <w:szCs w:val="21"/>
          <w:highlight w:val="none"/>
          <w:u w:val="single"/>
          <w:lang w:val="en-US" w:eastAsia="zh-CN" w:bidi="ar"/>
        </w:rPr>
      </w:pPr>
      <w:r>
        <w:rPr>
          <w:rFonts w:hint="eastAsia" w:ascii="方正书宋简体" w:hAnsi="方正书宋简体" w:eastAsia="方正书宋简体" w:cs="方正书宋简体"/>
          <w:b/>
          <w:bCs/>
          <w:snapToGrid/>
          <w:color w:val="auto"/>
          <w:kern w:val="0"/>
          <w:sz w:val="21"/>
          <w:szCs w:val="21"/>
          <w:highlight w:val="none"/>
          <w:u w:val="single"/>
          <w:lang w:val="en-US" w:eastAsia="zh-CN" w:bidi="ar"/>
        </w:rPr>
        <w:t>考虑到自治区级工业园区所属棋盘井镇和蒙西镇应急避难需求特殊性，现状分析和规划内容将单独分析。</w:t>
      </w:r>
    </w:p>
    <w:p w14:paraId="432947BA">
      <w:pPr>
        <w:keepNext w:val="0"/>
        <w:keepLines w:val="0"/>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0"/>
          <w:sz w:val="21"/>
          <w:szCs w:val="21"/>
          <w:highlight w:val="none"/>
          <w:u w:val="single"/>
          <w:lang w:val="en-US" w:eastAsia="zh-CN" w:bidi="ar"/>
        </w:rPr>
      </w:pPr>
      <w:r>
        <w:rPr>
          <w:rFonts w:hint="eastAsia" w:ascii="方正书宋简体" w:hAnsi="方正书宋简体" w:eastAsia="方正书宋简体" w:cs="方正书宋简体"/>
          <w:b/>
          <w:bCs/>
          <w:snapToGrid/>
          <w:color w:val="auto"/>
          <w:kern w:val="0"/>
          <w:sz w:val="21"/>
          <w:szCs w:val="21"/>
          <w:highlight w:val="none"/>
          <w:u w:val="single"/>
          <w:lang w:val="en-US" w:eastAsia="zh-CN" w:bidi="ar"/>
        </w:rPr>
        <w:t>中心城区规划范围为乌兰镇镇区所辖安睦隆社区、政和园社区、乌兰社区、育英社区、都斯图社区、康宁社区、帅丰社区和西南部工业园，面积33.16平方千米。</w:t>
      </w:r>
    </w:p>
    <w:p w14:paraId="07E6DE06">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114" w:name="_Toc15082"/>
      <w:bookmarkStart w:id="115" w:name="_Toc5044"/>
      <w:bookmarkStart w:id="116" w:name="_Toc32473"/>
      <w:bookmarkStart w:id="117" w:name="_Toc4608"/>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第5条 </w:t>
      </w:r>
      <w:r>
        <w:rPr>
          <w:rFonts w:hint="eastAsia" w:ascii="方正书宋简体" w:hAnsi="方正书宋简体" w:eastAsia="方正书宋简体" w:cs="方正书宋简体"/>
          <w:b/>
          <w:bCs/>
          <w:snapToGrid/>
          <w:color w:val="auto"/>
          <w:kern w:val="2"/>
          <w:sz w:val="21"/>
          <w:szCs w:val="21"/>
          <w:highlight w:val="none"/>
          <w:lang w:val="en-US" w:eastAsia="zh-CN"/>
        </w:rPr>
        <w:t>规划期限</w:t>
      </w:r>
      <w:bookmarkEnd w:id="114"/>
      <w:bookmarkEnd w:id="115"/>
      <w:bookmarkEnd w:id="116"/>
      <w:bookmarkEnd w:id="117"/>
    </w:p>
    <w:p w14:paraId="0E58A7E5">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b/>
          <w:bCs/>
          <w:snapToGrid w:val="0"/>
          <w:color w:val="auto"/>
          <w:kern w:val="0"/>
          <w:sz w:val="21"/>
          <w:szCs w:val="21"/>
          <w:highlight w:val="none"/>
          <w:u w:val="single"/>
          <w:lang w:val="en-US" w:eastAsia="zh-CN" w:bidi="ar"/>
        </w:rPr>
      </w:pPr>
      <w:r>
        <w:rPr>
          <w:rFonts w:hint="eastAsia" w:ascii="方正书宋简体" w:hAnsi="方正书宋简体" w:eastAsia="方正书宋简体" w:cs="方正书宋简体"/>
          <w:snapToGrid/>
          <w:color w:val="auto"/>
          <w:kern w:val="2"/>
          <w:sz w:val="21"/>
          <w:szCs w:val="21"/>
          <w:highlight w:val="none"/>
          <w:lang w:eastAsia="zh-CN"/>
        </w:rPr>
        <w:t>本次规划期限与《鄂托克旗国土空间总体规划（2021</w:t>
      </w:r>
      <w:r>
        <w:rPr>
          <w:rFonts w:hint="eastAsia" w:ascii="方正书宋简体" w:hAnsi="方正书宋简体" w:eastAsia="方正书宋简体" w:cs="方正书宋简体"/>
          <w:snapToGrid/>
          <w:color w:val="auto"/>
          <w:kern w:val="2"/>
          <w:sz w:val="21"/>
          <w:szCs w:val="21"/>
          <w:highlight w:val="none"/>
          <w:lang w:val="en-US" w:eastAsia="zh-CN"/>
        </w:rPr>
        <w:t>年</w:t>
      </w:r>
      <w:r>
        <w:rPr>
          <w:rFonts w:hint="eastAsia" w:ascii="方正书宋简体" w:hAnsi="方正书宋简体" w:eastAsia="方正书宋简体" w:cs="方正书宋简体"/>
          <w:snapToGrid/>
          <w:color w:val="auto"/>
          <w:kern w:val="2"/>
          <w:sz w:val="21"/>
          <w:szCs w:val="21"/>
          <w:highlight w:val="none"/>
          <w:lang w:eastAsia="zh-CN"/>
        </w:rPr>
        <w:t>—2035年）》保持一致，</w:t>
      </w:r>
      <w:r>
        <w:rPr>
          <w:rFonts w:hint="eastAsia" w:ascii="方正书宋简体" w:hAnsi="方正书宋简体" w:eastAsia="方正书宋简体" w:cs="方正书宋简体"/>
          <w:b/>
          <w:bCs/>
          <w:snapToGrid w:val="0"/>
          <w:color w:val="auto"/>
          <w:kern w:val="0"/>
          <w:sz w:val="21"/>
          <w:szCs w:val="21"/>
          <w:highlight w:val="none"/>
          <w:u w:val="single"/>
          <w:lang w:val="en-US" w:eastAsia="zh-CN" w:bidi="ar"/>
        </w:rPr>
        <w:t>规划期限为2025年—2035年，基期年为2025年，近期至2030年，远期至2035年。</w:t>
      </w:r>
    </w:p>
    <w:p w14:paraId="2CF1E57D">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第6条 </w:t>
      </w:r>
      <w:r>
        <w:rPr>
          <w:rFonts w:hint="eastAsia" w:ascii="方正书宋简体" w:hAnsi="方正书宋简体" w:eastAsia="方正书宋简体" w:cs="方正书宋简体"/>
          <w:b/>
          <w:bCs/>
          <w:snapToGrid/>
          <w:color w:val="auto"/>
          <w:kern w:val="2"/>
          <w:sz w:val="21"/>
          <w:szCs w:val="21"/>
          <w:highlight w:val="none"/>
          <w:lang w:val="en-US" w:eastAsia="zh-CN"/>
        </w:rPr>
        <w:t>规划对象</w:t>
      </w:r>
    </w:p>
    <w:p w14:paraId="2D765C6F">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应急避难场所。</w:t>
      </w:r>
      <w:r>
        <w:rPr>
          <w:rFonts w:hint="eastAsia" w:ascii="方正书宋简体" w:hAnsi="方正书宋简体" w:eastAsia="方正书宋简体" w:cs="方正书宋简体"/>
          <w:snapToGrid/>
          <w:color w:val="auto"/>
          <w:kern w:val="2"/>
          <w:sz w:val="21"/>
          <w:szCs w:val="21"/>
          <w:highlight w:val="none"/>
          <w:lang w:val="en-US" w:eastAsia="zh-CN"/>
        </w:rPr>
        <w:t>新建、改造和指定的用于应急避难人员安置的具有一定生活服务保障功能的安全场所</w:t>
      </w:r>
      <w:r>
        <w:rPr>
          <w:rFonts w:hint="eastAsia" w:ascii="方正书宋简体" w:hAnsi="方正书宋简体" w:eastAsia="方正书宋简体" w:cs="方正书宋简体"/>
          <w:snapToGrid/>
          <w:color w:val="FF0000"/>
          <w:kern w:val="2"/>
          <w:sz w:val="21"/>
          <w:szCs w:val="21"/>
          <w:highlight w:val="none"/>
          <w:lang w:val="en-US" w:eastAsia="zh-CN"/>
        </w:rPr>
        <w:t>，</w:t>
      </w:r>
      <w:r>
        <w:rPr>
          <w:rFonts w:hint="eastAsia" w:ascii="方正书宋简体" w:hAnsi="方正书宋简体" w:eastAsia="方正书宋简体" w:cs="方正书宋简体"/>
          <w:snapToGrid/>
          <w:color w:val="auto"/>
          <w:kern w:val="2"/>
          <w:sz w:val="21"/>
          <w:szCs w:val="21"/>
          <w:highlight w:val="none"/>
          <w:lang w:val="en-US" w:eastAsia="zh-CN"/>
        </w:rPr>
        <w:t>简称避难场所。包括防疫防空与防灾融合共建共用的方舱医院和人防掩蔽场所、人防疏散基地等。</w:t>
      </w:r>
    </w:p>
    <w:p w14:paraId="657B5E9D">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新建避难场所。</w:t>
      </w:r>
      <w:r>
        <w:rPr>
          <w:rFonts w:hint="eastAsia" w:ascii="方正书宋简体" w:hAnsi="方正书宋简体" w:eastAsia="方正书宋简体" w:cs="方正书宋简体"/>
          <w:snapToGrid/>
          <w:color w:val="auto"/>
          <w:kern w:val="2"/>
          <w:sz w:val="21"/>
          <w:szCs w:val="21"/>
          <w:highlight w:val="none"/>
          <w:lang w:val="en-US" w:eastAsia="zh-CN"/>
        </w:rPr>
        <w:t>利用土地资源单独规划建设避难场所或依托新建公共设施及场地空间和住宅小区等同步规划建设避难场所的方式。</w:t>
      </w:r>
    </w:p>
    <w:p w14:paraId="02850E55">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改造避难场所。</w:t>
      </w:r>
      <w:r>
        <w:rPr>
          <w:rFonts w:hint="eastAsia" w:ascii="方正书宋简体" w:hAnsi="方正书宋简体" w:eastAsia="方正书宋简体" w:cs="方正书宋简体"/>
          <w:snapToGrid/>
          <w:color w:val="auto"/>
          <w:kern w:val="2"/>
          <w:sz w:val="21"/>
          <w:szCs w:val="21"/>
          <w:highlight w:val="none"/>
          <w:lang w:val="en-US" w:eastAsia="zh-CN"/>
        </w:rPr>
        <w:t>将已有的避难场所改进、打造成满足新的功能需要的避难场所或依托已建成的公共设施及场地空间改进、打造成功能兼用的避难场所的方式。</w:t>
      </w:r>
    </w:p>
    <w:p w14:paraId="36B76866">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指定避难场所。</w:t>
      </w:r>
      <w:r>
        <w:rPr>
          <w:rFonts w:hint="eastAsia" w:ascii="方正书宋简体" w:hAnsi="方正书宋简体" w:eastAsia="方正书宋简体" w:cs="方正书宋简体"/>
          <w:snapToGrid/>
          <w:color w:val="auto"/>
          <w:kern w:val="2"/>
          <w:sz w:val="21"/>
          <w:szCs w:val="21"/>
          <w:highlight w:val="none"/>
          <w:lang w:val="en-US" w:eastAsia="zh-CN"/>
        </w:rPr>
        <w:t>通过事先组织评估，将符合要求的相关设施及场地空间等，确定为避难场所并配置满足必要功能设备及物资的方式。</w:t>
      </w:r>
    </w:p>
    <w:p w14:paraId="2B6448F8">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避难场所标准化改造。</w:t>
      </w:r>
      <w:r>
        <w:rPr>
          <w:rFonts w:hint="eastAsia" w:ascii="方正书宋简体" w:hAnsi="方正书宋简体" w:eastAsia="方正书宋简体" w:cs="方正书宋简体"/>
          <w:snapToGrid/>
          <w:color w:val="auto"/>
          <w:kern w:val="2"/>
          <w:sz w:val="21"/>
          <w:szCs w:val="21"/>
          <w:highlight w:val="none"/>
          <w:lang w:val="en-US" w:eastAsia="zh-CN"/>
        </w:rPr>
        <w:t>依据有关法规及标准，对避难场所功能设计及设施、设备、物资、系统等进行优化完善、升级更新的行为和过程。</w:t>
      </w:r>
    </w:p>
    <w:p w14:paraId="17F14566">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避难种类。</w:t>
      </w:r>
      <w:r>
        <w:rPr>
          <w:rFonts w:hint="eastAsia" w:ascii="方正书宋简体" w:hAnsi="方正书宋简体" w:eastAsia="方正书宋简体" w:cs="方正书宋简体"/>
          <w:snapToGrid/>
          <w:color w:val="auto"/>
          <w:kern w:val="2"/>
          <w:sz w:val="21"/>
          <w:szCs w:val="21"/>
          <w:highlight w:val="none"/>
          <w:lang w:val="en-US" w:eastAsia="zh-CN"/>
        </w:rPr>
        <w:t>避难场所可适用的突发事件或需要应急避难的其他事件类型。主要包括地震灾害、地质灾害、洪涝灾害、台风与暴雨灾害、低温冷冻与雪灾、海啸灾害、森林草原火灾、生产安全事故、生态环境事件、公共卫生事件、空袭事件等。</w:t>
      </w:r>
    </w:p>
    <w:p w14:paraId="33AA7F3C">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避难时长。</w:t>
      </w:r>
      <w:r>
        <w:rPr>
          <w:rFonts w:hint="eastAsia" w:ascii="方正书宋简体" w:hAnsi="方正书宋简体" w:eastAsia="方正书宋简体" w:cs="方正书宋简体"/>
          <w:snapToGrid/>
          <w:color w:val="auto"/>
          <w:kern w:val="2"/>
          <w:sz w:val="21"/>
          <w:szCs w:val="21"/>
          <w:highlight w:val="none"/>
          <w:lang w:val="en-US" w:eastAsia="zh-CN"/>
        </w:rPr>
        <w:t>避难场所从启用到关闭提供应急避难的天数。</w:t>
      </w:r>
    </w:p>
    <w:p w14:paraId="47F2AFA5">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有效避难面积。</w:t>
      </w:r>
      <w:r>
        <w:rPr>
          <w:rFonts w:hint="eastAsia" w:ascii="方正书宋简体" w:hAnsi="方正书宋简体" w:eastAsia="方正书宋简体" w:cs="方正书宋简体"/>
          <w:snapToGrid/>
          <w:color w:val="auto"/>
          <w:kern w:val="2"/>
          <w:sz w:val="21"/>
          <w:szCs w:val="21"/>
          <w:highlight w:val="none"/>
          <w:lang w:val="en-US" w:eastAsia="zh-CN"/>
        </w:rPr>
        <w:t>避难场所可用于应急避难人员紧急避险、避难安置及其配套的应急设施设备和物资所占有的使用面积。</w:t>
      </w:r>
    </w:p>
    <w:p w14:paraId="0703B5CF">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人均有效避难面积。</w:t>
      </w:r>
      <w:r>
        <w:rPr>
          <w:rFonts w:hint="eastAsia" w:ascii="方正书宋简体" w:hAnsi="方正书宋简体" w:eastAsia="方正书宋简体" w:cs="方正书宋简体"/>
          <w:snapToGrid/>
          <w:color w:val="auto"/>
          <w:kern w:val="2"/>
          <w:sz w:val="21"/>
          <w:szCs w:val="21"/>
          <w:highlight w:val="none"/>
          <w:lang w:val="en-US" w:eastAsia="zh-CN"/>
        </w:rPr>
        <w:t>避难场所中应急避难人员每人平均可使用的有效避难面积。</w:t>
      </w:r>
    </w:p>
    <w:p w14:paraId="07775865">
      <w:pPr>
        <w:pageBreakBefore w:val="0"/>
        <w:widowControl/>
        <w:kinsoku/>
        <w:wordWrap/>
        <w:overflowPunct/>
        <w:topLinePunct w:val="0"/>
        <w:autoSpaceDE/>
        <w:autoSpaceDN/>
        <w:bidi w:val="0"/>
        <w:adjustRightInd/>
        <w:snapToGrid/>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服务半径。</w:t>
      </w:r>
      <w:r>
        <w:rPr>
          <w:rFonts w:hint="eastAsia" w:ascii="方正书宋简体" w:hAnsi="方正书宋简体" w:eastAsia="方正书宋简体" w:cs="方正书宋简体"/>
          <w:snapToGrid/>
          <w:color w:val="auto"/>
          <w:kern w:val="2"/>
          <w:sz w:val="21"/>
          <w:szCs w:val="21"/>
          <w:highlight w:val="none"/>
          <w:lang w:val="en-US" w:eastAsia="zh-CN"/>
        </w:rPr>
        <w:t>以避难场所为中心，按照其建设布局和级别类型等功能设计要求，能为应急避难人员提供紧急避险和避难安置服务保障的合理距离。</w:t>
      </w:r>
    </w:p>
    <w:p w14:paraId="7C783605">
      <w:pPr>
        <w:keepNext w:val="0"/>
        <w:keepLines w:val="0"/>
        <w:pageBreakBefore w:val="0"/>
        <w:widowControl/>
        <w:kinsoku w:val="0"/>
        <w:wordWrap/>
        <w:overflowPunct/>
        <w:topLinePunct w:val="0"/>
        <w:autoSpaceDE w:val="0"/>
        <w:autoSpaceDN w:val="0"/>
        <w:bidi w:val="0"/>
        <w:adjustRightInd w:val="0"/>
        <w:snapToGrid w:val="0"/>
        <w:spacing w:line="310" w:lineRule="exact"/>
        <w:ind w:firstLine="422" w:firstLineChars="200"/>
        <w:textAlignment w:val="baseline"/>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可容纳避难人数</w:t>
      </w:r>
      <w:r>
        <w:rPr>
          <w:rFonts w:hint="eastAsia" w:ascii="方正书宋简体" w:hAnsi="方正书宋简体" w:eastAsia="方正书宋简体" w:cs="方正书宋简体"/>
          <w:snapToGrid/>
          <w:color w:val="auto"/>
          <w:kern w:val="2"/>
          <w:sz w:val="21"/>
          <w:szCs w:val="21"/>
          <w:highlight w:val="none"/>
          <w:lang w:val="en-US" w:eastAsia="zh-CN"/>
        </w:rPr>
        <w:t>。在满足基本应急避难服务保障能力条件下，应急避难场所可容纳的最多应急避难人数。</w:t>
      </w:r>
    </w:p>
    <w:p w14:paraId="01A22EC5">
      <w:pPr>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sectPr>
          <w:type w:val="continuous"/>
          <w:pgSz w:w="11906" w:h="16838"/>
          <w:pgMar w:top="1701" w:right="1247" w:bottom="1701" w:left="1247" w:header="850" w:footer="1109" w:gutter="0"/>
          <w:pgNumType w:fmt="decimal"/>
          <w:cols w:equalWidth="0" w:num="2">
            <w:col w:w="4493" w:space="425"/>
            <w:col w:w="4493"/>
          </w:cols>
        </w:sectPr>
      </w:pPr>
    </w:p>
    <w:p w14:paraId="7112066F">
      <w:pPr>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pPr>
    </w:p>
    <w:p w14:paraId="07311874">
      <w:pPr>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pPr>
    </w:p>
    <w:p w14:paraId="421E6907">
      <w:pPr>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pPr>
    </w:p>
    <w:p w14:paraId="4CCA09F1">
      <w:pPr>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pPr>
    </w:p>
    <w:p w14:paraId="5B958CBC">
      <w:pPr>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pPr>
    </w:p>
    <w:p w14:paraId="71EB7AAB">
      <w:pPr>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pPr>
    </w:p>
    <w:p w14:paraId="75E7224A">
      <w:pPr>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pPr>
    </w:p>
    <w:p w14:paraId="38A32638">
      <w:pPr>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pPr>
    </w:p>
    <w:p w14:paraId="651C0795">
      <w:pPr>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pPr>
    </w:p>
    <w:p w14:paraId="32F18386">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100" w:beforeAutospacing="0" w:after="0" w:afterLines="100" w:afterAutospacing="0" w:line="310" w:lineRule="exact"/>
        <w:ind w:left="0" w:leftChars="0" w:firstLine="0" w:firstLineChars="0"/>
        <w:jc w:val="center"/>
        <w:textAlignment w:val="auto"/>
        <w:rPr>
          <w:rFonts w:hint="eastAsia" w:ascii="方正书宋简体" w:hAnsi="方正书宋简体" w:eastAsia="方正书宋简体" w:cs="方正书宋简体"/>
          <w:b/>
          <w:bCs w:val="0"/>
          <w:sz w:val="21"/>
          <w:szCs w:val="21"/>
          <w:lang w:eastAsia="zh-CN"/>
        </w:rPr>
      </w:pPr>
      <w:bookmarkStart w:id="118" w:name="_Toc18085"/>
      <w:bookmarkStart w:id="119" w:name="_Toc16437"/>
      <w:bookmarkStart w:id="120" w:name="_Toc29228"/>
      <w:bookmarkStart w:id="121" w:name="_Toc31535"/>
      <w:bookmarkStart w:id="122" w:name="_Toc15884"/>
      <w:bookmarkStart w:id="123" w:name="_Toc2608"/>
      <w:bookmarkStart w:id="124" w:name="_Toc2837"/>
      <w:bookmarkStart w:id="125" w:name="_Toc6509"/>
      <w:bookmarkStart w:id="126" w:name="_Toc9074"/>
      <w:bookmarkStart w:id="127" w:name="_Toc4626"/>
      <w:bookmarkStart w:id="128" w:name="_Toc24309"/>
      <w:r>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l="0"/>
          <w:vanish w:val="0"/>
          <w:color w:val="000000"/>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第二章</w:t>
      </w:r>
      <w:r>
        <w:rPr>
          <w:rFonts w:hint="eastAsia" w:ascii="方正书宋简体" w:hAnsi="方正书宋简体" w:eastAsia="方正书宋简体" w:cs="方正书宋简体"/>
          <w:b/>
          <w:bCs/>
          <w:i w:val="0"/>
          <w:iCs w:val="0"/>
          <w:caps w:val="0"/>
          <w:smallCaps w:val="0"/>
          <w:strike w:val="0"/>
          <w:dstrike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       </w:t>
      </w:r>
      <w:r>
        <w:rPr>
          <w:rFonts w:hint="eastAsia" w:ascii="方正书宋简体" w:hAnsi="方正书宋简体" w:eastAsia="方正书宋简体" w:cs="方正书宋简体"/>
          <w:b/>
          <w:bCs w:val="0"/>
          <w:snapToGrid/>
          <w:color w:val="auto"/>
          <w:sz w:val="21"/>
          <w:szCs w:val="21"/>
          <w:highlight w:val="none"/>
          <w:lang w:eastAsia="zh-CN"/>
        </w:rPr>
        <w:t>发展背景分析</w:t>
      </w:r>
      <w:bookmarkEnd w:id="118"/>
      <w:bookmarkEnd w:id="119"/>
      <w:bookmarkEnd w:id="120"/>
      <w:bookmarkEnd w:id="121"/>
      <w:bookmarkEnd w:id="122"/>
      <w:bookmarkEnd w:id="123"/>
      <w:bookmarkEnd w:id="124"/>
    </w:p>
    <w:p w14:paraId="46B917AE">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textAlignment w:val="auto"/>
        <w:outlineLvl w:val="2"/>
        <w:rPr>
          <w:rFonts w:hint="eastAsia" w:ascii="方正书宋简体" w:hAnsi="方正书宋简体" w:eastAsia="方正书宋简体" w:cs="方正书宋简体"/>
          <w:b/>
          <w:bCs/>
          <w:color w:val="auto"/>
          <w:sz w:val="21"/>
          <w:szCs w:val="21"/>
          <w:highlight w:val="none"/>
          <w:lang w:val="en-US" w:eastAsia="zh-CN"/>
        </w:rPr>
        <w:sectPr>
          <w:type w:val="continuous"/>
          <w:pgSz w:w="11906" w:h="16838"/>
          <w:pgMar w:top="1701" w:right="1247" w:bottom="1701" w:left="1247" w:header="850" w:footer="1109" w:gutter="0"/>
          <w:pgNumType w:fmt="decimal"/>
          <w:cols w:space="425" w:num="1"/>
        </w:sectPr>
      </w:pPr>
      <w:bookmarkStart w:id="129" w:name="_Toc6813"/>
      <w:bookmarkStart w:id="130" w:name="_Toc19993"/>
      <w:bookmarkStart w:id="131" w:name="_Toc26726"/>
      <w:bookmarkStart w:id="132" w:name="_Toc12978"/>
    </w:p>
    <w:p w14:paraId="05644D27">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textAlignment w:val="auto"/>
        <w:outlineLvl w:val="2"/>
        <w:rPr>
          <w:rFonts w:hint="eastAsia" w:ascii="方正书宋简体" w:hAnsi="方正书宋简体" w:eastAsia="方正书宋简体" w:cs="方正书宋简体"/>
          <w:b/>
          <w:bCs/>
          <w:color w:val="auto"/>
          <w:sz w:val="21"/>
          <w:szCs w:val="21"/>
          <w:highlight w:val="none"/>
          <w:lang w:val="en-US" w:eastAsia="zh-CN"/>
        </w:rPr>
      </w:pPr>
      <w:r>
        <w:rPr>
          <w:rFonts w:hint="eastAsia" w:ascii="方正书宋简体" w:hAnsi="方正书宋简体" w:eastAsia="方正书宋简体" w:cs="方正书宋简体"/>
          <w:b/>
          <w:bCs w:val="0"/>
          <w:i w:val="0"/>
          <w:snapToGrid w:val="0"/>
          <w:color w:val="auto"/>
          <w:kern w:val="0"/>
          <w:sz w:val="21"/>
          <w:szCs w:val="21"/>
          <w:lang w:val="en-US" w:eastAsia="zh-CN" w:bidi="ar-SA"/>
        </w:rPr>
        <w:t xml:space="preserve">第7条 </w:t>
      </w:r>
      <w:r>
        <w:rPr>
          <w:rFonts w:hint="eastAsia" w:ascii="方正书宋简体" w:hAnsi="方正书宋简体" w:eastAsia="方正书宋简体" w:cs="方正书宋简体"/>
          <w:b/>
          <w:bCs/>
          <w:color w:val="auto"/>
          <w:sz w:val="21"/>
          <w:szCs w:val="21"/>
          <w:highlight w:val="none"/>
          <w:lang w:val="en-US" w:eastAsia="zh-CN"/>
        </w:rPr>
        <w:t>经济社会发展现状</w:t>
      </w:r>
      <w:bookmarkEnd w:id="129"/>
      <w:bookmarkEnd w:id="130"/>
      <w:bookmarkEnd w:id="131"/>
      <w:bookmarkEnd w:id="132"/>
    </w:p>
    <w:p w14:paraId="7F1E7743">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鄂托克旗位于内蒙古自治区鄂尔多斯市西部，是鄂尔多斯市的“西大门”，北靠杭锦旗，南临鄂托克前旗，西隔甘德尔山与乌海市相邻、隔黄河与阿拉善盟和宁夏回族自治区相望，东与乌审旗接壤。全旗辖6个苏木镇，分别为乌兰镇、棋盘井镇、蒙西镇、木凯淖尔镇、苏米图苏木、阿尔巴斯苏木，其中棋盘井镇和蒙西镇分布有自治区化工园区——鄂托克高新技术产业开发区，是旗域境内人口的主要分布区域和经济收入主要贡献区域。</w:t>
      </w:r>
    </w:p>
    <w:p w14:paraId="3953B91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十四五”以来，全旗地区生产总值连续迈上新台阶，2024年，达到556.3亿元，年均增长6%，人均GDP达到32.71万元，综合实力位列全国百强县第84位、西部百强县第9位。产业结构逐步优化，2024年，三次产业比重调整为2.9:78.1:19.0，规模以上工业企业实现总产值约1156.4亿元，制造业产值占比达到54%，煤炭先进产能占比提高至70%，基本建成了“以煤为基、以化为主”的现代化产业体系。煤炭年产量稳定在3000万吨，天然气年产量72亿立方米，电力总装机容量509.19万千瓦，新能源装机规模达到66.8万千瓦。粮食产量稳定在2.6亿斤以上，牲畜存栏数稳定在210万头只左右，“阿尔巴斯山羊肉”“鄂托克螺旋藻”，入选内蒙古品牌目录和中国农业品牌名录。</w:t>
      </w:r>
    </w:p>
    <w:p w14:paraId="49CFD91C">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textAlignment w:val="auto"/>
        <w:outlineLvl w:val="2"/>
        <w:rPr>
          <w:rFonts w:hint="eastAsia" w:ascii="方正书宋简体" w:hAnsi="方正书宋简体" w:eastAsia="方正书宋简体" w:cs="方正书宋简体"/>
          <w:b/>
          <w:bCs/>
          <w:color w:val="auto"/>
          <w:sz w:val="21"/>
          <w:szCs w:val="21"/>
          <w:highlight w:val="none"/>
          <w:lang w:val="en-US" w:eastAsia="zh-CN"/>
        </w:rPr>
      </w:pPr>
      <w:bookmarkStart w:id="133" w:name="_Toc18833"/>
      <w:bookmarkStart w:id="134" w:name="_Toc22970"/>
      <w:bookmarkStart w:id="135" w:name="_Toc11186"/>
      <w:bookmarkStart w:id="136" w:name="_Toc32221"/>
      <w:r>
        <w:rPr>
          <w:rFonts w:hint="eastAsia" w:ascii="方正书宋简体" w:hAnsi="方正书宋简体" w:eastAsia="方正书宋简体" w:cs="方正书宋简体"/>
          <w:b/>
          <w:bCs w:val="0"/>
          <w:i w:val="0"/>
          <w:snapToGrid w:val="0"/>
          <w:color w:val="auto"/>
          <w:kern w:val="0"/>
          <w:sz w:val="21"/>
          <w:szCs w:val="21"/>
          <w:lang w:val="en-US" w:eastAsia="zh-CN" w:bidi="ar-SA"/>
        </w:rPr>
        <w:t xml:space="preserve">第8条 </w:t>
      </w:r>
      <w:r>
        <w:rPr>
          <w:rFonts w:hint="eastAsia" w:ascii="方正书宋简体" w:hAnsi="方正书宋简体" w:eastAsia="方正书宋简体" w:cs="方正书宋简体"/>
          <w:b/>
          <w:bCs/>
          <w:color w:val="auto"/>
          <w:sz w:val="21"/>
          <w:szCs w:val="21"/>
          <w:highlight w:val="none"/>
          <w:lang w:val="en-US" w:eastAsia="zh-CN"/>
        </w:rPr>
        <w:t>应急管理发展现状</w:t>
      </w:r>
      <w:bookmarkEnd w:id="133"/>
      <w:bookmarkEnd w:id="134"/>
      <w:bookmarkEnd w:id="135"/>
      <w:bookmarkEnd w:id="136"/>
    </w:p>
    <w:p w14:paraId="7327945D">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bookmarkStart w:id="137" w:name="_Toc23731"/>
      <w:r>
        <w:rPr>
          <w:rFonts w:hint="eastAsia" w:ascii="方正书宋简体" w:hAnsi="方正书宋简体" w:eastAsia="方正书宋简体" w:cs="方正书宋简体"/>
          <w:b/>
          <w:bCs/>
          <w:snapToGrid/>
          <w:color w:val="auto"/>
          <w:kern w:val="2"/>
          <w:sz w:val="21"/>
          <w:szCs w:val="21"/>
          <w:highlight w:val="none"/>
          <w:lang w:val="en-US" w:eastAsia="zh-CN"/>
        </w:rPr>
        <w:t>应急体制机制不断优化</w:t>
      </w:r>
      <w:bookmarkEnd w:id="137"/>
      <w:r>
        <w:rPr>
          <w:rFonts w:hint="eastAsia" w:ascii="方正书宋简体" w:hAnsi="方正书宋简体" w:eastAsia="方正书宋简体" w:cs="方正书宋简体"/>
          <w:b/>
          <w:bCs/>
          <w:snapToGrid/>
          <w:color w:val="auto"/>
          <w:kern w:val="2"/>
          <w:sz w:val="21"/>
          <w:szCs w:val="21"/>
          <w:highlight w:val="none"/>
          <w:lang w:val="en-US" w:eastAsia="zh-CN"/>
        </w:rPr>
        <w:t>。</w:t>
      </w:r>
      <w:r>
        <w:rPr>
          <w:rFonts w:hint="eastAsia" w:ascii="方正书宋简体" w:hAnsi="方正书宋简体" w:eastAsia="方正书宋简体" w:cs="方正书宋简体"/>
          <w:snapToGrid/>
          <w:color w:val="auto"/>
          <w:kern w:val="2"/>
          <w:sz w:val="21"/>
          <w:szCs w:val="21"/>
          <w:highlight w:val="none"/>
          <w:lang w:val="en-US" w:eastAsia="zh-CN"/>
        </w:rPr>
        <w:t>坚持分级负责、属地为主的原则，明确各级各类灾害事故响应程序，进一步理顺防汛抗旱、森林草原防灭火、抗震救灾等指挥机制。实施应急管理队伍准军事化管理，严格制度标准，强化执行落实，提高准军事化管理水平和战斗力。建立了完善风险识别、隐患排查、监测预警、会商研判、应急响应、指挥处置、救援协同、应急保障等工作机制，全面加强灾害事故全过程防治能力。</w:t>
      </w:r>
    </w:p>
    <w:p w14:paraId="57B1B46B">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严格落实“党政同责、一岗双责、齐抓共管、失职追责”的领导干部安全生产责任制，按照“分级负责、属地管理”的原则，层层制定党政领导干部安全生产“职责清单”和年度“工作清单”，持续优化应急管理工作在高质量发展和领导干部政绩考核评价指标体系中的权重，严格落实安全生产“一票否决”制度。</w:t>
      </w:r>
    </w:p>
    <w:p w14:paraId="5E153CC1">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统筹推进行业部门落实安全生产责任，研究制定职责分工，建立部门监管职责动态完善机制，不断厘清部门职责清单，实现权责清单与“三定”规定的有机衔接。</w:t>
      </w:r>
    </w:p>
    <w:p w14:paraId="6A89496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完善部门协调联动机制，加强部门之间协调配合和应急联动，健全工作规程，提高应急管理工作成效，提升各类突发事件的协同应对能力。建立了航空救援协调联动机制，推动鄂托克旗通用机场建设，不断提高航空应急救援能力。</w:t>
      </w:r>
    </w:p>
    <w:p w14:paraId="55C479BE">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bookmarkStart w:id="138" w:name="_Toc27227"/>
      <w:r>
        <w:rPr>
          <w:rFonts w:hint="eastAsia" w:ascii="方正书宋简体" w:hAnsi="方正书宋简体" w:eastAsia="方正书宋简体" w:cs="方正书宋简体"/>
          <w:b/>
          <w:bCs/>
          <w:snapToGrid/>
          <w:color w:val="auto"/>
          <w:kern w:val="2"/>
          <w:sz w:val="21"/>
          <w:szCs w:val="21"/>
          <w:highlight w:val="none"/>
          <w:lang w:val="en-US" w:eastAsia="zh-CN"/>
        </w:rPr>
        <w:t>应急保障水平不断提升</w:t>
      </w:r>
      <w:bookmarkEnd w:id="138"/>
      <w:r>
        <w:rPr>
          <w:rFonts w:hint="eastAsia" w:ascii="方正书宋简体" w:hAnsi="方正书宋简体" w:eastAsia="方正书宋简体" w:cs="方正书宋简体"/>
          <w:b/>
          <w:bCs/>
          <w:snapToGrid/>
          <w:color w:val="auto"/>
          <w:kern w:val="2"/>
          <w:sz w:val="21"/>
          <w:szCs w:val="21"/>
          <w:highlight w:val="none"/>
          <w:lang w:val="en-US" w:eastAsia="zh-CN"/>
        </w:rPr>
        <w:t>。</w:t>
      </w:r>
      <w:r>
        <w:rPr>
          <w:rFonts w:hint="eastAsia" w:ascii="方正书宋简体" w:hAnsi="方正书宋简体" w:eastAsia="方正书宋简体" w:cs="方正书宋简体"/>
          <w:snapToGrid/>
          <w:color w:val="auto"/>
          <w:kern w:val="2"/>
          <w:sz w:val="21"/>
          <w:szCs w:val="21"/>
          <w:highlight w:val="none"/>
          <w:lang w:val="en-US" w:eastAsia="zh-CN"/>
        </w:rPr>
        <w:t>健全旗委、旗人民政府统一领导，应急管理部门统筹协调、统分结合的应急物资储备保障体系，实现统一规划、统一布局、统一管理、统一调度。建成以政府储备为主，社会储备、商业储备为补充的储备模式，实现政府储备和企业储备相互结合。加快综合应急救援基地建设，完善旗、苏木镇应急装备和物资储备库建设，加强安全生产应急救援专业装备配备，补充完善应对事故救援任务所需的救援车辆、抢险救援装备、监测设备、通信指挥设备、个人防护装备、后勤保障设备等装备器材。加强应急物资供应链相关配套政策体系建设，进一步拓宽保障渠道，提高应急生产能力和应急保障能力。根据城市人口分布和规模，加强应急避难场所规划、建设、使用与管理。</w:t>
      </w:r>
    </w:p>
    <w:p w14:paraId="7177EDA1">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建立健全多方参与、协同配合的综合交通紧急运输管理协调机制，保障受困人员应急疏散、应急物资道路运输，提高应急运输能力。加大公路基础设施安全防护投入，加强路网、桥隧等重点设施监测预警，提升关键基础设施应急保障能力。</w:t>
      </w:r>
    </w:p>
    <w:p w14:paraId="6BFA45BB">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textAlignment w:val="auto"/>
        <w:outlineLvl w:val="2"/>
        <w:rPr>
          <w:rFonts w:hint="eastAsia" w:ascii="方正书宋简体" w:hAnsi="方正书宋简体" w:eastAsia="方正书宋简体" w:cs="方正书宋简体"/>
          <w:b/>
          <w:bCs/>
          <w:color w:val="auto"/>
          <w:sz w:val="21"/>
          <w:szCs w:val="21"/>
          <w:highlight w:val="none"/>
          <w:lang w:val="en-US" w:eastAsia="zh-CN"/>
        </w:rPr>
      </w:pPr>
      <w:bookmarkStart w:id="139" w:name="_Toc11161"/>
      <w:bookmarkStart w:id="140" w:name="_Toc901"/>
      <w:bookmarkStart w:id="141" w:name="_Toc5990"/>
      <w:bookmarkStart w:id="142" w:name="_Toc10127"/>
      <w:r>
        <w:rPr>
          <w:rFonts w:hint="eastAsia" w:ascii="方正书宋简体" w:hAnsi="方正书宋简体" w:eastAsia="方正书宋简体" w:cs="方正书宋简体"/>
          <w:b/>
          <w:bCs w:val="0"/>
          <w:i w:val="0"/>
          <w:snapToGrid w:val="0"/>
          <w:color w:val="auto"/>
          <w:kern w:val="0"/>
          <w:sz w:val="21"/>
          <w:szCs w:val="21"/>
          <w:lang w:val="en-US" w:eastAsia="zh-CN" w:bidi="ar-SA"/>
        </w:rPr>
        <w:t xml:space="preserve">第9条 </w:t>
      </w:r>
      <w:r>
        <w:rPr>
          <w:rFonts w:hint="eastAsia" w:ascii="方正书宋简体" w:hAnsi="方正书宋简体" w:eastAsia="方正书宋简体" w:cs="方正书宋简体"/>
          <w:b/>
          <w:bCs/>
          <w:color w:val="auto"/>
          <w:sz w:val="21"/>
          <w:szCs w:val="21"/>
          <w:highlight w:val="none"/>
          <w:lang w:val="en-US" w:eastAsia="zh-CN"/>
        </w:rPr>
        <w:t>应急避难场所发展现状及分析</w:t>
      </w:r>
      <w:bookmarkEnd w:id="139"/>
      <w:bookmarkEnd w:id="140"/>
      <w:bookmarkEnd w:id="141"/>
      <w:bookmarkEnd w:id="142"/>
    </w:p>
    <w:p w14:paraId="02F35F66">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根据全国自然灾害综合风险普查—政府减灾资源（能力）调查表结果以及鄂托克旗应急避难场所调查表统计显示，鄂托克旗现有应急避难场所共27处，应急避难场所占地总规模63.03公顷，可容纳应急避难人口规模19.85万人。结合现状人口测算人均应急避难场所面积是3.18㎡/人。现状统计表仅为预估占地面积以及可容纳人数，所反映情况存在误差。根据重新统计各设施实际占地面积，结合学校操场有效面积，计算出现状应急避难场所可容纳人数为8.60万人。</w:t>
      </w:r>
    </w:p>
    <w:p w14:paraId="6F19C985">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根据《应急避难场所分级及分类》（GB/T44013-2024），对现状应急避难场所进行分类，现有应急避难场所建设类型主要为广场类15处，学校类10处，公园（绿地）类2处，均可以正常使用。根据避难时长分类，现状27处应急避难场所建设尚未达到标准化，初步分类为短期避难场所1处、长期避难场所1处、紧急避难场所25处，紧急避难场所占全部避难场所的92.59%。（详见附表1）。</w:t>
      </w:r>
    </w:p>
    <w:p w14:paraId="5CE5E89B">
      <w:pPr>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pPr>
    </w:p>
    <w:p w14:paraId="7FFC35CD">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避难时长分类现状。</w:t>
      </w:r>
      <w:r>
        <w:rPr>
          <w:rFonts w:hint="eastAsia" w:ascii="方正书宋简体" w:hAnsi="方正书宋简体" w:eastAsia="方正书宋简体" w:cs="方正书宋简体"/>
          <w:snapToGrid/>
          <w:color w:val="auto"/>
          <w:kern w:val="2"/>
          <w:sz w:val="21"/>
          <w:szCs w:val="21"/>
          <w:highlight w:val="none"/>
          <w:lang w:val="en-US" w:eastAsia="zh-CN"/>
        </w:rPr>
        <w:t>根据鄂托克旗应急避难场所调查表统计，现状27处应急避难场所中中心城区3处，分别为紧急难场所、短期避难场所、长期避难场所，其他24处苏木镇级应急避难场所均为紧急避难场所，紧急避难场所避难时长为1天以内。应急避难种类均为综合灾害（自然灾害），场所总体功能定位为综合型。</w:t>
      </w:r>
    </w:p>
    <w:p w14:paraId="0CF84FB4">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功能区及设施设备物资配置现状。</w:t>
      </w:r>
      <w:r>
        <w:rPr>
          <w:rFonts w:hint="eastAsia" w:ascii="方正书宋简体" w:hAnsi="方正书宋简体" w:eastAsia="方正书宋简体" w:cs="方正书宋简体"/>
          <w:snapToGrid/>
          <w:color w:val="auto"/>
          <w:kern w:val="2"/>
          <w:sz w:val="21"/>
          <w:szCs w:val="21"/>
          <w:highlight w:val="none"/>
          <w:lang w:val="en-US" w:eastAsia="zh-CN"/>
        </w:rPr>
        <w:t>现状应急避难场所均已挂有“应急避难场所”标识牌，中心城区应急避难场所同时还配置有“应急棚宿区”“应急供水”“应急供电”“应急厕所”“应急医疗救护”等标识。</w:t>
      </w:r>
    </w:p>
    <w:p w14:paraId="5BA55992">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bookmarkStart w:id="143" w:name="_Toc27591"/>
      <w:bookmarkStart w:id="144" w:name="_Toc3972"/>
      <w:bookmarkStart w:id="145" w:name="_Toc14750"/>
      <w:bookmarkStart w:id="146" w:name="_Toc24069"/>
      <w:r>
        <w:rPr>
          <w:rFonts w:hint="eastAsia" w:ascii="方正书宋简体" w:hAnsi="方正书宋简体" w:eastAsia="方正书宋简体" w:cs="方正书宋简体"/>
          <w:b/>
          <w:bCs/>
          <w:snapToGrid/>
          <w:color w:val="auto"/>
          <w:kern w:val="2"/>
          <w:sz w:val="21"/>
          <w:szCs w:val="21"/>
          <w:highlight w:val="none"/>
          <w:lang w:val="en-US" w:eastAsia="zh-CN"/>
        </w:rPr>
        <w:t>应急通道</w:t>
      </w:r>
      <w:bookmarkEnd w:id="143"/>
      <w:bookmarkEnd w:id="144"/>
      <w:bookmarkEnd w:id="145"/>
      <w:bookmarkEnd w:id="146"/>
      <w:r>
        <w:rPr>
          <w:rFonts w:hint="eastAsia" w:ascii="方正书宋简体" w:hAnsi="方正书宋简体" w:eastAsia="方正书宋简体" w:cs="方正书宋简体"/>
          <w:b/>
          <w:bCs/>
          <w:snapToGrid/>
          <w:color w:val="auto"/>
          <w:kern w:val="2"/>
          <w:sz w:val="21"/>
          <w:szCs w:val="21"/>
          <w:highlight w:val="none"/>
          <w:lang w:val="en-US" w:eastAsia="zh-CN"/>
        </w:rPr>
        <w:t>现状。</w:t>
      </w:r>
      <w:r>
        <w:rPr>
          <w:rFonts w:hint="eastAsia" w:ascii="方正书宋简体" w:hAnsi="方正书宋简体" w:eastAsia="方正书宋简体" w:cs="方正书宋简体"/>
          <w:snapToGrid/>
          <w:color w:val="auto"/>
          <w:kern w:val="2"/>
          <w:sz w:val="21"/>
          <w:szCs w:val="21"/>
          <w:highlight w:val="none"/>
          <w:lang w:val="en-US" w:eastAsia="zh-CN"/>
        </w:rPr>
        <w:t>从全旗层面看，依据《鄂托克旗国土空间总体规划（2021-2035）》，已构建以对外骨干通道为核心、城乡路网为支撑的应急交通体系：以荣乌高速G18、盐鄂高速S35、G109、G338、G242等国省干道为对外应急交通骨干，中心城区以“一环五横六纵”的道路网结构，“一环”指城市外环路；“五横”指北大街、桃力民路、西鄂尔多斯路、百眼井路、赛乌素路；“六纵”指西大街、阿尔巴斯街、阿尔寨街、苏里格街、木凯淖尔街、工业东街，构建起内部应急疏散道路。</w:t>
      </w:r>
    </w:p>
    <w:p w14:paraId="74694F40">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根据各场所实地勘查，现状27处场所除棋盘井镇靖安社区民族幼儿园、棋盘井镇天誉天城黑马广场等个别苏木镇场所仅有一条对外疏散通道，其余场所均有两条及以上道路可供使用，且基本能保证至少有一条次干路及以上等级道路可连通场所。</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r>
        <w:rPr>
          <w:rFonts w:hint="eastAsia" w:ascii="方正书宋简体" w:hAnsi="方正书宋简体" w:eastAsia="方正书宋简体" w:cs="方正书宋简体"/>
          <w:snapToGrid/>
          <w:color w:val="auto"/>
          <w:kern w:val="2"/>
          <w:sz w:val="21"/>
          <w:szCs w:val="21"/>
          <w:highlight w:val="none"/>
          <w:lang w:val="en-US" w:eastAsia="zh-CN"/>
        </w:rPr>
        <w:t>详见附表2</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r>
        <w:rPr>
          <w:rFonts w:hint="eastAsia" w:ascii="方正书宋简体" w:hAnsi="方正书宋简体" w:eastAsia="方正书宋简体" w:cs="方正书宋简体"/>
          <w:snapToGrid/>
          <w:color w:val="auto"/>
          <w:kern w:val="2"/>
          <w:sz w:val="21"/>
          <w:szCs w:val="21"/>
          <w:highlight w:val="none"/>
          <w:lang w:val="en-US" w:eastAsia="zh-CN"/>
        </w:rPr>
        <w:t>。</w:t>
      </w:r>
    </w:p>
    <w:p w14:paraId="32E4F7BF">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bookmarkStart w:id="147" w:name="_Toc3902"/>
      <w:bookmarkStart w:id="148" w:name="_Toc3444"/>
      <w:bookmarkStart w:id="149" w:name="_Toc22602"/>
      <w:bookmarkStart w:id="150" w:name="_Toc17594"/>
      <w:r>
        <w:rPr>
          <w:rFonts w:hint="eastAsia" w:ascii="方正书宋简体" w:hAnsi="方正书宋简体" w:eastAsia="方正书宋简体" w:cs="方正书宋简体"/>
          <w:b/>
          <w:bCs/>
          <w:snapToGrid/>
          <w:color w:val="auto"/>
          <w:kern w:val="2"/>
          <w:sz w:val="21"/>
          <w:szCs w:val="21"/>
          <w:highlight w:val="none"/>
          <w:lang w:val="en-US" w:eastAsia="zh-CN"/>
        </w:rPr>
        <w:t>相关基础设施</w:t>
      </w:r>
      <w:bookmarkEnd w:id="147"/>
      <w:bookmarkEnd w:id="148"/>
      <w:bookmarkEnd w:id="149"/>
      <w:bookmarkEnd w:id="150"/>
      <w:r>
        <w:rPr>
          <w:rFonts w:hint="eastAsia" w:ascii="方正书宋简体" w:hAnsi="方正书宋简体" w:eastAsia="方正书宋简体" w:cs="方正书宋简体"/>
          <w:b/>
          <w:bCs/>
          <w:snapToGrid/>
          <w:color w:val="auto"/>
          <w:kern w:val="2"/>
          <w:sz w:val="21"/>
          <w:szCs w:val="21"/>
          <w:highlight w:val="none"/>
          <w:lang w:val="en-US" w:eastAsia="zh-CN"/>
        </w:rPr>
        <w:t>现状。</w:t>
      </w:r>
      <w:r>
        <w:rPr>
          <w:rFonts w:hint="eastAsia" w:ascii="方正书宋简体" w:hAnsi="方正书宋简体" w:eastAsia="方正书宋简体" w:cs="方正书宋简体"/>
          <w:snapToGrid/>
          <w:color w:val="auto"/>
          <w:kern w:val="2"/>
          <w:sz w:val="21"/>
          <w:szCs w:val="21"/>
          <w:highlight w:val="none"/>
          <w:lang w:val="en-US" w:eastAsia="zh-CN"/>
        </w:rPr>
        <w:t>现状应急避难场所主要由广场和公园组成，各项基础设施的供给主要由市政管网和市政管线供给，已配置了供水、供电、通信等设施，灾时改造后可以使用。</w:t>
      </w:r>
    </w:p>
    <w:p w14:paraId="636D933B">
      <w:pPr>
        <w:pStyle w:val="2"/>
        <w:keepNext/>
        <w:keepLines/>
        <w:pageBreakBefore w:val="0"/>
        <w:widowControl w:val="0"/>
        <w:numPr>
          <w:ilvl w:val="0"/>
          <w:numId w:val="3"/>
        </w:numPr>
        <w:kinsoku/>
        <w:wordWrap/>
        <w:overflowPunct/>
        <w:topLinePunct w:val="0"/>
        <w:autoSpaceDE/>
        <w:autoSpaceDN/>
        <w:bidi w:val="0"/>
        <w:adjustRightInd w:val="0"/>
        <w:snapToGrid w:val="0"/>
        <w:spacing w:before="0" w:beforeLines="100" w:beforeAutospacing="0" w:after="0" w:afterLines="100" w:afterAutospacing="0" w:line="310" w:lineRule="exact"/>
        <w:ind w:left="0" w:firstLine="0" w:firstLineChars="0"/>
        <w:jc w:val="center"/>
        <w:textAlignment w:val="auto"/>
        <w:rPr>
          <w:rFonts w:hint="eastAsia" w:ascii="方正书宋简体" w:hAnsi="方正书宋简体" w:eastAsia="方正书宋简体" w:cs="方正书宋简体"/>
          <w:sz w:val="21"/>
          <w:szCs w:val="21"/>
          <w:lang w:eastAsia="zh-CN"/>
        </w:rPr>
        <w:sectPr>
          <w:type w:val="continuous"/>
          <w:pgSz w:w="11906" w:h="16838"/>
          <w:pgMar w:top="1701" w:right="1247" w:bottom="1701" w:left="1247" w:header="850" w:footer="1109" w:gutter="0"/>
          <w:pgNumType w:fmt="decimal"/>
          <w:cols w:equalWidth="0" w:num="2">
            <w:col w:w="4493" w:space="425"/>
            <w:col w:w="4493"/>
          </w:cols>
        </w:sectPr>
      </w:pPr>
      <w:bookmarkStart w:id="151" w:name="_Toc26867"/>
      <w:bookmarkStart w:id="152" w:name="_Toc6222"/>
      <w:bookmarkStart w:id="153" w:name="_Toc30060"/>
      <w:bookmarkStart w:id="154" w:name="_Toc30340"/>
    </w:p>
    <w:p w14:paraId="46D25383">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100" w:beforeAutospacing="0" w:after="0" w:afterLines="100" w:afterAutospacing="0" w:line="310" w:lineRule="exact"/>
        <w:ind w:left="0" w:leftChars="0" w:firstLine="0" w:firstLineChars="0"/>
        <w:jc w:val="center"/>
        <w:textAlignment w:val="auto"/>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l="0"/>
          <w:vanish w:val="0"/>
          <w:color w:val="000000"/>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pPr>
    </w:p>
    <w:p w14:paraId="37FA8AB9">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100" w:beforeAutospacing="0" w:after="0" w:afterLines="100" w:afterAutospacing="0" w:line="310" w:lineRule="exact"/>
        <w:ind w:left="0" w:leftChars="0" w:firstLine="0" w:firstLineChars="0"/>
        <w:jc w:val="center"/>
        <w:textAlignment w:val="auto"/>
        <w:rPr>
          <w:rFonts w:hint="eastAsia" w:ascii="方正书宋简体" w:hAnsi="方正书宋简体" w:eastAsia="方正书宋简体" w:cs="方正书宋简体"/>
          <w:b/>
          <w:bCs w:val="0"/>
          <w:sz w:val="21"/>
          <w:szCs w:val="21"/>
          <w:lang w:eastAsia="zh-CN"/>
        </w:rPr>
      </w:pPr>
      <w:r>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l="0"/>
          <w:vanish w:val="0"/>
          <w:color w:val="000000"/>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第三章</w:t>
      </w:r>
      <w:r>
        <w:rPr>
          <w:rFonts w:hint="eastAsia" w:ascii="方正书宋简体" w:hAnsi="方正书宋简体" w:eastAsia="方正书宋简体" w:cs="方正书宋简体"/>
          <w:b/>
          <w:bCs/>
          <w:i w:val="0"/>
          <w:iCs w:val="0"/>
          <w:caps w:val="0"/>
          <w:smallCaps w:val="0"/>
          <w:strike w:val="0"/>
          <w:dstrike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       </w:t>
      </w:r>
      <w:r>
        <w:rPr>
          <w:rFonts w:hint="eastAsia" w:ascii="方正书宋简体" w:hAnsi="方正书宋简体" w:eastAsia="方正书宋简体" w:cs="方正书宋简体"/>
          <w:b/>
          <w:bCs w:val="0"/>
          <w:snapToGrid/>
          <w:color w:val="auto"/>
          <w:sz w:val="21"/>
          <w:szCs w:val="21"/>
          <w:highlight w:val="none"/>
          <w:lang w:eastAsia="zh-CN"/>
        </w:rPr>
        <w:t>规划目标与指标</w:t>
      </w:r>
      <w:bookmarkEnd w:id="125"/>
      <w:bookmarkEnd w:id="126"/>
      <w:bookmarkEnd w:id="127"/>
      <w:bookmarkEnd w:id="128"/>
      <w:bookmarkEnd w:id="151"/>
      <w:bookmarkEnd w:id="152"/>
      <w:bookmarkEnd w:id="153"/>
      <w:bookmarkEnd w:id="154"/>
    </w:p>
    <w:p w14:paraId="61FE307C">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pPr>
      <w:bookmarkStart w:id="155" w:name="bookmark38"/>
      <w:bookmarkEnd w:id="155"/>
      <w:bookmarkStart w:id="156" w:name="_Toc8266"/>
      <w:bookmarkStart w:id="157" w:name="_Toc27040"/>
      <w:bookmarkStart w:id="158" w:name="_Toc5420"/>
      <w:bookmarkStart w:id="159" w:name="_Toc5408"/>
      <w:bookmarkStart w:id="160" w:name="_Toc23004"/>
      <w:bookmarkStart w:id="161" w:name="_Toc16058"/>
      <w:bookmarkStart w:id="162" w:name="_Toc14681"/>
      <w:bookmarkStart w:id="163" w:name="_Toc8367"/>
      <w:r>
        <w:rPr>
          <w:rFonts w:hint="eastAsia" w:ascii="方正书宋简体" w:hAnsi="方正书宋简体" w:eastAsia="方正书宋简体" w:cs="方正书宋简体"/>
          <w:b w:val="0"/>
          <w:snapToGrid/>
          <w:color w:val="auto"/>
          <w:kern w:val="2"/>
          <w:sz w:val="21"/>
          <w:szCs w:val="21"/>
          <w:lang w:val="en-US" w:eastAsia="zh-CN" w:bidi="ar-SA"/>
        </w:rPr>
        <w:t>第一节　</w:t>
      </w:r>
      <w:r>
        <w:rPr>
          <w:rFonts w:hint="eastAsia" w:ascii="方正书宋简体" w:hAnsi="方正书宋简体" w:eastAsia="方正书宋简体" w:cs="方正书宋简体"/>
          <w:b w:val="0"/>
          <w:snapToGrid/>
          <w:color w:val="auto"/>
          <w:kern w:val="2"/>
          <w:sz w:val="21"/>
          <w:szCs w:val="21"/>
          <w:highlight w:val="none"/>
          <w:lang w:val="en-US" w:eastAsia="zh-CN"/>
        </w:rPr>
        <w:t>规划目标</w:t>
      </w:r>
      <w:bookmarkEnd w:id="156"/>
      <w:bookmarkEnd w:id="157"/>
      <w:bookmarkEnd w:id="158"/>
      <w:bookmarkEnd w:id="159"/>
      <w:bookmarkEnd w:id="160"/>
      <w:bookmarkEnd w:id="161"/>
      <w:bookmarkEnd w:id="162"/>
      <w:bookmarkEnd w:id="163"/>
    </w:p>
    <w:p w14:paraId="4916A678">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textAlignment w:val="auto"/>
        <w:outlineLvl w:val="2"/>
        <w:rPr>
          <w:rFonts w:hint="eastAsia" w:ascii="方正书宋简体" w:hAnsi="方正书宋简体" w:eastAsia="方正书宋简体" w:cs="方正书宋简体"/>
          <w:b/>
          <w:bCs/>
          <w:color w:val="auto"/>
          <w:sz w:val="21"/>
          <w:szCs w:val="21"/>
          <w:highlight w:val="none"/>
          <w:lang w:val="en-US" w:eastAsia="zh-CN"/>
        </w:rPr>
        <w:sectPr>
          <w:type w:val="continuous"/>
          <w:pgSz w:w="11906" w:h="16838"/>
          <w:pgMar w:top="1701" w:right="1247" w:bottom="1701" w:left="1247" w:header="850" w:footer="1109" w:gutter="0"/>
          <w:pgNumType w:fmt="decimal"/>
          <w:cols w:space="425" w:num="1"/>
        </w:sectPr>
      </w:pPr>
      <w:bookmarkStart w:id="164" w:name="_Toc28151"/>
      <w:bookmarkStart w:id="165" w:name="_Toc31374"/>
      <w:bookmarkStart w:id="166" w:name="_Toc20514"/>
      <w:bookmarkStart w:id="167" w:name="_Toc21152"/>
    </w:p>
    <w:p w14:paraId="0F866675">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textAlignment w:val="auto"/>
        <w:outlineLvl w:val="2"/>
        <w:rPr>
          <w:rFonts w:hint="eastAsia" w:ascii="方正书宋简体" w:hAnsi="方正书宋简体" w:eastAsia="方正书宋简体" w:cs="方正书宋简体"/>
          <w:b/>
          <w:bCs/>
          <w:color w:val="auto"/>
          <w:sz w:val="21"/>
          <w:szCs w:val="21"/>
          <w:highlight w:val="none"/>
          <w:lang w:val="en-US" w:eastAsia="zh-CN"/>
        </w:rPr>
      </w:pPr>
      <w:r>
        <w:rPr>
          <w:rFonts w:hint="eastAsia" w:ascii="方正书宋简体" w:hAnsi="方正书宋简体" w:eastAsia="方正书宋简体" w:cs="方正书宋简体"/>
          <w:b/>
          <w:bCs w:val="0"/>
          <w:i w:val="0"/>
          <w:snapToGrid w:val="0"/>
          <w:color w:val="auto"/>
          <w:kern w:val="0"/>
          <w:sz w:val="21"/>
          <w:szCs w:val="21"/>
          <w:lang w:val="en-US" w:eastAsia="zh-CN" w:bidi="ar-SA"/>
        </w:rPr>
        <w:t xml:space="preserve">第10条 </w:t>
      </w:r>
      <w:r>
        <w:rPr>
          <w:rFonts w:hint="eastAsia" w:ascii="方正书宋简体" w:hAnsi="方正书宋简体" w:eastAsia="方正书宋简体" w:cs="方正书宋简体"/>
          <w:b/>
          <w:bCs/>
          <w:color w:val="auto"/>
          <w:sz w:val="21"/>
          <w:szCs w:val="21"/>
          <w:highlight w:val="none"/>
          <w:lang w:val="en-US" w:eastAsia="zh-CN"/>
        </w:rPr>
        <w:t>总体目标</w:t>
      </w:r>
      <w:bookmarkEnd w:id="164"/>
      <w:bookmarkEnd w:id="165"/>
      <w:bookmarkEnd w:id="166"/>
      <w:bookmarkEnd w:id="167"/>
    </w:p>
    <w:p w14:paraId="692CF811">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全面推动应急管理事业改革创新发展，规划期内，使鄂托克旗应急管理工作系统性、协同性显著增强；基本建成统一领导、统一指挥、权责一致、专常兼备、上下联动、权威高效的应急体系。应急基础更加坚实，应急力量与安全生产、生活、生态相匹配；全面提高综合应急管理能力，有效提升防控城乡重大安全风险的水平。实现“六个转变”，即努力实现从注重灾后救助向注重灾前预防转变；从应对单一灾种向综合减灾转变；从减少灾害损失向减轻灾害风险转变；由临时性、被动性的传统管理模式向制度化、标准化的法治管理模式转变；由以政府为主的行政化应急管理向政府主导、全社会参与的应急管理转变；由依托经验判断向科技支撑决策转变。</w:t>
      </w:r>
    </w:p>
    <w:p w14:paraId="0DB630EA">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2025年底前，遵循发展规划、国土空间总体规划等，全面开展旗应急避难场所专项规划编制，批复后按程序纳入详细规划及国土空间规划“一张图”，初步形成旗、苏木镇和嘎查村（社区）三级应急避难场所布局体系，乡村应急避难场所覆盖范围进一步扩大，综合防灾减灾功能进一步夯实。综合性应急避难场所至少可满足本级行政区所需避难总人数的60%，室内可容纳避难人数不低于室内外可容纳避难人数的2O%。</w:t>
      </w:r>
    </w:p>
    <w:p w14:paraId="079F6919">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2035年底前，城乡布局合理、资源统筹共享、功能设施完备、平急（疫/战）综合利用、管理运维规范，与中国式现代化相适应的全旗应急避难场所体系全面建立，</w:t>
      </w:r>
      <w:r>
        <w:rPr>
          <w:rFonts w:hint="eastAsia" w:ascii="方正书宋简体" w:hAnsi="方正书宋简体" w:eastAsia="方正书宋简体" w:cs="方正书宋简体"/>
          <w:b w:val="0"/>
          <w:bCs w:val="0"/>
          <w:snapToGrid/>
          <w:color w:val="auto"/>
          <w:kern w:val="2"/>
          <w:sz w:val="21"/>
          <w:szCs w:val="21"/>
          <w:highlight w:val="none"/>
          <w:u w:val="none"/>
          <w:lang w:val="en-US" w:eastAsia="zh-CN"/>
        </w:rPr>
        <w:t>共完成179处应急避难场所的标准化改造，</w:t>
      </w:r>
      <w:r>
        <w:rPr>
          <w:rFonts w:hint="eastAsia" w:ascii="方正书宋简体" w:hAnsi="方正书宋简体" w:eastAsia="方正书宋简体" w:cs="方正书宋简体"/>
          <w:snapToGrid/>
          <w:color w:val="auto"/>
          <w:kern w:val="2"/>
          <w:sz w:val="21"/>
          <w:szCs w:val="21"/>
          <w:highlight w:val="none"/>
          <w:lang w:val="en-US" w:eastAsia="zh-CN"/>
        </w:rPr>
        <w:t>满足城乡人口避难需求的应急避难场所全覆盖，全旗应急避难能力水平全面提高。</w:t>
      </w:r>
    </w:p>
    <w:p w14:paraId="7868610D">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textAlignment w:val="auto"/>
        <w:outlineLvl w:val="2"/>
        <w:rPr>
          <w:rFonts w:hint="eastAsia" w:ascii="方正书宋简体" w:hAnsi="方正书宋简体" w:eastAsia="方正书宋简体" w:cs="方正书宋简体"/>
          <w:b/>
          <w:bCs/>
          <w:color w:val="auto"/>
          <w:sz w:val="21"/>
          <w:szCs w:val="21"/>
          <w:highlight w:val="none"/>
          <w:lang w:val="en-US" w:eastAsia="zh-CN"/>
        </w:rPr>
      </w:pPr>
      <w:r>
        <w:rPr>
          <w:rFonts w:hint="eastAsia" w:ascii="方正书宋简体" w:hAnsi="方正书宋简体" w:eastAsia="方正书宋简体" w:cs="方正书宋简体"/>
          <w:b/>
          <w:bCs w:val="0"/>
          <w:i w:val="0"/>
          <w:snapToGrid w:val="0"/>
          <w:color w:val="auto"/>
          <w:kern w:val="0"/>
          <w:sz w:val="21"/>
          <w:szCs w:val="21"/>
          <w:lang w:val="en-US" w:eastAsia="zh-CN" w:bidi="ar-SA"/>
        </w:rPr>
        <w:t xml:space="preserve">第11条 </w:t>
      </w:r>
      <w:r>
        <w:rPr>
          <w:rFonts w:hint="eastAsia" w:ascii="方正书宋简体" w:hAnsi="方正书宋简体" w:eastAsia="方正书宋简体" w:cs="方正书宋简体"/>
          <w:b/>
          <w:bCs/>
          <w:color w:val="auto"/>
          <w:sz w:val="21"/>
          <w:szCs w:val="21"/>
          <w:highlight w:val="none"/>
          <w:lang w:val="en-US" w:eastAsia="zh-CN"/>
        </w:rPr>
        <w:t>近期目标</w:t>
      </w:r>
    </w:p>
    <w:p w14:paraId="429CA201">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val="0"/>
          <w:color w:val="auto"/>
          <w:kern w:val="0"/>
          <w:sz w:val="21"/>
          <w:szCs w:val="21"/>
          <w:highlight w:val="none"/>
          <w:u w:val="single"/>
          <w:lang w:val="en-US" w:eastAsia="zh-CN" w:bidi="ar"/>
        </w:rPr>
        <w:t>至2030年，综合性应急避难场所不少于鄂托克旗所需避难总人数的80%，室内可容纳避难人数不低于室内外可容纳避难人数的20%。</w:t>
      </w:r>
      <w:r>
        <w:rPr>
          <w:rFonts w:hint="eastAsia" w:ascii="方正书宋简体" w:hAnsi="方正书宋简体" w:eastAsia="方正书宋简体" w:cs="方正书宋简体"/>
          <w:snapToGrid/>
          <w:color w:val="auto"/>
          <w:kern w:val="2"/>
          <w:sz w:val="21"/>
          <w:szCs w:val="21"/>
          <w:highlight w:val="none"/>
          <w:lang w:val="en-US" w:eastAsia="zh-CN"/>
        </w:rPr>
        <w:t>构建“长期应急避难场所、短期应急避难场所、紧急应急避难场所”三级避难场所体系，规划依托现有潜力资源改造应急避难场所共48处。规划近期应急避难场所有效避难面积28.60公顷，可容纳避难人口13.37万人，</w:t>
      </w:r>
      <w:r>
        <w:rPr>
          <w:rFonts w:hint="eastAsia" w:ascii="方正书宋简体" w:hAnsi="方正书宋简体" w:eastAsia="方正书宋简体" w:cs="方正书宋简体"/>
          <w:b/>
          <w:bCs/>
          <w:snapToGrid/>
          <w:color w:val="auto"/>
          <w:kern w:val="2"/>
          <w:sz w:val="21"/>
          <w:szCs w:val="21"/>
          <w:highlight w:val="none"/>
          <w:u w:val="single"/>
          <w:lang w:val="en-US" w:eastAsia="zh-CN"/>
        </w:rPr>
        <w:t>人均有效避难面积达到2.14平方米/人，</w:t>
      </w:r>
      <w:r>
        <w:rPr>
          <w:rFonts w:hint="eastAsia" w:ascii="方正书宋简体" w:hAnsi="方正书宋简体" w:eastAsia="方正书宋简体" w:cs="方正书宋简体"/>
          <w:snapToGrid/>
          <w:color w:val="auto"/>
          <w:kern w:val="2"/>
          <w:sz w:val="21"/>
          <w:szCs w:val="21"/>
          <w:highlight w:val="none"/>
          <w:lang w:val="en-US" w:eastAsia="zh-CN"/>
        </w:rPr>
        <w:t>可满足区域内55.25%人口的避难需求。</w:t>
      </w:r>
    </w:p>
    <w:p w14:paraId="769B9669">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textAlignment w:val="auto"/>
        <w:outlineLvl w:val="2"/>
        <w:rPr>
          <w:rFonts w:hint="eastAsia" w:ascii="方正书宋简体" w:hAnsi="方正书宋简体" w:eastAsia="方正书宋简体" w:cs="方正书宋简体"/>
          <w:b/>
          <w:bCs/>
          <w:color w:val="auto"/>
          <w:sz w:val="21"/>
          <w:szCs w:val="21"/>
          <w:highlight w:val="none"/>
          <w:lang w:val="en-US" w:eastAsia="zh-CN"/>
        </w:rPr>
      </w:pPr>
      <w:r>
        <w:rPr>
          <w:rFonts w:hint="eastAsia" w:ascii="方正书宋简体" w:hAnsi="方正书宋简体" w:eastAsia="方正书宋简体" w:cs="方正书宋简体"/>
          <w:b/>
          <w:bCs w:val="0"/>
          <w:i w:val="0"/>
          <w:snapToGrid w:val="0"/>
          <w:color w:val="auto"/>
          <w:kern w:val="0"/>
          <w:sz w:val="21"/>
          <w:szCs w:val="21"/>
          <w:lang w:val="en-US" w:eastAsia="zh-CN" w:bidi="ar-SA"/>
        </w:rPr>
        <w:t xml:space="preserve">第12条 </w:t>
      </w:r>
      <w:r>
        <w:rPr>
          <w:rFonts w:hint="eastAsia" w:ascii="方正书宋简体" w:hAnsi="方正书宋简体" w:eastAsia="方正书宋简体" w:cs="方正书宋简体"/>
          <w:b/>
          <w:bCs/>
          <w:color w:val="auto"/>
          <w:sz w:val="21"/>
          <w:szCs w:val="21"/>
          <w:highlight w:val="none"/>
          <w:lang w:val="en-US" w:eastAsia="zh-CN"/>
        </w:rPr>
        <w:t>远期目标</w:t>
      </w:r>
    </w:p>
    <w:p w14:paraId="38440BD6">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b w:val="0"/>
          <w:bCs w:val="0"/>
          <w:snapToGrid/>
          <w:color w:val="auto"/>
          <w:kern w:val="2"/>
          <w:sz w:val="21"/>
          <w:szCs w:val="21"/>
          <w:highlight w:val="none"/>
          <w:u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至2035年，鄂托克旗应急基础夯实，全面建成“旗、苏木镇、嘎查村（社区）”三级应急避难场所体系，专常兼备的综合应急救援队伍充实完备，专业设备齐全，应急救援指挥数字化实现全覆盖，基础设施防灾减灾能力良好，全民应急意识深入人心。</w:t>
      </w:r>
      <w:r>
        <w:rPr>
          <w:rFonts w:hint="eastAsia" w:ascii="方正书宋简体" w:hAnsi="方正书宋简体" w:eastAsia="方正书宋简体" w:cs="方正书宋简体"/>
          <w:b w:val="0"/>
          <w:bCs w:val="0"/>
          <w:snapToGrid/>
          <w:color w:val="auto"/>
          <w:kern w:val="2"/>
          <w:sz w:val="21"/>
          <w:szCs w:val="21"/>
          <w:highlight w:val="none"/>
          <w:u w:val="none"/>
          <w:lang w:val="en-US" w:eastAsia="zh-CN"/>
        </w:rPr>
        <w:t>2035年前完成其余131处应急避难场所的标准化改造。规划远期应急避难场所有效避难面积达到72.69公顷，可容纳避难人口35.73万人，</w:t>
      </w:r>
      <w:r>
        <w:rPr>
          <w:rFonts w:hint="eastAsia" w:ascii="方正书宋简体" w:hAnsi="方正书宋简体" w:eastAsia="方正书宋简体" w:cs="方正书宋简体"/>
          <w:b/>
          <w:bCs/>
          <w:snapToGrid w:val="0"/>
          <w:color w:val="auto"/>
          <w:kern w:val="0"/>
          <w:sz w:val="21"/>
          <w:szCs w:val="21"/>
          <w:highlight w:val="none"/>
          <w:u w:val="single"/>
          <w:lang w:val="en-US" w:eastAsia="zh-CN" w:bidi="ar"/>
        </w:rPr>
        <w:t>人均有效避难面积达到2.03平方米/人，</w:t>
      </w:r>
      <w:r>
        <w:rPr>
          <w:rFonts w:hint="eastAsia" w:ascii="方正书宋简体" w:hAnsi="方正书宋简体" w:eastAsia="方正书宋简体" w:cs="方正书宋简体"/>
          <w:b w:val="0"/>
          <w:bCs w:val="0"/>
          <w:snapToGrid/>
          <w:color w:val="auto"/>
          <w:kern w:val="2"/>
          <w:sz w:val="21"/>
          <w:szCs w:val="21"/>
          <w:highlight w:val="none"/>
          <w:u w:val="none"/>
          <w:lang w:val="en-US" w:eastAsia="zh-CN"/>
        </w:rPr>
        <w:t>可满足区域内100%人口的避难需求。</w:t>
      </w:r>
    </w:p>
    <w:p w14:paraId="2770119F">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b w:val="0"/>
          <w:bCs w:val="0"/>
          <w:snapToGrid/>
          <w:color w:val="auto"/>
          <w:kern w:val="2"/>
          <w:sz w:val="21"/>
          <w:szCs w:val="21"/>
          <w:highlight w:val="none"/>
          <w:u w:val="none"/>
          <w:lang w:val="en-US" w:eastAsia="zh-CN"/>
        </w:rPr>
      </w:pPr>
      <w:r>
        <w:rPr>
          <w:rFonts w:hint="eastAsia" w:ascii="方正书宋简体" w:hAnsi="方正书宋简体" w:eastAsia="方正书宋简体" w:cs="方正书宋简体"/>
          <w:b w:val="0"/>
          <w:bCs w:val="0"/>
          <w:snapToGrid/>
          <w:color w:val="auto"/>
          <w:kern w:val="2"/>
          <w:sz w:val="21"/>
          <w:szCs w:val="21"/>
          <w:highlight w:val="none"/>
          <w:u w:val="none"/>
          <w:lang w:val="en-US" w:eastAsia="zh-CN"/>
        </w:rPr>
        <w:t>根据规划2035年常住人口（24.2万人）以及《防灾避难场所设计规范》（GB51143-2015)(2021年版）要求，预测至2035年全旗所需避难面积最低控制指标为50.61公顷。</w:t>
      </w:r>
    </w:p>
    <w:p w14:paraId="4BEC216B">
      <w:pPr>
        <w:pStyle w:val="3"/>
        <w:keepNext w:val="0"/>
        <w:pageBreakBefore w:val="0"/>
        <w:widowControl w:val="0"/>
        <w:numPr>
          <w:ilvl w:val="1"/>
          <w:numId w:val="4"/>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firstLine="403"/>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sectPr>
          <w:type w:val="continuous"/>
          <w:pgSz w:w="11906" w:h="16838"/>
          <w:pgMar w:top="1701" w:right="1247" w:bottom="1701" w:left="1247" w:header="850" w:footer="1109" w:gutter="0"/>
          <w:pgNumType w:fmt="decimal"/>
          <w:cols w:equalWidth="0" w:num="2">
            <w:col w:w="4493" w:space="425"/>
            <w:col w:w="4493"/>
          </w:cols>
        </w:sectPr>
      </w:pPr>
      <w:bookmarkStart w:id="168" w:name="_Toc8171"/>
      <w:bookmarkStart w:id="169" w:name="_Toc9489"/>
      <w:bookmarkStart w:id="170" w:name="_Toc20764"/>
      <w:bookmarkStart w:id="171" w:name="_Toc9054"/>
      <w:bookmarkStart w:id="172" w:name="_Toc23184"/>
      <w:bookmarkStart w:id="173" w:name="_Toc27217"/>
      <w:bookmarkStart w:id="174" w:name="_Toc13691"/>
      <w:bookmarkStart w:id="175" w:name="_Toc21164"/>
    </w:p>
    <w:p w14:paraId="0CAAD909">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val="0"/>
          <w:snapToGrid/>
          <w:color w:val="auto"/>
          <w:kern w:val="2"/>
          <w:sz w:val="21"/>
          <w:szCs w:val="21"/>
          <w:lang w:val="en-US" w:eastAsia="zh-CN" w:bidi="ar-SA"/>
        </w:rPr>
      </w:pPr>
    </w:p>
    <w:p w14:paraId="13947884">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pPr>
      <w:r>
        <w:rPr>
          <w:rFonts w:hint="eastAsia" w:ascii="方正书宋简体" w:hAnsi="方正书宋简体" w:eastAsia="方正书宋简体" w:cs="方正书宋简体"/>
          <w:b w:val="0"/>
          <w:snapToGrid/>
          <w:color w:val="auto"/>
          <w:kern w:val="2"/>
          <w:sz w:val="21"/>
          <w:szCs w:val="21"/>
          <w:lang w:val="en-US" w:eastAsia="zh-CN" w:bidi="ar-SA"/>
        </w:rPr>
        <w:t>第二节　</w:t>
      </w:r>
      <w:r>
        <w:rPr>
          <w:rFonts w:hint="eastAsia" w:ascii="方正书宋简体" w:hAnsi="方正书宋简体" w:eastAsia="方正书宋简体" w:cs="方正书宋简体"/>
          <w:b w:val="0"/>
          <w:snapToGrid/>
          <w:color w:val="auto"/>
          <w:kern w:val="2"/>
          <w:sz w:val="21"/>
          <w:szCs w:val="21"/>
          <w:highlight w:val="none"/>
          <w:lang w:val="en-US" w:eastAsia="zh-CN"/>
        </w:rPr>
        <w:t>指标体系</w:t>
      </w:r>
      <w:bookmarkEnd w:id="168"/>
      <w:bookmarkEnd w:id="169"/>
      <w:bookmarkEnd w:id="170"/>
      <w:bookmarkEnd w:id="171"/>
      <w:bookmarkEnd w:id="172"/>
      <w:bookmarkEnd w:id="173"/>
      <w:bookmarkEnd w:id="174"/>
      <w:bookmarkEnd w:id="175"/>
    </w:p>
    <w:p w14:paraId="50B6B6ED">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p>
    <w:p w14:paraId="60C7BF41">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根据《应急避难场所专项规划编制指南》和《应急避难场所建设规范》（GB/T44013-2024）的规定，依据鄂托克旗应急避难场所发展现状、需求、资源等情况，提出本次专项规划指标。所有指标均为预期性指标，旨在系统提升应急避难保障能力。</w:t>
      </w:r>
    </w:p>
    <w:p w14:paraId="7A45CF63">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在应急避难能力建设方面，鄂托克旗将在多方面持续提升近期（2030年）和远期（2035年）目标：</w:t>
      </w:r>
    </w:p>
    <w:p w14:paraId="62129EB0">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总体指标上，可满足避难人口规模2030年为13.37万人，2035年≥24.2万人；满足所需避难人口百分比2030年为68.21%，2035年为100%；人均有效避难面积2030年为2.14㎡/人，2035年为2.03㎡/人。</w:t>
      </w:r>
    </w:p>
    <w:p w14:paraId="7058146E">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分级指标方面，2030年旗级应急避难场所比例为31.25%，2035年为18.44%；2030年苏木镇级应急避难场所比例为54.17%，2035年为29.60%；2030年嘎查村（社区）级应急避难场所比例为14.58%，2035年为51.96%。</w:t>
      </w:r>
    </w:p>
    <w:p w14:paraId="65E74ACB">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分类指标方面，2030年长期避难场所比例为16.67%，2035年达6.15%；2030年短期避难场所比例为31.25%，2035年升至17.32%；2030年紧急避难场所比例为52.08%，2035年至76.53%；2030年室内型避难场所比例为41.67%，2035年为59.78%；2030年室外型避难场所比例为58.33%，2035年为40.22%。详见下表。</w:t>
      </w:r>
    </w:p>
    <w:p w14:paraId="4DE81608">
      <w:pPr>
        <w:pStyle w:val="25"/>
        <w:keepNext w:val="0"/>
        <w:keepLines w:val="0"/>
        <w:pageBreakBefore w:val="0"/>
        <w:widowControl w:val="0"/>
        <w:kinsoku/>
        <w:wordWrap/>
        <w:overflowPunct/>
        <w:topLinePunct w:val="0"/>
        <w:autoSpaceDE/>
        <w:autoSpaceDN/>
        <w:bidi w:val="0"/>
        <w:adjustRightInd w:val="0"/>
        <w:snapToGrid w:val="0"/>
        <w:spacing w:line="310" w:lineRule="exact"/>
        <w:ind w:firstLine="408" w:firstLineChars="200"/>
        <w:jc w:val="center"/>
        <w:textAlignment w:val="auto"/>
        <w:rPr>
          <w:rFonts w:hint="eastAsia" w:ascii="方正书宋简体" w:hAnsi="方正书宋简体" w:eastAsia="方正书宋简体" w:cs="方正书宋简体"/>
          <w:b w:val="0"/>
          <w:bCs w:val="0"/>
          <w:color w:val="auto"/>
          <w:spacing w:val="-3"/>
          <w:sz w:val="21"/>
          <w:szCs w:val="21"/>
          <w:highlight w:val="none"/>
          <w:lang w:val="en-US" w:eastAsia="zh-CN"/>
        </w:rPr>
      </w:pPr>
    </w:p>
    <w:p w14:paraId="07727EF8">
      <w:pPr>
        <w:pStyle w:val="25"/>
        <w:keepNext w:val="0"/>
        <w:keepLines w:val="0"/>
        <w:pageBreakBefore w:val="0"/>
        <w:widowControl w:val="0"/>
        <w:kinsoku/>
        <w:wordWrap/>
        <w:overflowPunct/>
        <w:topLinePunct w:val="0"/>
        <w:autoSpaceDE/>
        <w:autoSpaceDN/>
        <w:bidi w:val="0"/>
        <w:adjustRightInd w:val="0"/>
        <w:snapToGrid w:val="0"/>
        <w:spacing w:line="310" w:lineRule="exact"/>
        <w:ind w:firstLine="408" w:firstLineChars="200"/>
        <w:jc w:val="center"/>
        <w:textAlignment w:val="auto"/>
        <w:rPr>
          <w:rFonts w:hint="eastAsia" w:ascii="方正书宋简体" w:hAnsi="方正书宋简体" w:eastAsia="方正书宋简体" w:cs="方正书宋简体"/>
          <w:b w:val="0"/>
          <w:bCs w:val="0"/>
          <w:color w:val="auto"/>
          <w:spacing w:val="-3"/>
          <w:sz w:val="21"/>
          <w:szCs w:val="21"/>
          <w:highlight w:val="none"/>
          <w:lang w:val="en-US" w:eastAsia="zh-CN"/>
        </w:rPr>
      </w:pPr>
    </w:p>
    <w:p w14:paraId="34F135DB">
      <w:pPr>
        <w:pStyle w:val="25"/>
        <w:keepNext w:val="0"/>
        <w:keepLines w:val="0"/>
        <w:pageBreakBefore w:val="0"/>
        <w:widowControl w:val="0"/>
        <w:kinsoku/>
        <w:wordWrap/>
        <w:overflowPunct/>
        <w:topLinePunct w:val="0"/>
        <w:autoSpaceDE/>
        <w:autoSpaceDN/>
        <w:bidi w:val="0"/>
        <w:adjustRightInd w:val="0"/>
        <w:snapToGrid w:val="0"/>
        <w:spacing w:line="310" w:lineRule="exact"/>
        <w:ind w:firstLine="408" w:firstLineChars="200"/>
        <w:jc w:val="center"/>
        <w:textAlignment w:val="auto"/>
        <w:rPr>
          <w:rFonts w:hint="eastAsia" w:ascii="方正书宋简体" w:hAnsi="方正书宋简体" w:eastAsia="方正书宋简体" w:cs="方正书宋简体"/>
          <w:b w:val="0"/>
          <w:bCs w:val="0"/>
          <w:color w:val="auto"/>
          <w:spacing w:val="-3"/>
          <w:sz w:val="21"/>
          <w:szCs w:val="21"/>
          <w:highlight w:val="none"/>
          <w:lang w:val="en-US" w:eastAsia="zh-CN"/>
        </w:rPr>
        <w:sectPr>
          <w:type w:val="continuous"/>
          <w:pgSz w:w="11906" w:h="16838"/>
          <w:pgMar w:top="1701" w:right="1247" w:bottom="1701" w:left="1247" w:header="850" w:footer="1109" w:gutter="0"/>
          <w:pgNumType w:fmt="decimal"/>
          <w:cols w:equalWidth="0" w:num="2">
            <w:col w:w="4493" w:space="425"/>
            <w:col w:w="4493"/>
          </w:cols>
        </w:sectPr>
      </w:pPr>
    </w:p>
    <w:p w14:paraId="5C65C36E">
      <w:pPr>
        <w:pStyle w:val="25"/>
        <w:keepNext w:val="0"/>
        <w:keepLines w:val="0"/>
        <w:pageBreakBefore w:val="0"/>
        <w:widowControl w:val="0"/>
        <w:kinsoku/>
        <w:wordWrap/>
        <w:overflowPunct/>
        <w:topLinePunct w:val="0"/>
        <w:autoSpaceDE/>
        <w:autoSpaceDN/>
        <w:bidi w:val="0"/>
        <w:adjustRightInd w:val="0"/>
        <w:snapToGrid w:val="0"/>
        <w:spacing w:line="310" w:lineRule="exact"/>
        <w:ind w:firstLine="410" w:firstLineChars="200"/>
        <w:jc w:val="center"/>
        <w:textAlignment w:val="auto"/>
        <w:rPr>
          <w:rFonts w:hint="eastAsia" w:ascii="方正书宋简体" w:hAnsi="方正书宋简体" w:eastAsia="方正书宋简体" w:cs="方正书宋简体"/>
          <w:b/>
          <w:bCs/>
          <w:color w:val="auto"/>
          <w:spacing w:val="-3"/>
          <w:sz w:val="21"/>
          <w:szCs w:val="21"/>
          <w:highlight w:val="none"/>
          <w:lang w:val="en-US" w:eastAsia="zh-CN"/>
        </w:rPr>
      </w:pPr>
      <w:r>
        <w:rPr>
          <w:rFonts w:hint="eastAsia" w:ascii="方正书宋简体" w:hAnsi="方正书宋简体" w:eastAsia="方正书宋简体" w:cs="方正书宋简体"/>
          <w:b/>
          <w:bCs/>
          <w:color w:val="auto"/>
          <w:spacing w:val="-3"/>
          <w:sz w:val="21"/>
          <w:szCs w:val="21"/>
          <w:highlight w:val="none"/>
          <w:lang w:val="en-US" w:eastAsia="zh-CN"/>
        </w:rPr>
        <w:t>表3-1 规划指标表</w:t>
      </w:r>
    </w:p>
    <w:tbl>
      <w:tblPr>
        <w:tblStyle w:val="20"/>
        <w:tblW w:w="939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5"/>
        <w:gridCol w:w="3240"/>
        <w:gridCol w:w="866"/>
        <w:gridCol w:w="1826"/>
        <w:gridCol w:w="1827"/>
        <w:gridCol w:w="973"/>
      </w:tblGrid>
      <w:tr w14:paraId="7B7B9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blHeader/>
          <w:jc w:val="center"/>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1C60B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000000"/>
                <w:sz w:val="21"/>
                <w:szCs w:val="21"/>
                <w:highlight w:val="none"/>
                <w:u w:val="none"/>
              </w:rPr>
            </w:pPr>
            <w:r>
              <w:rPr>
                <w:rFonts w:hint="eastAsia" w:ascii="方正书宋简体" w:hAnsi="方正书宋简体" w:eastAsia="方正书宋简体" w:cs="方正书宋简体"/>
                <w:b/>
                <w:bCs/>
                <w:i w:val="0"/>
                <w:iCs w:val="0"/>
                <w:snapToGrid w:val="0"/>
                <w:color w:val="000000"/>
                <w:kern w:val="0"/>
                <w:sz w:val="21"/>
                <w:szCs w:val="21"/>
                <w:highlight w:val="none"/>
                <w:u w:val="none"/>
                <w:lang w:val="en-US" w:eastAsia="zh-CN" w:bidi="ar"/>
              </w:rPr>
              <w:t>序号</w:t>
            </w:r>
          </w:p>
        </w:tc>
        <w:tc>
          <w:tcPr>
            <w:tcW w:w="32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D33DE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000000"/>
                <w:sz w:val="21"/>
                <w:szCs w:val="21"/>
                <w:highlight w:val="none"/>
                <w:u w:val="none"/>
              </w:rPr>
            </w:pPr>
            <w:r>
              <w:rPr>
                <w:rFonts w:hint="eastAsia" w:ascii="方正书宋简体" w:hAnsi="方正书宋简体" w:eastAsia="方正书宋简体" w:cs="方正书宋简体"/>
                <w:b/>
                <w:bCs/>
                <w:i w:val="0"/>
                <w:iCs w:val="0"/>
                <w:snapToGrid w:val="0"/>
                <w:color w:val="000000"/>
                <w:kern w:val="0"/>
                <w:sz w:val="21"/>
                <w:szCs w:val="21"/>
                <w:highlight w:val="none"/>
                <w:u w:val="none"/>
                <w:lang w:val="en-US" w:eastAsia="zh-CN" w:bidi="ar"/>
              </w:rPr>
              <w:t>指标</w:t>
            </w: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872DB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000000"/>
                <w:sz w:val="21"/>
                <w:szCs w:val="21"/>
                <w:highlight w:val="none"/>
                <w:u w:val="none"/>
              </w:rPr>
            </w:pPr>
            <w:r>
              <w:rPr>
                <w:rFonts w:hint="eastAsia" w:ascii="方正书宋简体" w:hAnsi="方正书宋简体" w:eastAsia="方正书宋简体" w:cs="方正书宋简体"/>
                <w:b/>
                <w:bCs/>
                <w:i w:val="0"/>
                <w:iCs w:val="0"/>
                <w:snapToGrid w:val="0"/>
                <w:color w:val="000000"/>
                <w:kern w:val="0"/>
                <w:sz w:val="21"/>
                <w:szCs w:val="21"/>
                <w:highlight w:val="none"/>
                <w:u w:val="none"/>
                <w:lang w:val="en-US" w:eastAsia="zh-CN" w:bidi="ar"/>
              </w:rPr>
              <w:t>现状</w:t>
            </w:r>
          </w:p>
        </w:tc>
        <w:tc>
          <w:tcPr>
            <w:tcW w:w="36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E61D5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000000"/>
                <w:sz w:val="21"/>
                <w:szCs w:val="21"/>
                <w:highlight w:val="none"/>
                <w:u w:val="none"/>
              </w:rPr>
            </w:pPr>
            <w:r>
              <w:rPr>
                <w:rFonts w:hint="eastAsia" w:ascii="方正书宋简体" w:hAnsi="方正书宋简体" w:eastAsia="方正书宋简体" w:cs="方正书宋简体"/>
                <w:b/>
                <w:bCs/>
                <w:i w:val="0"/>
                <w:iCs w:val="0"/>
                <w:snapToGrid w:val="0"/>
                <w:color w:val="000000"/>
                <w:kern w:val="0"/>
                <w:sz w:val="21"/>
                <w:szCs w:val="21"/>
                <w:highlight w:val="none"/>
                <w:u w:val="none"/>
                <w:lang w:val="en-US" w:eastAsia="zh-CN" w:bidi="ar"/>
              </w:rPr>
              <w:t>规划目标</w:t>
            </w:r>
          </w:p>
        </w:tc>
        <w:tc>
          <w:tcPr>
            <w:tcW w:w="9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2C223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000000"/>
                <w:sz w:val="21"/>
                <w:szCs w:val="21"/>
                <w:highlight w:val="none"/>
                <w:u w:val="none"/>
              </w:rPr>
            </w:pPr>
            <w:r>
              <w:rPr>
                <w:rFonts w:hint="eastAsia" w:ascii="方正书宋简体" w:hAnsi="方正书宋简体" w:eastAsia="方正书宋简体" w:cs="方正书宋简体"/>
                <w:b/>
                <w:bCs/>
                <w:i w:val="0"/>
                <w:iCs w:val="0"/>
                <w:snapToGrid w:val="0"/>
                <w:color w:val="000000"/>
                <w:kern w:val="0"/>
                <w:sz w:val="21"/>
                <w:szCs w:val="21"/>
                <w:highlight w:val="none"/>
                <w:u w:val="none"/>
                <w:lang w:val="en-US" w:eastAsia="zh-CN" w:bidi="ar"/>
              </w:rPr>
              <w:t>属性</w:t>
            </w:r>
          </w:p>
        </w:tc>
      </w:tr>
      <w:tr w14:paraId="7E517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blHeader/>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8FACE">
            <w:pPr>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b/>
                <w:bCs/>
                <w:i w:val="0"/>
                <w:iCs w:val="0"/>
                <w:color w:val="000000"/>
                <w:sz w:val="21"/>
                <w:szCs w:val="21"/>
                <w:highlight w:val="none"/>
                <w:u w:val="none"/>
              </w:rPr>
            </w:pPr>
          </w:p>
        </w:tc>
        <w:tc>
          <w:tcPr>
            <w:tcW w:w="32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5C8A9">
            <w:pPr>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b/>
                <w:bCs/>
                <w:i w:val="0"/>
                <w:iCs w:val="0"/>
                <w:color w:val="000000"/>
                <w:sz w:val="21"/>
                <w:szCs w:val="21"/>
                <w:highlight w:val="none"/>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5ED4E">
            <w:pPr>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b/>
                <w:bCs/>
                <w:i w:val="0"/>
                <w:iCs w:val="0"/>
                <w:color w:val="000000"/>
                <w:sz w:val="21"/>
                <w:szCs w:val="21"/>
                <w:highlight w:val="none"/>
                <w:u w:val="none"/>
              </w:rPr>
            </w:pP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993E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000000"/>
                <w:sz w:val="21"/>
                <w:szCs w:val="21"/>
                <w:highlight w:val="none"/>
                <w:u w:val="none"/>
              </w:rPr>
            </w:pPr>
            <w:r>
              <w:rPr>
                <w:rFonts w:hint="eastAsia" w:ascii="方正书宋简体" w:hAnsi="方正书宋简体" w:eastAsia="方正书宋简体" w:cs="方正书宋简体"/>
                <w:b/>
                <w:bCs/>
                <w:i w:val="0"/>
                <w:iCs w:val="0"/>
                <w:snapToGrid w:val="0"/>
                <w:color w:val="000000"/>
                <w:kern w:val="0"/>
                <w:sz w:val="21"/>
                <w:szCs w:val="21"/>
                <w:highlight w:val="none"/>
                <w:u w:val="none"/>
                <w:lang w:val="en-US" w:eastAsia="zh-CN" w:bidi="ar"/>
              </w:rPr>
              <w:t>近期（2030年）</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450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000000"/>
                <w:sz w:val="21"/>
                <w:szCs w:val="21"/>
                <w:highlight w:val="none"/>
                <w:u w:val="none"/>
              </w:rPr>
            </w:pPr>
            <w:r>
              <w:rPr>
                <w:rFonts w:hint="eastAsia" w:ascii="方正书宋简体" w:hAnsi="方正书宋简体" w:eastAsia="方正书宋简体" w:cs="方正书宋简体"/>
                <w:b/>
                <w:bCs/>
                <w:i w:val="0"/>
                <w:iCs w:val="0"/>
                <w:snapToGrid w:val="0"/>
                <w:color w:val="000000"/>
                <w:kern w:val="0"/>
                <w:sz w:val="21"/>
                <w:szCs w:val="21"/>
                <w:highlight w:val="none"/>
                <w:u w:val="none"/>
                <w:lang w:val="en-US" w:eastAsia="zh-CN" w:bidi="ar"/>
              </w:rPr>
              <w:t>远期（2035年）</w:t>
            </w:r>
          </w:p>
        </w:tc>
        <w:tc>
          <w:tcPr>
            <w:tcW w:w="9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CCE65">
            <w:pPr>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b/>
                <w:bCs/>
                <w:i w:val="0"/>
                <w:iCs w:val="0"/>
                <w:color w:val="000000"/>
                <w:sz w:val="21"/>
                <w:szCs w:val="21"/>
                <w:highlight w:val="none"/>
                <w:u w:val="none"/>
              </w:rPr>
            </w:pPr>
          </w:p>
        </w:tc>
      </w:tr>
      <w:tr w14:paraId="3D3DA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EB38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261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常住人口规模（万人）</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AB6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17.2</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DEE7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≥19.6</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793F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≥24.2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4A90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60792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644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2</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456C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可满足避难人口规模（万人）</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B78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8.6</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9E2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13.37</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FFF7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≥24.2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564B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64363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E927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3</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143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应急避难场所个数（处）</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B59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27</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B1E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48</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CB65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179</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BEA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3D941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EE7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4</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15F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满足所需避难人口百分比（%）</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6AE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50</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5B3F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lang w:val="en-US"/>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68.21</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9D44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100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A0F0">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08D0A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410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5</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529E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人均有效避难面积（平方米）</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1FA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2.12</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223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2.14</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307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2.03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D9A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44E43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11E7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6</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82C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旗级应急避难场所比例（%）</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819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11.11</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2F8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31.25</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6D9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18.44</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20A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4DDCF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7DED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7</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849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苏木镇级应急避难场所比例（%）</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3EA2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88.89</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EB81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54.17</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7C8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29.60</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73D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3C76B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A3D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8</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28C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嘎查村级应急避难场所比例（%）</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686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EFC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14.58</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E860">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51.96</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80AA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0218A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2CE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9</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06A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长期避难场所比例（%）</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3206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73FB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16.67</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267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6.15</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4FF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7E209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673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10</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590C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短期避难场所比例（%）</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8DE1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7.4</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3BC0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31.25</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AC8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17.32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CE6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6B0E9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EFF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11</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9A7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紧急避难场所比例（%）</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8D8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92.59</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AFF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52.08</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794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76.53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3CC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19571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7528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12</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506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室内避难场所比例（%）</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43A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B4E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41.67</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0EB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59.78</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13C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r w14:paraId="432AB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3A2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13</w:t>
            </w:r>
          </w:p>
        </w:tc>
        <w:tc>
          <w:tcPr>
            <w:tcW w:w="32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A04B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室外避难场所比例（%）</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6E1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100</w:t>
            </w:r>
          </w:p>
        </w:tc>
        <w:tc>
          <w:tcPr>
            <w:tcW w:w="1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0D00">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58.33</w:t>
            </w:r>
          </w:p>
        </w:tc>
        <w:tc>
          <w:tcPr>
            <w:tcW w:w="18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10DA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40.22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674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000000"/>
                <w:sz w:val="21"/>
                <w:szCs w:val="21"/>
                <w:highlight w:val="none"/>
                <w:u w:val="none"/>
              </w:rPr>
            </w:pPr>
            <w:r>
              <w:rPr>
                <w:rFonts w:hint="eastAsia" w:ascii="方正书宋简体" w:hAnsi="方正书宋简体" w:eastAsia="方正书宋简体" w:cs="方正书宋简体"/>
                <w:i w:val="0"/>
                <w:iCs w:val="0"/>
                <w:snapToGrid w:val="0"/>
                <w:color w:val="000000"/>
                <w:kern w:val="0"/>
                <w:sz w:val="21"/>
                <w:szCs w:val="21"/>
                <w:highlight w:val="none"/>
                <w:u w:val="none"/>
                <w:lang w:val="en-US" w:eastAsia="zh-CN" w:bidi="ar"/>
              </w:rPr>
              <w:t>预期性</w:t>
            </w:r>
          </w:p>
        </w:tc>
      </w:tr>
    </w:tbl>
    <w:p w14:paraId="099756BF">
      <w:pPr>
        <w:pStyle w:val="25"/>
        <w:keepNext w:val="0"/>
        <w:keepLines w:val="0"/>
        <w:pageBreakBefore w:val="0"/>
        <w:widowControl w:val="0"/>
        <w:kinsoku/>
        <w:wordWrap/>
        <w:overflowPunct/>
        <w:topLinePunct w:val="0"/>
        <w:autoSpaceDE/>
        <w:autoSpaceDN/>
        <w:bidi w:val="0"/>
        <w:adjustRightInd w:val="0"/>
        <w:snapToGrid w:val="0"/>
        <w:spacing w:line="310" w:lineRule="exact"/>
        <w:ind w:firstLine="408" w:firstLineChars="200"/>
        <w:jc w:val="center"/>
        <w:textAlignment w:val="auto"/>
        <w:rPr>
          <w:rFonts w:hint="eastAsia" w:ascii="方正书宋简体" w:hAnsi="方正书宋简体" w:eastAsia="方正书宋简体" w:cs="方正书宋简体"/>
          <w:b w:val="0"/>
          <w:bCs w:val="0"/>
          <w:color w:val="auto"/>
          <w:spacing w:val="-3"/>
          <w:sz w:val="21"/>
          <w:szCs w:val="21"/>
          <w:highlight w:val="none"/>
          <w:lang w:val="en-US" w:eastAsia="zh-CN"/>
        </w:rPr>
      </w:pPr>
    </w:p>
    <w:p w14:paraId="0A84EECB">
      <w:pPr>
        <w:pageBreakBefore w:val="0"/>
        <w:wordWrap/>
        <w:overflowPunct/>
        <w:topLinePunct w:val="0"/>
        <w:bidi w:val="0"/>
        <w:spacing w:line="310" w:lineRule="exact"/>
        <w:rPr>
          <w:rFonts w:hint="eastAsia" w:ascii="方正书宋简体" w:hAnsi="方正书宋简体" w:eastAsia="方正书宋简体" w:cs="方正书宋简体"/>
          <w:b/>
          <w:bCs/>
          <w:color w:val="auto"/>
          <w:spacing w:val="-3"/>
          <w:sz w:val="21"/>
          <w:szCs w:val="21"/>
          <w:highlight w:val="none"/>
          <w:lang w:val="en-US" w:eastAsia="zh-CN"/>
        </w:rPr>
      </w:pPr>
      <w:r>
        <w:rPr>
          <w:rFonts w:hint="eastAsia" w:ascii="方正书宋简体" w:hAnsi="方正书宋简体" w:eastAsia="方正书宋简体" w:cs="方正书宋简体"/>
          <w:b/>
          <w:bCs/>
          <w:color w:val="auto"/>
          <w:spacing w:val="-3"/>
          <w:sz w:val="21"/>
          <w:szCs w:val="21"/>
          <w:highlight w:val="none"/>
          <w:lang w:val="en-US" w:eastAsia="zh-CN"/>
        </w:rPr>
        <w:br w:type="page"/>
      </w:r>
    </w:p>
    <w:p w14:paraId="7F6023E4">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100" w:beforeAutospacing="0" w:after="0" w:afterLines="100" w:afterAutospacing="0" w:line="310" w:lineRule="exact"/>
        <w:ind w:left="0" w:leftChars="0" w:firstLine="0" w:firstLineChars="0"/>
        <w:jc w:val="center"/>
        <w:textAlignment w:val="auto"/>
        <w:rPr>
          <w:rFonts w:hint="eastAsia" w:ascii="方正书宋简体" w:hAnsi="方正书宋简体" w:eastAsia="方正书宋简体" w:cs="方正书宋简体"/>
          <w:b/>
          <w:bCs w:val="0"/>
          <w:snapToGrid/>
          <w:color w:val="auto"/>
          <w:sz w:val="21"/>
          <w:szCs w:val="21"/>
          <w:highlight w:val="none"/>
          <w:lang w:eastAsia="zh-CN"/>
        </w:rPr>
      </w:pPr>
      <w:bookmarkStart w:id="176" w:name="_Toc20103"/>
      <w:bookmarkStart w:id="177" w:name="_Toc9904"/>
      <w:bookmarkStart w:id="178" w:name="_Toc19689"/>
      <w:bookmarkStart w:id="179" w:name="_Toc5273"/>
      <w:bookmarkStart w:id="180" w:name="_Toc13536"/>
      <w:bookmarkStart w:id="181" w:name="_Toc10383"/>
      <w:bookmarkStart w:id="182" w:name="_Toc11961"/>
      <w:bookmarkStart w:id="183" w:name="_Toc13212"/>
      <w:r>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第四章</w:t>
      </w:r>
      <w:r>
        <w:rPr>
          <w:rFonts w:hint="eastAsia" w:ascii="方正书宋简体" w:hAnsi="方正书宋简体" w:eastAsia="方正书宋简体" w:cs="方正书宋简体"/>
          <w:b/>
          <w:bCs/>
          <w:i w:val="0"/>
          <w:iCs w:val="0"/>
          <w:caps w:val="0"/>
          <w:smallCaps w:val="0"/>
          <w:strike w:val="0"/>
          <w:dstrike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       </w:t>
      </w:r>
      <w:r>
        <w:rPr>
          <w:rFonts w:hint="eastAsia" w:ascii="方正书宋简体" w:hAnsi="方正书宋简体" w:eastAsia="方正书宋简体" w:cs="方正书宋简体"/>
          <w:b/>
          <w:bCs w:val="0"/>
          <w:snapToGrid/>
          <w:color w:val="auto"/>
          <w:sz w:val="21"/>
          <w:szCs w:val="21"/>
          <w:highlight w:val="none"/>
          <w:lang w:eastAsia="zh-CN"/>
        </w:rPr>
        <w:t>应急避难场所发展布局规划</w:t>
      </w:r>
      <w:bookmarkEnd w:id="176"/>
      <w:bookmarkEnd w:id="177"/>
      <w:bookmarkEnd w:id="178"/>
      <w:bookmarkEnd w:id="179"/>
      <w:bookmarkEnd w:id="180"/>
      <w:bookmarkEnd w:id="181"/>
      <w:bookmarkEnd w:id="182"/>
      <w:bookmarkEnd w:id="183"/>
    </w:p>
    <w:p w14:paraId="1A4E4AAD">
      <w:pPr>
        <w:pStyle w:val="3"/>
        <w:keepNext w:val="0"/>
        <w:keepLines/>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pPr>
      <w:bookmarkStart w:id="184" w:name="_Toc14480"/>
      <w:bookmarkStart w:id="185" w:name="_Toc15685"/>
      <w:bookmarkStart w:id="186" w:name="_Toc5006"/>
      <w:bookmarkStart w:id="187" w:name="_Toc22083"/>
      <w:bookmarkStart w:id="188" w:name="_Toc12539"/>
      <w:bookmarkStart w:id="189" w:name="_Toc1001"/>
      <w:bookmarkStart w:id="190" w:name="_Toc32195"/>
      <w:bookmarkStart w:id="191" w:name="_Toc9803"/>
      <w:r>
        <w:rPr>
          <w:rFonts w:hint="eastAsia" w:ascii="方正书宋简体" w:hAnsi="方正书宋简体" w:eastAsia="方正书宋简体" w:cs="方正书宋简体"/>
          <w:b w:val="0"/>
          <w:snapToGrid/>
          <w:color w:val="auto"/>
          <w:kern w:val="2"/>
          <w:sz w:val="21"/>
          <w:szCs w:val="21"/>
          <w:lang w:val="en-US" w:eastAsia="zh-CN" w:bidi="ar-SA"/>
        </w:rPr>
        <w:t>第一节　</w:t>
      </w:r>
      <w:r>
        <w:rPr>
          <w:rFonts w:hint="eastAsia" w:ascii="方正书宋简体" w:hAnsi="方正书宋简体" w:eastAsia="方正书宋简体" w:cs="方正书宋简体"/>
          <w:b/>
          <w:bCs/>
          <w:snapToGrid/>
          <w:color w:val="auto"/>
          <w:kern w:val="2"/>
          <w:sz w:val="21"/>
          <w:szCs w:val="21"/>
          <w:highlight w:val="none"/>
          <w:lang w:val="en-US" w:eastAsia="zh-CN"/>
        </w:rPr>
        <w:t>应急避难</w:t>
      </w:r>
      <w:bookmarkEnd w:id="184"/>
      <w:bookmarkEnd w:id="185"/>
      <w:bookmarkEnd w:id="186"/>
      <w:r>
        <w:rPr>
          <w:rFonts w:hint="eastAsia" w:ascii="方正书宋简体" w:hAnsi="方正书宋简体" w:eastAsia="方正书宋简体" w:cs="方正书宋简体"/>
          <w:b/>
          <w:bCs/>
          <w:snapToGrid/>
          <w:color w:val="auto"/>
          <w:kern w:val="2"/>
          <w:sz w:val="21"/>
          <w:szCs w:val="21"/>
          <w:highlight w:val="none"/>
          <w:lang w:val="en-US" w:eastAsia="zh-CN"/>
        </w:rPr>
        <w:t>场所规模预测</w:t>
      </w:r>
      <w:bookmarkEnd w:id="187"/>
      <w:bookmarkEnd w:id="188"/>
      <w:bookmarkEnd w:id="189"/>
      <w:bookmarkEnd w:id="190"/>
      <w:r>
        <w:rPr>
          <w:rFonts w:hint="eastAsia" w:ascii="方正书宋简体" w:hAnsi="方正书宋简体" w:eastAsia="方正书宋简体" w:cs="方正书宋简体"/>
          <w:b/>
          <w:bCs/>
          <w:snapToGrid/>
          <w:color w:val="auto"/>
          <w:kern w:val="2"/>
          <w:sz w:val="21"/>
          <w:szCs w:val="21"/>
          <w:highlight w:val="none"/>
          <w:lang w:val="en-US" w:eastAsia="zh-CN"/>
        </w:rPr>
        <w:t>及布局要求</w:t>
      </w:r>
      <w:bookmarkEnd w:id="191"/>
    </w:p>
    <w:p w14:paraId="14EF924E">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center"/>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sectPr>
          <w:type w:val="continuous"/>
          <w:pgSz w:w="11906" w:h="16838"/>
          <w:pgMar w:top="1701" w:right="1247" w:bottom="1701" w:left="1247" w:header="850" w:footer="1109" w:gutter="0"/>
          <w:pgNumType w:fmt="decimal"/>
          <w:cols w:space="425" w:num="1"/>
        </w:sectPr>
      </w:pPr>
      <w:bookmarkStart w:id="192" w:name="bookmark37"/>
      <w:bookmarkEnd w:id="192"/>
      <w:bookmarkStart w:id="193" w:name="_Toc29112"/>
      <w:bookmarkStart w:id="194" w:name="_Toc27318"/>
      <w:bookmarkStart w:id="195" w:name="_Toc29661"/>
      <w:bookmarkStart w:id="196" w:name="_Toc26509"/>
      <w:bookmarkStart w:id="197" w:name="_Toc27968"/>
    </w:p>
    <w:p w14:paraId="7D682666">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第13条 </w:t>
      </w:r>
      <w:r>
        <w:rPr>
          <w:rFonts w:hint="eastAsia" w:ascii="方正书宋简体" w:hAnsi="方正书宋简体" w:eastAsia="方正书宋简体" w:cs="方正书宋简体"/>
          <w:b/>
          <w:bCs/>
          <w:snapToGrid/>
          <w:color w:val="auto"/>
          <w:kern w:val="2"/>
          <w:sz w:val="21"/>
          <w:szCs w:val="21"/>
          <w:highlight w:val="none"/>
          <w:lang w:val="en-US" w:eastAsia="zh-CN"/>
        </w:rPr>
        <w:t>避难种类及时长</w:t>
      </w:r>
      <w:bookmarkEnd w:id="193"/>
    </w:p>
    <w:p w14:paraId="78B5C18E">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根据《内蒙古自治区鄂尔多斯市鄂托克旗自然灾害综合风险评估与区划成果技术报告》，鄂托克旗自然灾害综合风险区划情况和避难时长种类确定为：乌兰镇（中风险区）、苏米图苏木（高风险区）、木凯淖尔镇（中高风险区），避难种类均以干旱－风雹－森林火灾灾害为主，避难时长主要按照1天以内—15天以上考虑；棋盘井镇、蒙西镇避难种类以干旱－洪水－森林火灾灾害为主，避难时长按照1天以内—14天考虑；阿尔巴斯苏木以干旱灾害为主，避难时长按照1天以内—14天考虑。</w:t>
      </w:r>
    </w:p>
    <w:p w14:paraId="5723B50B">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第14条 </w:t>
      </w:r>
      <w:r>
        <w:rPr>
          <w:rFonts w:hint="eastAsia" w:ascii="方正书宋简体" w:hAnsi="方正书宋简体" w:eastAsia="方正书宋简体" w:cs="方正书宋简体"/>
          <w:b/>
          <w:bCs/>
          <w:snapToGrid/>
          <w:color w:val="auto"/>
          <w:kern w:val="2"/>
          <w:sz w:val="21"/>
          <w:szCs w:val="21"/>
          <w:highlight w:val="none"/>
          <w:lang w:val="en-US" w:eastAsia="zh-CN"/>
        </w:rPr>
        <w:t>避难人口</w:t>
      </w:r>
      <w:bookmarkEnd w:id="194"/>
      <w:bookmarkEnd w:id="195"/>
      <w:bookmarkEnd w:id="196"/>
      <w:bookmarkEnd w:id="197"/>
      <w:r>
        <w:rPr>
          <w:rFonts w:hint="eastAsia" w:ascii="方正书宋简体" w:hAnsi="方正书宋简体" w:eastAsia="方正书宋简体" w:cs="方正书宋简体"/>
          <w:b/>
          <w:bCs/>
          <w:snapToGrid/>
          <w:color w:val="auto"/>
          <w:kern w:val="2"/>
          <w:sz w:val="21"/>
          <w:szCs w:val="21"/>
          <w:highlight w:val="none"/>
          <w:lang w:val="en-US" w:eastAsia="zh-CN"/>
        </w:rPr>
        <w:t>规模预测</w:t>
      </w:r>
    </w:p>
    <w:p w14:paraId="70D557AE">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根据灾害事故风险结论得出，鄂托克旗灾害事故风险覆盖全域，因此需要避难人口按照全旗人口进行统计，具体人口测算以《鄂托克旗国土空间总体规划（2021—2035年）》以及各苏木镇国土空间规划人口最大值为依据。</w:t>
      </w:r>
    </w:p>
    <w:p w14:paraId="7DFB3EDD">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鄂托克旗国土空间规划总人口规模规划至2025年，旗域常住人口规模达到≥16.5万人，中心城区常住人口≥4.2万人；规划至2035年旗域常住人口规模≥18.2万人，中心城区常住人口≥5.2万人。</w:t>
      </w:r>
    </w:p>
    <w:p w14:paraId="164BDA55">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苏木镇国土空间规划总人口规模规划至2025年，旗域常住人口规模达到19.6万人；规划至2035年旗域常住人口规模24.2万人。具体苏木镇规划人口规模如下：</w:t>
      </w:r>
    </w:p>
    <w:p w14:paraId="37A2DBF3">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bookmarkStart w:id="198" w:name="_Toc12355"/>
      <w:bookmarkStart w:id="199" w:name="_Toc3168"/>
      <w:bookmarkStart w:id="200" w:name="_Toc27819"/>
      <w:r>
        <w:rPr>
          <w:rFonts w:hint="eastAsia" w:ascii="方正书宋简体" w:hAnsi="方正书宋简体" w:eastAsia="方正书宋简体" w:cs="方正书宋简体"/>
          <w:snapToGrid/>
          <w:color w:val="auto"/>
          <w:kern w:val="2"/>
          <w:sz w:val="21"/>
          <w:szCs w:val="21"/>
          <w:highlight w:val="none"/>
          <w:lang w:val="en-US" w:eastAsia="zh-CN"/>
        </w:rPr>
        <w:t>乌兰镇结合村庄规划，规划至2025年，镇域常住人口规模达到5万人；规划至2035年镇域常住人口规模5.98万人。</w:t>
      </w:r>
    </w:p>
    <w:p w14:paraId="5DC13D9D">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棋盘井镇规划至2025年，镇域常住人口规模达到10万人；规划至2035年镇域常住人口规模12.7万人。</w:t>
      </w:r>
    </w:p>
    <w:p w14:paraId="53233DAC">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蒙西镇规划至2025年，镇域常住人口规模达到2.25万人；规划至2035年镇域常住人口规模3.15万人。</w:t>
      </w:r>
    </w:p>
    <w:p w14:paraId="094DEE74">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木凯淖尔镇规划至2025年，镇域常住人口规模达到0.66万人；规划至2035年镇域常住人口规模0.6万人。</w:t>
      </w:r>
    </w:p>
    <w:p w14:paraId="42CC527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阿尔巴斯苏木规划至2025年，镇域常住人口规模达到1.28万人；规划至2035年镇域常住人口规模1.35万人。</w:t>
      </w:r>
    </w:p>
    <w:p w14:paraId="189901F5">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苏米图苏木规划至2025年，镇域常住人口规模达到0.41万人；规划至2035年镇域常住人口规模0.43万人。</w:t>
      </w:r>
    </w:p>
    <w:p w14:paraId="7D87B4B7">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第15条 </w:t>
      </w:r>
      <w:r>
        <w:rPr>
          <w:rFonts w:hint="eastAsia" w:ascii="方正书宋简体" w:hAnsi="方正书宋简体" w:eastAsia="方正书宋简体" w:cs="方正书宋简体"/>
          <w:b/>
          <w:bCs/>
          <w:snapToGrid/>
          <w:color w:val="auto"/>
          <w:kern w:val="2"/>
          <w:sz w:val="21"/>
          <w:szCs w:val="21"/>
          <w:highlight w:val="none"/>
          <w:lang w:val="en-US" w:eastAsia="zh-CN"/>
        </w:rPr>
        <w:t>避难需求预测</w:t>
      </w:r>
    </w:p>
    <w:p w14:paraId="34145C63">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避难需求规模预测根据规划避难人数以及《应急避难场所分级及分类》（GB/T44013-2024）中各类型避难场所人均避难面积，预测全域所需避难场所规模。根据《防灾避难场所设计规范》（GB51143-2015）（2021年版）：短期避难人数应将常住人口的15%作为最低控制指标；长期避难人数应将常住人口的5%作为最低控制指标；紧急避难是就近就地避难，一般紧急疏散人数中流动人口数量应将最大流量的80%作为最低控制指标。最低控制指标详见下表。</w:t>
      </w:r>
    </w:p>
    <w:p w14:paraId="68A303B1">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val="0"/>
          <w:bCs w:val="0"/>
          <w:color w:val="auto"/>
          <w:spacing w:val="-3"/>
          <w:sz w:val="21"/>
          <w:szCs w:val="21"/>
          <w:highlight w:val="none"/>
          <w:lang w:val="en-US" w:eastAsia="zh-CN"/>
        </w:rPr>
        <w:sectPr>
          <w:type w:val="continuous"/>
          <w:pgSz w:w="11906" w:h="16838"/>
          <w:pgMar w:top="1701" w:right="1247" w:bottom="1701" w:left="1247" w:header="850" w:footer="1109" w:gutter="0"/>
          <w:pgNumType w:fmt="decimal"/>
          <w:cols w:equalWidth="0" w:num="2">
            <w:col w:w="4493" w:space="425"/>
            <w:col w:w="4493"/>
          </w:cols>
        </w:sectPr>
      </w:pPr>
    </w:p>
    <w:p w14:paraId="31FA120A">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val="0"/>
          <w:bCs w:val="0"/>
          <w:color w:val="auto"/>
          <w:spacing w:val="-3"/>
          <w:sz w:val="21"/>
          <w:szCs w:val="21"/>
          <w:highlight w:val="none"/>
          <w:lang w:val="en-US" w:eastAsia="zh-CN"/>
        </w:rPr>
      </w:pPr>
    </w:p>
    <w:p w14:paraId="3B747176">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bCs/>
          <w:color w:val="auto"/>
          <w:spacing w:val="-3"/>
          <w:sz w:val="21"/>
          <w:szCs w:val="21"/>
          <w:highlight w:val="none"/>
          <w:lang w:val="en-US" w:eastAsia="zh-CN"/>
        </w:rPr>
      </w:pPr>
      <w:r>
        <w:rPr>
          <w:rFonts w:hint="eastAsia" w:ascii="方正书宋简体" w:hAnsi="方正书宋简体" w:eastAsia="方正书宋简体" w:cs="方正书宋简体"/>
          <w:b/>
          <w:bCs/>
          <w:color w:val="auto"/>
          <w:spacing w:val="-3"/>
          <w:sz w:val="21"/>
          <w:szCs w:val="21"/>
          <w:highlight w:val="none"/>
          <w:lang w:val="en-US" w:eastAsia="zh-CN"/>
        </w:rPr>
        <w:t>表4-1 应急避难场所分类（避难时长）体系表</w:t>
      </w:r>
    </w:p>
    <w:tbl>
      <w:tblPr>
        <w:tblStyle w:val="20"/>
        <w:tblpPr w:leftFromText="180" w:rightFromText="180" w:vertAnchor="text" w:tblpXSpec="center" w:tblpY="1"/>
        <w:tblOverlap w:val="never"/>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63"/>
        <w:gridCol w:w="1615"/>
        <w:gridCol w:w="888"/>
        <w:gridCol w:w="1902"/>
        <w:gridCol w:w="1032"/>
        <w:gridCol w:w="1163"/>
        <w:gridCol w:w="1359"/>
      </w:tblGrid>
      <w:tr w14:paraId="592DC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blHeader/>
        </w:trPr>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7FEE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u w:val="none"/>
              </w:rPr>
            </w:pPr>
            <w: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t>所在区域</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6FF6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u w:val="none"/>
              </w:rPr>
            </w:pPr>
            <w: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t>分类体系</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F0AA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t>场所个数</w:t>
            </w:r>
          </w:p>
          <w:p w14:paraId="3918AC6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u w:val="none"/>
              </w:rPr>
            </w:pPr>
            <w: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t>（处）</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74AA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t>2035年规划人口</w:t>
            </w:r>
          </w:p>
          <w:p w14:paraId="40E31A5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i w:val="0"/>
                <w:iCs w:val="0"/>
                <w:color w:val="auto"/>
                <w:sz w:val="21"/>
                <w:szCs w:val="21"/>
                <w:u w:val="none"/>
              </w:rPr>
            </w:pPr>
            <w: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t>（人）</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90C2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u w:val="none"/>
              </w:rPr>
            </w:pPr>
            <w: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t>最低控制指标（㎡）</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1BE2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u w:val="none"/>
              </w:rPr>
            </w:pPr>
            <w: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t>有效应急避难面积（㎡）</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A1F6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t>可容纳避难人口规模</w:t>
            </w:r>
          </w:p>
          <w:p w14:paraId="3EBF31D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u w:val="none"/>
              </w:rPr>
            </w:pPr>
            <w:r>
              <w:rPr>
                <w:rFonts w:hint="eastAsia" w:ascii="方正书宋简体" w:hAnsi="方正书宋简体" w:eastAsia="方正书宋简体" w:cs="方正书宋简体"/>
                <w:b/>
                <w:bCs/>
                <w:i w:val="0"/>
                <w:iCs w:val="0"/>
                <w:snapToGrid w:val="0"/>
                <w:color w:val="auto"/>
                <w:kern w:val="0"/>
                <w:sz w:val="21"/>
                <w:szCs w:val="21"/>
                <w:u w:val="none"/>
                <w:lang w:val="en-US" w:eastAsia="zh-CN" w:bidi="ar"/>
              </w:rPr>
              <w:t>（人）</w:t>
            </w:r>
          </w:p>
        </w:tc>
      </w:tr>
      <w:tr w14:paraId="2FBEB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4ACD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中心城区</w:t>
            </w:r>
          </w:p>
          <w:p w14:paraId="225A056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（33处）</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03A4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紧急避难场所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7402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lang w:val="en-US" w:eastAsia="zh-CN"/>
              </w:rPr>
              <w:t>21</w:t>
            </w:r>
          </w:p>
        </w:tc>
        <w:tc>
          <w:tcPr>
            <w:tcW w:w="9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C1B6D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中心城区人口≥52000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B525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83206</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B998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76303</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85A7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42349</w:t>
            </w:r>
          </w:p>
        </w:tc>
      </w:tr>
      <w:tr w14:paraId="4199D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31B2E">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5BE8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短期避难场所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3ACD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color w:val="auto"/>
                <w:sz w:val="21"/>
                <w:szCs w:val="21"/>
                <w:u w:val="none"/>
                <w:lang w:val="en-US" w:eastAsia="zh-CN"/>
              </w:rPr>
              <w:t>8</w:t>
            </w:r>
          </w:p>
        </w:tc>
        <w:tc>
          <w:tcPr>
            <w:tcW w:w="9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58A63">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4B08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22425</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0998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85219</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E44C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34088</w:t>
            </w:r>
          </w:p>
        </w:tc>
      </w:tr>
      <w:tr w14:paraId="30035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C0B56">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7C8C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长期避难场所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F383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4</w:t>
            </w:r>
          </w:p>
        </w:tc>
        <w:tc>
          <w:tcPr>
            <w:tcW w:w="9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30203">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8FC4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8970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E53A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61481</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2EE2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24592</w:t>
            </w:r>
          </w:p>
        </w:tc>
      </w:tr>
      <w:tr w14:paraId="3BF99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A4430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阿尔巴斯苏木</w:t>
            </w:r>
            <w:r>
              <w:rPr>
                <w:rFonts w:hint="eastAsia" w:ascii="方正书宋简体" w:hAnsi="方正书宋简体" w:eastAsia="方正书宋简体" w:cs="方正书宋简体"/>
                <w:i w:val="0"/>
                <w:iCs w:val="0"/>
                <w:snapToGrid w:val="0"/>
                <w:color w:val="auto"/>
                <w:kern w:val="0"/>
                <w:sz w:val="21"/>
                <w:szCs w:val="21"/>
                <w:u w:val="none"/>
                <w:lang w:val="en-US" w:eastAsia="zh-CN" w:bidi="ar"/>
              </w:rPr>
              <w:br w:type="textWrapping"/>
            </w:r>
            <w:r>
              <w:rPr>
                <w:rFonts w:hint="eastAsia" w:ascii="方正书宋简体" w:hAnsi="方正书宋简体" w:eastAsia="方正书宋简体" w:cs="方正书宋简体"/>
                <w:i w:val="0"/>
                <w:iCs w:val="0"/>
                <w:snapToGrid w:val="0"/>
                <w:color w:val="auto"/>
                <w:kern w:val="0"/>
                <w:sz w:val="21"/>
                <w:szCs w:val="21"/>
                <w:u w:val="none"/>
                <w:lang w:val="en-US" w:eastAsia="zh-CN" w:bidi="ar"/>
              </w:rPr>
              <w:t>（鄂托克旗赛因乌素草籽场、内蒙古白绒山羊种养场）</w:t>
            </w:r>
          </w:p>
          <w:p w14:paraId="1C87501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（24处）</w:t>
            </w:r>
          </w:p>
        </w:tc>
        <w:tc>
          <w:tcPr>
            <w:tcW w:w="8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88C68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紧急避难场所</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18B3F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20</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995C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村庄人口≥13494</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4693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21590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E701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63799</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88B7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31900</w:t>
            </w:r>
          </w:p>
        </w:tc>
      </w:tr>
      <w:tr w14:paraId="713F9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D23F0">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8BAE8">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500F0">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52CE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镇区人口≥500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72AE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200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1843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r>
      <w:tr w14:paraId="7F43D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50077C">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452D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短期避难场所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1F76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7747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镇域人口≥13500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CDAC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5063</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83A5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12997</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80F7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5199</w:t>
            </w:r>
          </w:p>
        </w:tc>
      </w:tr>
      <w:tr w14:paraId="2B6B1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A5FC0">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7635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长期避难场所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1728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74DF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镇域人口≥13500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7FCC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2025</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D021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3529</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A3FF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1176</w:t>
            </w:r>
          </w:p>
        </w:tc>
      </w:tr>
      <w:tr w14:paraId="77F18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44986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蒙西镇</w:t>
            </w:r>
          </w:p>
          <w:p w14:paraId="316B753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（21处）</w:t>
            </w:r>
          </w:p>
        </w:tc>
        <w:tc>
          <w:tcPr>
            <w:tcW w:w="8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3FD9F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紧急避难场所</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86328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6019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村庄人口≥11595</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B3AC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18552</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858E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8766</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4D6E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4383</w:t>
            </w:r>
          </w:p>
        </w:tc>
      </w:tr>
      <w:tr w14:paraId="5A711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2C0F9">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63542">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5AF82">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3F05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镇区人口≥20000</w:t>
            </w:r>
          </w:p>
          <w:p w14:paraId="22A92BB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（含园区人口）</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564A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32000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B1BE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17470</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2810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10289</w:t>
            </w:r>
          </w:p>
        </w:tc>
      </w:tr>
      <w:tr w14:paraId="7A09B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0589F">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3DC6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短期避难场所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DEBD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5</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D925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镇域人口≥31500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47DE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11813</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F64D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23424</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F7A7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9370</w:t>
            </w:r>
          </w:p>
        </w:tc>
      </w:tr>
      <w:tr w14:paraId="0305E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C1876">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2C7D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长期避难场所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EE4D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8E6B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镇域人口≥31500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EF35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4725</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AECF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11185</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361B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4474</w:t>
            </w:r>
          </w:p>
        </w:tc>
      </w:tr>
      <w:tr w14:paraId="3AD3F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93F2B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木凯淖尔镇</w:t>
            </w:r>
          </w:p>
          <w:p w14:paraId="4B70CEC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（21处）</w:t>
            </w:r>
          </w:p>
        </w:tc>
        <w:tc>
          <w:tcPr>
            <w:tcW w:w="8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A09A8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紧急避难场所</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DEFC4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3210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村庄人口≥9949</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4884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15918</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E1C0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24949</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FDDE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12474</w:t>
            </w:r>
          </w:p>
        </w:tc>
      </w:tr>
      <w:tr w14:paraId="28FE2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AFACE">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317AC">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B7A01">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EE8A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镇区人口≥350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C0A9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560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1D3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3137</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21AF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1568</w:t>
            </w:r>
          </w:p>
        </w:tc>
      </w:tr>
      <w:tr w14:paraId="7F267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DC26F">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0362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短期避难场所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0412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47A6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镇域人口≥6000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EEE9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2250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2860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9206</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B778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3682</w:t>
            </w:r>
          </w:p>
        </w:tc>
      </w:tr>
      <w:tr w14:paraId="6FCFD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AEA2E">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6255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长期避难场所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C59B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D6B1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镇域人口≥6000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866C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900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6E40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5108</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8377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2043</w:t>
            </w:r>
          </w:p>
        </w:tc>
      </w:tr>
      <w:tr w14:paraId="3A2EE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03142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棋盘井镇</w:t>
            </w:r>
          </w:p>
          <w:p w14:paraId="59419AE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（43处）</w:t>
            </w:r>
          </w:p>
        </w:tc>
        <w:tc>
          <w:tcPr>
            <w:tcW w:w="8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4CA39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紧急避难场所</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F94CF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28</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3D48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村庄人口≥5269</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4052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8430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4B9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23609</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DC60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11805</w:t>
            </w:r>
          </w:p>
        </w:tc>
      </w:tr>
      <w:tr w14:paraId="318AB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6846B">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054C8">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430CE">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A3F1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镇区人口≥11000</w:t>
            </w:r>
          </w:p>
          <w:p w14:paraId="1FD64C7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（含园区人口）</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726B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176000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6C18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77855</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C62A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50025</w:t>
            </w:r>
          </w:p>
        </w:tc>
      </w:tr>
      <w:tr w14:paraId="36A00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4E8AB">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9562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短期避难场所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58C5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12</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3659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镇域人口≥127000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8601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47625</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9FFA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72543</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BE07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29017</w:t>
            </w:r>
          </w:p>
        </w:tc>
      </w:tr>
      <w:tr w14:paraId="2BB16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A8FAE">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21C2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长期避难场所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3C9A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9E8A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镇域人口≥127000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EFFB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lang w:val="en-US"/>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19050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5B93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28772</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69B2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11509</w:t>
            </w:r>
          </w:p>
        </w:tc>
      </w:tr>
      <w:tr w14:paraId="61CE7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6E387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苏米图苏木</w:t>
            </w:r>
          </w:p>
          <w:p w14:paraId="4E00969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（18处）</w:t>
            </w:r>
          </w:p>
        </w:tc>
        <w:tc>
          <w:tcPr>
            <w:tcW w:w="8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14536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紧急避难场所</w:t>
            </w:r>
          </w:p>
        </w:tc>
        <w:tc>
          <w:tcPr>
            <w:tcW w:w="4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73BB2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7ED6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村庄人口≥5600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9245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8960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C248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24773</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643A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12487</w:t>
            </w:r>
          </w:p>
        </w:tc>
      </w:tr>
      <w:tr w14:paraId="2064A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1AB7E">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BD859">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4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2CAB3">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F92A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镇区人口≥800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B7E2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1280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76A4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5442</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E482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3516</w:t>
            </w:r>
          </w:p>
        </w:tc>
      </w:tr>
      <w:tr w14:paraId="15DBC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8C524">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0416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短期避难场所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1217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379B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镇域人口≥4300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10EF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1613</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8861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7887</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74C3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3155</w:t>
            </w:r>
          </w:p>
        </w:tc>
      </w:tr>
      <w:tr w14:paraId="52996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B53B6">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B830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长期避难场所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5A21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F38E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镇域人口≥4300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4DDA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645</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074D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1857</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46F3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619</w:t>
            </w:r>
          </w:p>
        </w:tc>
      </w:tr>
      <w:tr w14:paraId="4E2EC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82467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乌兰镇（中心城区以外）</w:t>
            </w:r>
          </w:p>
          <w:p w14:paraId="0A608CC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（13处）</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195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紧急避难场所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0448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13</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6282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村庄人口≥7828</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BE76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12525</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4EBF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25010</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BA1D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12505</w:t>
            </w:r>
          </w:p>
        </w:tc>
      </w:tr>
      <w:tr w14:paraId="63219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E175C">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33EA0">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短期避难场所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2AA3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C031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3AAA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DD0E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F056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r>
      <w:tr w14:paraId="75422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50DFE">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C9B7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长期避难场所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AB77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65F4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CDA3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B92F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529A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r>
      <w:tr w14:paraId="0E5A5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848FB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鄂托克高新技术产业开发区</w:t>
            </w:r>
          </w:p>
          <w:p w14:paraId="753657D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（6处）</w:t>
            </w: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1977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紧急避难场所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67DC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6</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2D6E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就业人口≥70000</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68D6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112000</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2DB5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52574</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1C8C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35050</w:t>
            </w:r>
          </w:p>
        </w:tc>
      </w:tr>
      <w:tr w14:paraId="24001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D6A56">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8C0D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短期避难场所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FE6C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3FCE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799E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4352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5987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r>
      <w:tr w14:paraId="2EE47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6D8D6">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u w:val="none"/>
              </w:rPr>
            </w:pPr>
          </w:p>
        </w:tc>
        <w:tc>
          <w:tcPr>
            <w:tcW w:w="8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BF4F0">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长期避难场所</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1863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7089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7F26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710D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7BB9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u w:val="none"/>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w:t>
            </w:r>
          </w:p>
        </w:tc>
      </w:tr>
      <w:tr w14:paraId="33F78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170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D5A7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u w:val="none"/>
                <w:lang w:val="en-US" w:eastAsia="zh-CN" w:bidi="ar"/>
              </w:rPr>
              <w:t>合计</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2003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b/>
                <w:i w:val="0"/>
                <w:iCs w:val="0"/>
                <w:snapToGrid w:val="0"/>
                <w:color w:val="auto"/>
                <w:kern w:val="0"/>
                <w:sz w:val="21"/>
                <w:szCs w:val="21"/>
                <w:u w:val="none"/>
                <w:lang w:val="en-US" w:eastAsia="zh-CN" w:bidi="ar"/>
              </w:rPr>
              <w:t>179</w:t>
            </w:r>
          </w:p>
        </w:tc>
        <w:tc>
          <w:tcPr>
            <w:tcW w:w="9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3837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b/>
                <w:i w:val="0"/>
                <w:iCs w:val="0"/>
                <w:snapToGrid w:val="0"/>
                <w:color w:val="auto"/>
                <w:kern w:val="0"/>
                <w:sz w:val="21"/>
                <w:szCs w:val="21"/>
                <w:u w:val="none"/>
                <w:lang w:val="en-US" w:eastAsia="zh-CN" w:bidi="ar"/>
              </w:rPr>
              <w:t>24.2万人</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4673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b/>
                <w:i w:val="0"/>
                <w:iCs w:val="0"/>
                <w:snapToGrid w:val="0"/>
                <w:color w:val="auto"/>
                <w:kern w:val="0"/>
                <w:sz w:val="21"/>
                <w:szCs w:val="21"/>
                <w:u w:val="none"/>
                <w:lang w:val="en-US" w:eastAsia="zh-CN" w:bidi="ar"/>
              </w:rPr>
              <w:t>506125</w:t>
            </w:r>
          </w:p>
        </w:tc>
        <w:tc>
          <w:tcPr>
            <w:tcW w:w="6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2435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b/>
                <w:i w:val="0"/>
                <w:iCs w:val="0"/>
                <w:snapToGrid w:val="0"/>
                <w:color w:val="auto"/>
                <w:kern w:val="0"/>
                <w:sz w:val="21"/>
                <w:szCs w:val="21"/>
                <w:u w:val="none"/>
                <w:lang w:val="en-US" w:eastAsia="zh-CN" w:bidi="ar"/>
              </w:rPr>
              <w:t>726895</w:t>
            </w:r>
          </w:p>
        </w:tc>
        <w:tc>
          <w:tcPr>
            <w:tcW w:w="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5D6A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u w:val="none"/>
                <w:lang w:val="en-US" w:eastAsia="zh-CN" w:bidi="ar"/>
              </w:rPr>
            </w:pPr>
            <w:r>
              <w:rPr>
                <w:rFonts w:hint="eastAsia" w:ascii="方正书宋简体" w:hAnsi="方正书宋简体" w:eastAsia="方正书宋简体" w:cs="方正书宋简体"/>
                <w:b/>
                <w:i w:val="0"/>
                <w:iCs w:val="0"/>
                <w:snapToGrid w:val="0"/>
                <w:color w:val="auto"/>
                <w:kern w:val="0"/>
                <w:sz w:val="21"/>
                <w:szCs w:val="21"/>
                <w:u w:val="none"/>
                <w:lang w:val="en-US" w:eastAsia="zh-CN" w:bidi="ar"/>
              </w:rPr>
              <w:t>357275</w:t>
            </w:r>
          </w:p>
        </w:tc>
      </w:tr>
      <w:bookmarkEnd w:id="198"/>
      <w:bookmarkEnd w:id="199"/>
      <w:bookmarkEnd w:id="200"/>
    </w:tbl>
    <w:p w14:paraId="39D7D152">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color w:val="auto"/>
          <w:sz w:val="21"/>
          <w:szCs w:val="21"/>
          <w:highlight w:val="none"/>
        </w:rPr>
        <w:sectPr>
          <w:type w:val="continuous"/>
          <w:pgSz w:w="11906" w:h="16838"/>
          <w:pgMar w:top="1701" w:right="1247" w:bottom="1701" w:left="1247" w:header="1134" w:footer="1109" w:gutter="0"/>
          <w:pgNumType w:fmt="decimal"/>
          <w:cols w:space="425" w:num="1"/>
        </w:sectPr>
      </w:pPr>
    </w:p>
    <w:p w14:paraId="5F1792FC">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val="0"/>
          <w:i w:val="0"/>
          <w:snapToGrid w:val="0"/>
          <w:color w:val="auto"/>
          <w:kern w:val="0"/>
          <w:sz w:val="21"/>
          <w:szCs w:val="21"/>
          <w:lang w:val="en-US" w:eastAsia="en-US" w:bidi="ar-SA"/>
        </w:rPr>
      </w:pPr>
    </w:p>
    <w:p w14:paraId="4C9A53CB">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firstLine="422" w:firstLineChars="200"/>
        <w:jc w:val="both"/>
        <w:textAlignment w:val="auto"/>
        <w:outlineLvl w:val="2"/>
        <w:rPr>
          <w:rFonts w:hint="eastAsia" w:ascii="方正书宋简体" w:hAnsi="方正书宋简体" w:eastAsia="方正书宋简体" w:cs="方正书宋简体"/>
          <w:b/>
          <w:bCs/>
          <w:color w:val="auto"/>
          <w:sz w:val="21"/>
          <w:szCs w:val="21"/>
          <w:highlight w:val="none"/>
        </w:rPr>
      </w:pPr>
      <w:r>
        <w:rPr>
          <w:rFonts w:hint="eastAsia" w:ascii="方正书宋简体" w:hAnsi="方正书宋简体" w:eastAsia="方正书宋简体" w:cs="方正书宋简体"/>
          <w:b/>
          <w:bCs w:val="0"/>
          <w:i w:val="0"/>
          <w:snapToGrid w:val="0"/>
          <w:color w:val="auto"/>
          <w:kern w:val="0"/>
          <w:sz w:val="21"/>
          <w:szCs w:val="21"/>
          <w:lang w:val="en-US" w:eastAsia="en-US" w:bidi="ar-SA"/>
        </w:rPr>
        <w:t xml:space="preserve">第16条 </w:t>
      </w:r>
      <w:r>
        <w:rPr>
          <w:rFonts w:hint="eastAsia" w:ascii="方正书宋简体" w:hAnsi="方正书宋简体" w:eastAsia="方正书宋简体" w:cs="方正书宋简体"/>
          <w:b/>
          <w:bCs/>
          <w:snapToGrid/>
          <w:color w:val="auto"/>
          <w:kern w:val="2"/>
          <w:sz w:val="21"/>
          <w:szCs w:val="21"/>
          <w:highlight w:val="none"/>
          <w:lang w:val="en-US" w:eastAsia="zh-CN"/>
        </w:rPr>
        <w:t>应急避难场所的控制指标</w:t>
      </w:r>
    </w:p>
    <w:p w14:paraId="6693EF46">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结合鄂托克旗公园绿地建设情况，本次规划采用0.3-0.9的折减率对被指定场地进行实际避难面积核算。</w:t>
      </w:r>
    </w:p>
    <w:p w14:paraId="4973D5A0">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学校类应急避难场所主要包含操场、运动场等场地，本次规划采用0.3-0.5的折减率对被指定场地进行实际避难面积核算；</w:t>
      </w:r>
    </w:p>
    <w:p w14:paraId="4DFC719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广场类本次规划按0.7-0.9的折减率对被指定场地进行实际避难面积核算；</w:t>
      </w:r>
    </w:p>
    <w:p w14:paraId="47EA1779">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村委会本次规划按0.4-0.6的折减率对被指定场地进行实际避难面积核算；</w:t>
      </w:r>
    </w:p>
    <w:p w14:paraId="5D0BD46A">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特殊情况可根据场地情况、使用需求确定折</w:t>
      </w:r>
    </w:p>
    <w:p w14:paraId="35813F30">
      <w:pPr>
        <w:pStyle w:val="25"/>
        <w:pageBreakBefore w:val="0"/>
        <w:widowControl w:val="0"/>
        <w:kinsoku/>
        <w:wordWrap/>
        <w:overflowPunct/>
        <w:topLinePunct w:val="0"/>
        <w:autoSpaceDE/>
        <w:autoSpaceDN/>
        <w:bidi w:val="0"/>
        <w:spacing w:line="310" w:lineRule="exact"/>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减系数。</w:t>
      </w:r>
    </w:p>
    <w:p w14:paraId="64204BA6">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201" w:name="_Toc491"/>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第17条 </w:t>
      </w:r>
      <w:r>
        <w:rPr>
          <w:rFonts w:hint="eastAsia" w:ascii="方正书宋简体" w:hAnsi="方正书宋简体" w:eastAsia="方正书宋简体" w:cs="方正书宋简体"/>
          <w:b/>
          <w:bCs/>
          <w:snapToGrid/>
          <w:color w:val="auto"/>
          <w:kern w:val="2"/>
          <w:sz w:val="21"/>
          <w:szCs w:val="21"/>
          <w:highlight w:val="none"/>
          <w:lang w:val="en-US" w:eastAsia="zh-CN"/>
        </w:rPr>
        <w:t>规划布局原则</w:t>
      </w:r>
      <w:bookmarkEnd w:id="201"/>
    </w:p>
    <w:p w14:paraId="1F75229B">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bookmarkStart w:id="202" w:name="_Toc3983"/>
      <w:r>
        <w:rPr>
          <w:rFonts w:hint="eastAsia" w:ascii="方正书宋简体" w:hAnsi="方正书宋简体" w:eastAsia="方正书宋简体" w:cs="方正书宋简体"/>
          <w:b/>
          <w:bCs/>
          <w:snapToGrid/>
          <w:color w:val="auto"/>
          <w:kern w:val="2"/>
          <w:sz w:val="21"/>
          <w:szCs w:val="21"/>
          <w:highlight w:val="none"/>
          <w:lang w:val="en-US" w:eastAsia="zh-CN"/>
        </w:rPr>
        <w:t>适应发展、保障安全</w:t>
      </w:r>
      <w:bookmarkEnd w:id="202"/>
      <w:r>
        <w:rPr>
          <w:rFonts w:hint="eastAsia" w:ascii="方正书宋简体" w:hAnsi="方正书宋简体" w:eastAsia="方正书宋简体" w:cs="方正书宋简体"/>
          <w:b/>
          <w:bCs/>
          <w:snapToGrid/>
          <w:color w:val="auto"/>
          <w:kern w:val="2"/>
          <w:sz w:val="21"/>
          <w:szCs w:val="21"/>
          <w:highlight w:val="none"/>
          <w:lang w:val="en-US" w:eastAsia="zh-CN"/>
        </w:rPr>
        <w:t>。</w:t>
      </w:r>
      <w:r>
        <w:rPr>
          <w:rFonts w:hint="eastAsia" w:ascii="方正书宋简体" w:hAnsi="方正书宋简体" w:eastAsia="方正书宋简体" w:cs="方正书宋简体"/>
          <w:snapToGrid/>
          <w:color w:val="auto"/>
          <w:kern w:val="2"/>
          <w:sz w:val="21"/>
          <w:szCs w:val="21"/>
          <w:highlight w:val="none"/>
          <w:lang w:val="en-US" w:eastAsia="zh-CN"/>
        </w:rPr>
        <w:t>应急避难场所规划须适应城市的发展，适应城市的人口变化对避难场所提出的要求，在规划年限、人口、用地等方面应与总体规划保持一致。</w:t>
      </w:r>
    </w:p>
    <w:p w14:paraId="66FFD6F9">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应急避难场所的选址、建设要进行安全性评价。</w:t>
      </w:r>
      <w:r>
        <w:rPr>
          <w:rFonts w:hint="eastAsia" w:ascii="方正书宋简体" w:hAnsi="方正书宋简体" w:eastAsia="方正书宋简体" w:cs="方正书宋简体"/>
          <w:snapToGrid/>
          <w:color w:val="auto"/>
          <w:kern w:val="2"/>
          <w:sz w:val="21"/>
          <w:szCs w:val="21"/>
          <w:highlight w:val="none"/>
          <w:lang w:val="en-US" w:eastAsia="zh-CN"/>
        </w:rPr>
        <w:t>应尽量避开松软地基，远离易燃易爆物品生产工厂与仓库、高压输电线路以及有可能震毁的建筑物。优先选择易于搭建临时建筑或帐篷、易于进行救灾活动的平坦空旷、交通环境好的安全地域，且为避难疏散场所创造必要的治安、卫生和防疫条件。</w:t>
      </w:r>
    </w:p>
    <w:p w14:paraId="489570FA">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bookmarkStart w:id="203" w:name="_Toc26653"/>
      <w:r>
        <w:rPr>
          <w:rFonts w:hint="eastAsia" w:ascii="方正书宋简体" w:hAnsi="方正书宋简体" w:eastAsia="方正书宋简体" w:cs="方正书宋简体"/>
          <w:b/>
          <w:bCs/>
          <w:snapToGrid/>
          <w:color w:val="auto"/>
          <w:kern w:val="2"/>
          <w:sz w:val="21"/>
          <w:szCs w:val="21"/>
          <w:highlight w:val="none"/>
          <w:lang w:val="en-US" w:eastAsia="zh-CN"/>
        </w:rPr>
        <w:t>统筹规划、均衡布局</w:t>
      </w:r>
      <w:bookmarkEnd w:id="203"/>
      <w:r>
        <w:rPr>
          <w:rFonts w:hint="eastAsia" w:ascii="方正书宋简体" w:hAnsi="方正书宋简体" w:eastAsia="方正书宋简体" w:cs="方正书宋简体"/>
          <w:b/>
          <w:bCs/>
          <w:snapToGrid/>
          <w:color w:val="auto"/>
          <w:kern w:val="2"/>
          <w:sz w:val="21"/>
          <w:szCs w:val="21"/>
          <w:highlight w:val="none"/>
          <w:lang w:val="en-US" w:eastAsia="zh-CN"/>
        </w:rPr>
        <w:t>。</w:t>
      </w:r>
      <w:r>
        <w:rPr>
          <w:rFonts w:hint="eastAsia" w:ascii="方正书宋简体" w:hAnsi="方正书宋简体" w:eastAsia="方正书宋简体" w:cs="方正书宋简体"/>
          <w:snapToGrid/>
          <w:color w:val="auto"/>
          <w:kern w:val="2"/>
          <w:sz w:val="21"/>
          <w:szCs w:val="21"/>
          <w:highlight w:val="none"/>
          <w:lang w:val="en-US" w:eastAsia="zh-CN"/>
        </w:rPr>
        <w:t>在建立应急避难场所整体空间布局的基础上，注意各苏木镇应急避难场所布局的均衡性。根据现状人口、空旷场所位置以及规划人口、用地等，就近合理地相应布置避难场所。不同等级场所对应不同的服务半径，并注意与防灾疏散通道的衔接，使居民在发生突发事件后需要避难时，能够有效、安全地在指定的避难场所避难。</w:t>
      </w:r>
    </w:p>
    <w:p w14:paraId="454A0012">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bookmarkStart w:id="204" w:name="_Toc9582"/>
      <w:r>
        <w:rPr>
          <w:rFonts w:hint="eastAsia" w:ascii="方正书宋简体" w:hAnsi="方正书宋简体" w:eastAsia="方正书宋简体" w:cs="方正书宋简体"/>
          <w:b/>
          <w:bCs/>
          <w:snapToGrid/>
          <w:color w:val="auto"/>
          <w:kern w:val="2"/>
          <w:sz w:val="21"/>
          <w:szCs w:val="21"/>
          <w:highlight w:val="none"/>
          <w:lang w:val="en-US" w:eastAsia="zh-CN"/>
        </w:rPr>
        <w:t>平灾结合、制度跟进</w:t>
      </w:r>
      <w:bookmarkEnd w:id="204"/>
      <w:r>
        <w:rPr>
          <w:rFonts w:hint="eastAsia" w:ascii="方正书宋简体" w:hAnsi="方正书宋简体" w:eastAsia="方正书宋简体" w:cs="方正书宋简体"/>
          <w:b/>
          <w:bCs/>
          <w:snapToGrid/>
          <w:color w:val="auto"/>
          <w:kern w:val="2"/>
          <w:sz w:val="21"/>
          <w:szCs w:val="21"/>
          <w:highlight w:val="none"/>
          <w:lang w:val="en-US" w:eastAsia="zh-CN"/>
        </w:rPr>
        <w:t>。</w:t>
      </w:r>
      <w:r>
        <w:rPr>
          <w:rFonts w:hint="eastAsia" w:ascii="方正书宋简体" w:hAnsi="方正书宋简体" w:eastAsia="方正书宋简体" w:cs="方正书宋简体"/>
          <w:snapToGrid/>
          <w:color w:val="auto"/>
          <w:kern w:val="2"/>
          <w:sz w:val="21"/>
          <w:szCs w:val="21"/>
          <w:highlight w:val="none"/>
          <w:lang w:val="en-US" w:eastAsia="zh-CN"/>
        </w:rPr>
        <w:t>应急避难场所利用的是大型、中型空旷空间，它承担平时自身的城市功能，避难功能在突发公共事件发生后启动，通过场所启动、设施开放、物资运输等手段，发挥其灾后的特殊功能，应急避难疏散指挥部门应协同有关单位为实现功能转换做必要的准备工作，并制定相应的管理制度。</w:t>
      </w:r>
    </w:p>
    <w:p w14:paraId="55A460B7">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bookmarkStart w:id="205" w:name="_Toc30265"/>
      <w:r>
        <w:rPr>
          <w:rFonts w:hint="eastAsia" w:ascii="方正书宋简体" w:hAnsi="方正书宋简体" w:eastAsia="方正书宋简体" w:cs="方正书宋简体"/>
          <w:b/>
          <w:bCs/>
          <w:snapToGrid/>
          <w:color w:val="auto"/>
          <w:kern w:val="2"/>
          <w:sz w:val="21"/>
          <w:szCs w:val="21"/>
          <w:highlight w:val="none"/>
          <w:lang w:val="en-US" w:eastAsia="zh-CN"/>
        </w:rPr>
        <w:t>综合防灾、分期实施</w:t>
      </w:r>
      <w:bookmarkEnd w:id="205"/>
      <w:r>
        <w:rPr>
          <w:rFonts w:hint="eastAsia" w:ascii="方正书宋简体" w:hAnsi="方正书宋简体" w:eastAsia="方正书宋简体" w:cs="方正书宋简体"/>
          <w:b/>
          <w:bCs/>
          <w:snapToGrid/>
          <w:color w:val="auto"/>
          <w:kern w:val="2"/>
          <w:sz w:val="21"/>
          <w:szCs w:val="21"/>
          <w:highlight w:val="none"/>
          <w:lang w:val="en-US" w:eastAsia="zh-CN"/>
        </w:rPr>
        <w:t>。</w:t>
      </w:r>
      <w:r>
        <w:rPr>
          <w:rFonts w:hint="eastAsia" w:ascii="方正书宋简体" w:hAnsi="方正书宋简体" w:eastAsia="方正书宋简体" w:cs="方正书宋简体"/>
          <w:snapToGrid/>
          <w:color w:val="auto"/>
          <w:kern w:val="2"/>
          <w:sz w:val="21"/>
          <w:szCs w:val="21"/>
          <w:highlight w:val="none"/>
          <w:lang w:val="en-US" w:eastAsia="zh-CN"/>
        </w:rPr>
        <w:t>避难场所应具有多灾兼顾、综合防灾的特点，现代城市用地紧张，综合应急避难场所能更集约化地利用资源，也是突发公共事件日趋综合化的要求，但应考虑具体灾害特点与避难要求的适用性。具体情况下可作为哪些突发事件的避难场所，可在应急避难场所指示牌中予以明示。</w:t>
      </w:r>
    </w:p>
    <w:p w14:paraId="10BD386E">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206" w:name="_Toc5446"/>
      <w:bookmarkStart w:id="207" w:name="_Toc13741"/>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第18条 </w:t>
      </w:r>
      <w:r>
        <w:rPr>
          <w:rFonts w:hint="eastAsia" w:ascii="方正书宋简体" w:hAnsi="方正书宋简体" w:eastAsia="方正书宋简体" w:cs="方正书宋简体"/>
          <w:b/>
          <w:bCs/>
          <w:snapToGrid/>
          <w:color w:val="auto"/>
          <w:kern w:val="2"/>
          <w:sz w:val="21"/>
          <w:szCs w:val="21"/>
          <w:highlight w:val="none"/>
          <w:lang w:val="en-US" w:eastAsia="zh-CN"/>
        </w:rPr>
        <w:t>应急避难场所选址要求</w:t>
      </w:r>
      <w:bookmarkEnd w:id="206"/>
    </w:p>
    <w:bookmarkEnd w:id="207"/>
    <w:p w14:paraId="25F55BA2">
      <w:pPr>
        <w:pStyle w:val="25"/>
        <w:pageBreakBefore w:val="0"/>
        <w:widowControl w:val="0"/>
        <w:numPr>
          <w:ilvl w:val="0"/>
          <w:numId w:val="0"/>
        </w:numPr>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根据《建筑抗震设计规范》（GB50011-2010）（2024年版）、《城市综合防灾规划标准》（GB/T51327-2018）、《防灾避难场所设计规范》（GB51143-2015）（2021年版）、《防灾避难场所设计建设技术标准》（DB32/T3709-2019）等规范规定，应急避难场所建设要避开不适宜用地范围。应急避难场所距离次生灾害危险源的距离应满足国家相关的标准规范；距离滑坡崩塌威胁区域不小于500m，地裂带威胁区域不小于100m，地震应急避难场所内应分避难区块，区块之间也应该设防火安全带；应远离易燃、易爆、有毒、有害等危险物质的生产、储存和运输场所，避免在灾害发生时遭受二次灾害；应避开地震活动断层、山体滑坡、泥石流等地质灾害多发地段，以及地下溶洞、采空区等地质不稳定区域；远离高大建筑物、高压电线、核放射物、活动断层、地下管网密集区等可能存在危险的区域。</w:t>
      </w:r>
    </w:p>
    <w:p w14:paraId="5BF65D3F">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高地优先，避让洪径。</w:t>
      </w:r>
      <w:r>
        <w:rPr>
          <w:rFonts w:hint="eastAsia" w:ascii="方正书宋简体" w:hAnsi="方正书宋简体" w:eastAsia="方正书宋简体" w:cs="方正书宋简体"/>
          <w:snapToGrid/>
          <w:color w:val="auto"/>
          <w:kern w:val="2"/>
          <w:sz w:val="21"/>
          <w:szCs w:val="21"/>
          <w:highlight w:val="none"/>
          <w:lang w:val="en-US" w:eastAsia="zh-CN"/>
        </w:rPr>
        <w:t>所有应急避难场所，尤其是承担长期安置功能的旗级中心和苏木镇级枢纽，其场地选址必须高于周边地区，优先选择地势平坦开阔的台地或缓坡。严禁在行洪通道、蓄滞洪区、低洼易涝区以及地质灾害隐患点（如滑坡、崩塌体下方）建设。</w:t>
      </w:r>
    </w:p>
    <w:p w14:paraId="2E5E1962">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场地平整与排水组织。</w:t>
      </w:r>
      <w:r>
        <w:rPr>
          <w:rFonts w:hint="eastAsia" w:ascii="方正书宋简体" w:hAnsi="方正书宋简体" w:eastAsia="方正书宋简体" w:cs="方正书宋简体"/>
          <w:snapToGrid/>
          <w:color w:val="auto"/>
          <w:kern w:val="2"/>
          <w:sz w:val="21"/>
          <w:szCs w:val="21"/>
          <w:highlight w:val="none"/>
          <w:lang w:val="en-US" w:eastAsia="zh-CN"/>
        </w:rPr>
        <w:t>场地内部需进行科学的竖向设计，通过微地形处理形成利于雨水快速排除的坡度（一般不小于0.3%），确保内部不积水。配套建设完善的雨水排放系统，包括排水沟、渗水槽、蓄水池等，确保暴雨期间雨水能够被迅速收集和导排，维持避难功能区（如帐篷区、医疗点）的干燥与安全。</w:t>
      </w:r>
    </w:p>
    <w:p w14:paraId="3F4728DF">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安全通道路径。</w:t>
      </w:r>
      <w:r>
        <w:rPr>
          <w:rFonts w:hint="eastAsia" w:ascii="方正书宋简体" w:hAnsi="方正书宋简体" w:eastAsia="方正书宋简体" w:cs="方正书宋简体"/>
          <w:snapToGrid/>
          <w:color w:val="auto"/>
          <w:kern w:val="2"/>
          <w:sz w:val="21"/>
          <w:szCs w:val="21"/>
          <w:highlight w:val="none"/>
          <w:lang w:val="en-US" w:eastAsia="zh-CN"/>
        </w:rPr>
        <w:t>连接避难场所的疏散通道和消防通道的纵坡设计需满足紧急通行要求，同时其路面高程也必须高于周边区域，确保在洪涝发生时始终畅通，成为“生命通道”。</w:t>
      </w:r>
    </w:p>
    <w:p w14:paraId="1664861A">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差异化防洪标准。</w:t>
      </w:r>
      <w:r>
        <w:rPr>
          <w:rFonts w:hint="eastAsia" w:ascii="方正书宋简体" w:hAnsi="方正书宋简体" w:eastAsia="方正书宋简体" w:cs="方正书宋简体"/>
          <w:snapToGrid/>
          <w:color w:val="auto"/>
          <w:kern w:val="2"/>
          <w:sz w:val="21"/>
          <w:szCs w:val="21"/>
          <w:highlight w:val="none"/>
          <w:lang w:val="en-US" w:eastAsia="zh-CN"/>
        </w:rPr>
        <w:t>根据鄂托克旗的城镇防洪规划，应急避难场所的防洪标准应不低于甚至高于其所在区域的设防标准，</w:t>
      </w:r>
      <w:r>
        <w:rPr>
          <w:rFonts w:hint="eastAsia" w:ascii="方正书宋简体" w:hAnsi="方正书宋简体" w:eastAsia="方正书宋简体" w:cs="方正书宋简体"/>
          <w:b/>
          <w:bCs/>
          <w:snapToGrid/>
          <w:color w:val="auto"/>
          <w:kern w:val="2"/>
          <w:sz w:val="21"/>
          <w:szCs w:val="21"/>
          <w:highlight w:val="none"/>
          <w:u w:val="single"/>
          <w:lang w:val="en-US" w:eastAsia="zh-CN"/>
        </w:rPr>
        <w:t>具体为：旗级应急避难场所（乌兰镇、棋盘井镇）：采用≥50年一遇的防洪标准。苏木镇级应急避难场所（其他苏木镇中心镇区）：采用≥30年一遇的防洪标准。嘎查村（社区）级紧急避难场所：采用≥20年一遇的防洪标准，</w:t>
      </w:r>
      <w:r>
        <w:rPr>
          <w:rFonts w:hint="eastAsia" w:ascii="方正书宋简体" w:hAnsi="方正书宋简体" w:eastAsia="方正书宋简体" w:cs="方正书宋简体"/>
          <w:snapToGrid/>
          <w:color w:val="auto"/>
          <w:kern w:val="2"/>
          <w:sz w:val="21"/>
          <w:szCs w:val="21"/>
          <w:highlight w:val="none"/>
          <w:lang w:val="en-US" w:eastAsia="zh-CN"/>
        </w:rPr>
        <w:t>且其场地地坪标高必须高于历史最高洪水位1.0米以上。</w:t>
      </w:r>
    </w:p>
    <w:p w14:paraId="4A65B1D5">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防御山洪的特殊措施。</w:t>
      </w:r>
      <w:r>
        <w:rPr>
          <w:rFonts w:hint="eastAsia" w:ascii="方正书宋简体" w:hAnsi="方正书宋简体" w:eastAsia="方正书宋简体" w:cs="方正书宋简体"/>
          <w:snapToGrid/>
          <w:color w:val="auto"/>
          <w:kern w:val="2"/>
          <w:sz w:val="21"/>
          <w:szCs w:val="21"/>
          <w:highlight w:val="none"/>
          <w:lang w:val="en-US" w:eastAsia="zh-CN"/>
        </w:rPr>
        <w:t>对于靠近丘陵沟壑区的避难场所（如阿尔巴斯苏木部分区域），除满足上述标准外，还应在场地外围上游建设截洪沟，有效拦截和导排坡面洪水，避免山洪冲击。</w:t>
      </w:r>
    </w:p>
    <w:p w14:paraId="309883CB">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sectPr>
          <w:type w:val="continuous"/>
          <w:pgSz w:w="11906" w:h="16838"/>
          <w:pgMar w:top="1701" w:right="1247" w:bottom="1701" w:left="1247" w:header="850" w:footer="1109" w:gutter="0"/>
          <w:pgNumType w:fmt="decimal"/>
          <w:cols w:equalWidth="0" w:num="2">
            <w:col w:w="4493" w:space="425"/>
            <w:col w:w="4493"/>
          </w:cols>
        </w:sectPr>
      </w:pPr>
      <w:r>
        <w:rPr>
          <w:rFonts w:hint="eastAsia" w:ascii="方正书宋简体" w:hAnsi="方正书宋简体" w:eastAsia="方正书宋简体" w:cs="方正书宋简体"/>
          <w:b/>
          <w:bCs/>
          <w:snapToGrid/>
          <w:color w:val="auto"/>
          <w:kern w:val="2"/>
          <w:sz w:val="21"/>
          <w:szCs w:val="21"/>
          <w:highlight w:val="none"/>
          <w:lang w:val="en-US" w:eastAsia="zh-CN"/>
        </w:rPr>
        <w:t>防洪设施的配套与检查。</w:t>
      </w:r>
      <w:r>
        <w:rPr>
          <w:rFonts w:hint="eastAsia" w:ascii="方正书宋简体" w:hAnsi="方正书宋简体" w:eastAsia="方正书宋简体" w:cs="方正书宋简体"/>
          <w:snapToGrid/>
          <w:color w:val="auto"/>
          <w:kern w:val="2"/>
          <w:sz w:val="21"/>
          <w:szCs w:val="21"/>
          <w:highlight w:val="none"/>
          <w:lang w:val="en-US" w:eastAsia="zh-CN"/>
        </w:rPr>
        <w:t>在必要区域，应配套建设防洪墙、防洪闸等工程措施。建立汛前例行检查制度，确保所有排水设施和防洪工程在汛期前完好、畅通，随时可用。通过以上严格的竖向设计与高标准的防洪要求，确保鄂托克旗的每一处应急避难场所都能在极端天气条件下，成为守护人民群众生命安全的“诺亚方舟”。</w:t>
      </w:r>
    </w:p>
    <w:p w14:paraId="1FFB9F2E">
      <w:pPr>
        <w:pStyle w:val="25"/>
        <w:pageBreakBefore w:val="0"/>
        <w:widowControl w:val="0"/>
        <w:numPr>
          <w:ilvl w:val="0"/>
          <w:numId w:val="0"/>
        </w:numPr>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p>
    <w:p w14:paraId="5513329A">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bookmarkStart w:id="208" w:name="bookmark39"/>
      <w:bookmarkEnd w:id="208"/>
      <w:bookmarkStart w:id="209" w:name="_Toc32520"/>
      <w:bookmarkStart w:id="210" w:name="_Toc658"/>
      <w:bookmarkStart w:id="211" w:name="_Toc15896"/>
      <w:bookmarkStart w:id="212" w:name="_Toc15085"/>
      <w:bookmarkStart w:id="213" w:name="_Toc29764"/>
      <w:bookmarkStart w:id="214" w:name="_Toc25148"/>
      <w:bookmarkStart w:id="215" w:name="_Toc8303"/>
      <w:bookmarkStart w:id="216" w:name="_Toc9303"/>
      <w:bookmarkStart w:id="217" w:name="_Toc3347"/>
      <w:r>
        <w:rPr>
          <w:rFonts w:hint="eastAsia" w:ascii="方正书宋简体" w:hAnsi="方正书宋简体" w:eastAsia="方正书宋简体" w:cs="方正书宋简体"/>
          <w:b/>
          <w:bCs/>
          <w:snapToGrid/>
          <w:color w:val="auto"/>
          <w:kern w:val="2"/>
          <w:sz w:val="21"/>
          <w:szCs w:val="21"/>
          <w:lang w:val="en-US" w:eastAsia="zh-CN" w:bidi="ar-SA"/>
        </w:rPr>
        <w:t>第二节　</w:t>
      </w:r>
      <w:r>
        <w:rPr>
          <w:rFonts w:hint="eastAsia" w:ascii="方正书宋简体" w:hAnsi="方正书宋简体" w:eastAsia="方正书宋简体" w:cs="方正书宋简体"/>
          <w:b/>
          <w:bCs/>
          <w:snapToGrid/>
          <w:color w:val="auto"/>
          <w:kern w:val="2"/>
          <w:sz w:val="21"/>
          <w:szCs w:val="21"/>
          <w:highlight w:val="none"/>
          <w:lang w:val="en-US" w:eastAsia="zh-CN"/>
        </w:rPr>
        <w:t>分级分类体系</w:t>
      </w:r>
      <w:bookmarkEnd w:id="209"/>
      <w:bookmarkEnd w:id="210"/>
      <w:bookmarkEnd w:id="211"/>
      <w:bookmarkEnd w:id="212"/>
      <w:bookmarkEnd w:id="213"/>
      <w:bookmarkEnd w:id="214"/>
      <w:bookmarkEnd w:id="215"/>
      <w:bookmarkEnd w:id="216"/>
      <w:r>
        <w:rPr>
          <w:rFonts w:hint="eastAsia" w:ascii="方正书宋简体" w:hAnsi="方正书宋简体" w:eastAsia="方正书宋简体" w:cs="方正书宋简体"/>
          <w:b/>
          <w:bCs/>
          <w:snapToGrid/>
          <w:color w:val="auto"/>
          <w:kern w:val="2"/>
          <w:sz w:val="21"/>
          <w:szCs w:val="21"/>
          <w:highlight w:val="none"/>
          <w:lang w:val="en-US" w:eastAsia="zh-CN"/>
        </w:rPr>
        <w:t>规划</w:t>
      </w:r>
      <w:bookmarkEnd w:id="217"/>
    </w:p>
    <w:p w14:paraId="62E18992">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bookmarkStart w:id="218" w:name="_Toc2796"/>
      <w:bookmarkStart w:id="219" w:name="_Toc31344"/>
      <w:bookmarkStart w:id="220" w:name="_Toc20483"/>
      <w:bookmarkStart w:id="221" w:name="_Toc14847"/>
    </w:p>
    <w:p w14:paraId="7A010B67">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第19条 </w:t>
      </w:r>
      <w:r>
        <w:rPr>
          <w:rFonts w:hint="eastAsia" w:ascii="方正书宋简体" w:hAnsi="方正书宋简体" w:eastAsia="方正书宋简体" w:cs="方正书宋简体"/>
          <w:b/>
          <w:bCs/>
          <w:snapToGrid/>
          <w:color w:val="auto"/>
          <w:kern w:val="2"/>
          <w:sz w:val="21"/>
          <w:szCs w:val="21"/>
          <w:highlight w:val="none"/>
          <w:lang w:val="en-US" w:eastAsia="zh-CN"/>
        </w:rPr>
        <w:t>分类</w:t>
      </w:r>
      <w:bookmarkEnd w:id="218"/>
      <w:bookmarkEnd w:id="219"/>
      <w:bookmarkEnd w:id="220"/>
      <w:bookmarkEnd w:id="221"/>
    </w:p>
    <w:p w14:paraId="064FBB9B">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本着与避难需求相适应的原则，根据应急避难场所的技术指标和功能属性、建筑和场地空间类别、总体功能定位等需要，将应急避难场所分为下列类型。</w:t>
      </w:r>
    </w:p>
    <w:p w14:paraId="458C4FF2">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技术指标和功能属性。</w:t>
      </w:r>
      <w:r>
        <w:rPr>
          <w:rFonts w:hint="eastAsia" w:ascii="方正书宋简体" w:hAnsi="方正书宋简体" w:eastAsia="方正书宋简体" w:cs="方正书宋简体"/>
          <w:snapToGrid/>
          <w:color w:val="auto"/>
          <w:kern w:val="2"/>
          <w:sz w:val="21"/>
          <w:szCs w:val="21"/>
          <w:highlight w:val="none"/>
          <w:lang w:val="en-US" w:eastAsia="zh-CN"/>
        </w:rPr>
        <w:t>按照避难时长、避难种类、人均有效避难面积、服务半径、可容纳避难人数、应急设施设备和物资配置等技术指标和功能属性，分为紧急避难场所、短期避难场所和长期避难场所。</w:t>
      </w:r>
    </w:p>
    <w:p w14:paraId="6ACF9A84">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pP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至规划期末，规划紧急避难场所137处，主要分布于苏木镇、各嘎查村（社区），中心城区根据服务半径利用公园绿地、广场、停车场、学校等。有效应急避难面积40.37公顷，可容纳人口规模22.84万人。</w:t>
      </w:r>
    </w:p>
    <w:p w14:paraId="5F648B2A">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pP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规划短期避难场所31处，主要为中心城区、苏木镇区办公用房、学校操场、社区公园等。有效应急避难面积21.13公顷，可容纳人口规模8.45万人。空间分布为中心城区8处，苏木镇23处。</w:t>
      </w:r>
    </w:p>
    <w:p w14:paraId="3730EC59">
      <w:pPr>
        <w:pStyle w:val="25"/>
        <w:pageBreakBefore w:val="0"/>
        <w:widowControl w:val="0"/>
        <w:kinsoku/>
        <w:wordWrap/>
        <w:overflowPunct/>
        <w:topLinePunct w:val="0"/>
        <w:autoSpaceDE/>
        <w:autoSpaceDN/>
        <w:bidi w:val="0"/>
        <w:spacing w:line="310" w:lineRule="exact"/>
        <w:ind w:firstLine="420" w:firstLineChars="200"/>
        <w:jc w:val="left"/>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规划长期避难场所11处，主要为中心城区和苏木镇区综合公园、广场等。有效应急避难面积11.19公顷，可容纳人口规模4.44万人。空间分布为中心城区4处，棋盘井镇中心镇区3处；阿尔巴斯苏木、蒙西镇、木凯淖尔镇、蒙西镇各1处。（</w:t>
      </w:r>
      <w:r>
        <w:rPr>
          <w:rFonts w:hint="eastAsia" w:ascii="方正书宋简体" w:hAnsi="方正书宋简体" w:eastAsia="方正书宋简体" w:cs="方正书宋简体"/>
          <w:snapToGrid/>
          <w:color w:val="auto"/>
          <w:kern w:val="2"/>
          <w:sz w:val="21"/>
          <w:szCs w:val="21"/>
          <w:highlight w:val="none"/>
          <w:lang w:val="en-US" w:eastAsia="zh-CN"/>
        </w:rPr>
        <w:t>详见附表4</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r>
        <w:rPr>
          <w:rFonts w:hint="eastAsia" w:ascii="方正书宋简体" w:hAnsi="方正书宋简体" w:eastAsia="方正书宋简体" w:cs="方正书宋简体"/>
          <w:snapToGrid/>
          <w:color w:val="auto"/>
          <w:kern w:val="2"/>
          <w:sz w:val="21"/>
          <w:szCs w:val="21"/>
          <w:highlight w:val="none"/>
          <w:lang w:val="en-US" w:eastAsia="zh-CN"/>
        </w:rPr>
        <w:t>。</w:t>
      </w:r>
    </w:p>
    <w:p w14:paraId="061E21EC">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建筑和场地空间类别。</w:t>
      </w:r>
      <w:r>
        <w:rPr>
          <w:rFonts w:hint="eastAsia" w:ascii="方正书宋简体" w:hAnsi="方正书宋简体" w:eastAsia="方正书宋简体" w:cs="方正书宋简体"/>
          <w:snapToGrid/>
          <w:color w:val="auto"/>
          <w:kern w:val="2"/>
          <w:sz w:val="21"/>
          <w:szCs w:val="21"/>
          <w:highlight w:val="none"/>
          <w:lang w:val="en-US" w:eastAsia="zh-CN"/>
        </w:rPr>
        <w:t>按建筑与场地空间类别，分为室内型（含室内室外兼具型）避难场所、室外避难场所。</w:t>
      </w:r>
    </w:p>
    <w:p w14:paraId="6DA6DDA5">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至规划期末，规划室内型（室内外兼具型）避难场所107处，有效应急避难面积32.10公顷，可容纳人口规模14.80万人；规划室外型避难场所72处，有效应急避难面积40.59公顷，可容纳人口规模20.93万人。室内型避难场所可容纳人口规模占室内外型避难场所容纳人口总规模的41.42%。</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r>
        <w:rPr>
          <w:rFonts w:hint="eastAsia" w:ascii="方正书宋简体" w:hAnsi="方正书宋简体" w:eastAsia="方正书宋简体" w:cs="方正书宋简体"/>
          <w:snapToGrid/>
          <w:color w:val="auto"/>
          <w:kern w:val="2"/>
          <w:sz w:val="21"/>
          <w:szCs w:val="21"/>
          <w:highlight w:val="none"/>
          <w:lang w:val="en-US" w:eastAsia="zh-CN"/>
        </w:rPr>
        <w:t>详见附表5</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p>
    <w:p w14:paraId="08F6E940">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总体功能定位。</w:t>
      </w:r>
      <w:r>
        <w:rPr>
          <w:rFonts w:hint="eastAsia" w:ascii="方正书宋简体" w:hAnsi="方正书宋简体" w:eastAsia="方正书宋简体" w:cs="方正书宋简体"/>
          <w:snapToGrid/>
          <w:color w:val="auto"/>
          <w:kern w:val="2"/>
          <w:sz w:val="21"/>
          <w:szCs w:val="21"/>
          <w:highlight w:val="none"/>
          <w:lang w:val="en-US" w:eastAsia="zh-CN"/>
        </w:rPr>
        <w:t>按总体功能定位，分为综合性避难场所、单一性避难场所。综合考虑鄂托克旗避难种类的多样性及按照编制指南要求严控单一性避难场所建设，本次规划179处应急避难场所均为综合性避难场所。</w:t>
      </w:r>
    </w:p>
    <w:p w14:paraId="76C157AE">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临时应急避难场所。</w:t>
      </w:r>
      <w:r>
        <w:rPr>
          <w:rFonts w:hint="eastAsia" w:ascii="方正书宋简体" w:hAnsi="方正书宋简体" w:eastAsia="方正书宋简体" w:cs="方正书宋简体"/>
          <w:b w:val="0"/>
          <w:bCs w:val="0"/>
          <w:snapToGrid/>
          <w:color w:val="auto"/>
          <w:kern w:val="2"/>
          <w:sz w:val="21"/>
          <w:szCs w:val="21"/>
          <w:highlight w:val="none"/>
          <w:lang w:val="en-US" w:eastAsia="zh-CN"/>
        </w:rPr>
        <w:t>本次规划对于未进行明确但发生紧急突发事件需要进行应急避难需求的场所，按照</w:t>
      </w:r>
      <w:r>
        <w:rPr>
          <w:rFonts w:hint="eastAsia" w:ascii="方正书宋简体" w:hAnsi="方正书宋简体" w:eastAsia="方正书宋简体" w:cs="方正书宋简体"/>
          <w:snapToGrid/>
          <w:color w:val="auto"/>
          <w:kern w:val="2"/>
          <w:sz w:val="21"/>
          <w:szCs w:val="21"/>
          <w:highlight w:val="none"/>
          <w:lang w:val="en-US" w:eastAsia="zh-CN"/>
        </w:rPr>
        <w:t>临时应急避难场所资源的调查与评估、临时应急避难场所的设置与运行管理以及关闭与功能恢复等活动。建设可根据</w:t>
      </w:r>
      <w:r>
        <w:rPr>
          <w:rFonts w:hint="eastAsia" w:ascii="方正书宋简体" w:hAnsi="方正书宋简体" w:eastAsia="方正书宋简体" w:cs="方正书宋简体"/>
          <w:b w:val="0"/>
          <w:bCs w:val="0"/>
          <w:snapToGrid/>
          <w:color w:val="auto"/>
          <w:kern w:val="2"/>
          <w:sz w:val="21"/>
          <w:szCs w:val="21"/>
          <w:highlight w:val="none"/>
          <w:lang w:val="en-US" w:eastAsia="zh-CN"/>
        </w:rPr>
        <w:t>《临时应急避难场所设置管理办法（征求意见稿）》</w:t>
      </w:r>
      <w:r>
        <w:rPr>
          <w:rFonts w:hint="eastAsia" w:ascii="方正书宋简体" w:hAnsi="方正书宋简体" w:eastAsia="方正书宋简体" w:cs="方正书宋简体"/>
          <w:snapToGrid/>
          <w:color w:val="auto"/>
          <w:kern w:val="2"/>
          <w:sz w:val="21"/>
          <w:szCs w:val="21"/>
          <w:highlight w:val="none"/>
          <w:lang w:val="en-US" w:eastAsia="zh-CN"/>
        </w:rPr>
        <w:t>管理办法实施。</w:t>
      </w:r>
    </w:p>
    <w:p w14:paraId="7C1FC1BD">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222" w:name="_Toc10489"/>
      <w:bookmarkStart w:id="223" w:name="_Toc20680"/>
      <w:bookmarkStart w:id="224" w:name="_Toc1479"/>
      <w:bookmarkStart w:id="225" w:name="_Toc17858"/>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第20条 </w:t>
      </w:r>
      <w:r>
        <w:rPr>
          <w:rFonts w:hint="eastAsia" w:ascii="方正书宋简体" w:hAnsi="方正书宋简体" w:eastAsia="方正书宋简体" w:cs="方正书宋简体"/>
          <w:b/>
          <w:bCs/>
          <w:snapToGrid/>
          <w:color w:val="auto"/>
          <w:kern w:val="2"/>
          <w:sz w:val="21"/>
          <w:szCs w:val="21"/>
          <w:highlight w:val="none"/>
          <w:lang w:val="en-US" w:eastAsia="zh-CN"/>
        </w:rPr>
        <w:t>分级</w:t>
      </w:r>
      <w:bookmarkEnd w:id="222"/>
      <w:bookmarkEnd w:id="223"/>
      <w:bookmarkEnd w:id="224"/>
      <w:bookmarkEnd w:id="225"/>
    </w:p>
    <w:p w14:paraId="4FF1E15D">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按照分级负责、属地管理为主和分级响应调度资源的原则，依据行政管理层级划分，将鄂托克旗应急避难场所划分为三级，分别为旗级避难场所、苏木镇级避难场所、嘎查村（社区）级避难场所。</w:t>
      </w:r>
    </w:p>
    <w:p w14:paraId="4EE50F28">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旗级避难场所。</w:t>
      </w:r>
      <w:r>
        <w:rPr>
          <w:rFonts w:hint="eastAsia" w:ascii="方正书宋简体" w:hAnsi="方正书宋简体" w:eastAsia="方正书宋简体" w:cs="方正书宋简体"/>
          <w:snapToGrid/>
          <w:color w:val="auto"/>
          <w:kern w:val="2"/>
          <w:sz w:val="21"/>
          <w:szCs w:val="21"/>
          <w:highlight w:val="none"/>
          <w:lang w:val="en-US" w:eastAsia="zh-CN"/>
        </w:rPr>
        <w:t>由旗级统筹规划建设和管理，旗级或苏木镇级或嘎查村（社区）级建设，管护和使用，主要用于本旗级行政区域或相邻旗级行政区域发生突发事件或需要应急避难的其他事件时，为本地区及跨本旗级行政区域应急避难人员提供服务保障。</w:t>
      </w:r>
    </w:p>
    <w:p w14:paraId="1861C5B4">
      <w:pPr>
        <w:pStyle w:val="25"/>
        <w:pageBreakBefore w:val="0"/>
        <w:widowControl w:val="0"/>
        <w:kinsoku/>
        <w:wordWrap/>
        <w:overflowPunct/>
        <w:topLinePunct w:val="0"/>
        <w:autoSpaceDE/>
        <w:autoSpaceDN/>
        <w:bidi w:val="0"/>
        <w:spacing w:line="310" w:lineRule="exact"/>
        <w:ind w:firstLine="420" w:firstLineChars="200"/>
        <w:jc w:val="left"/>
        <w:textAlignment w:val="auto"/>
        <w:rPr>
          <w:rFonts w:hint="eastAsia" w:ascii="方正书宋简体" w:hAnsi="方正书宋简体" w:eastAsia="方正书宋简体" w:cs="方正书宋简体"/>
          <w:b w:val="0"/>
          <w:bCs w:val="0"/>
          <w:snapToGrid/>
          <w:color w:val="FF0000"/>
          <w:kern w:val="2"/>
          <w:sz w:val="21"/>
          <w:szCs w:val="21"/>
          <w:highlight w:val="none"/>
          <w:lang w:val="en-US" w:eastAsia="zh-CN"/>
        </w:rPr>
      </w:pPr>
      <w:r>
        <w:rPr>
          <w:rFonts w:hint="eastAsia" w:ascii="方正书宋简体" w:hAnsi="方正书宋简体" w:eastAsia="方正书宋简体" w:cs="方正书宋简体"/>
          <w:b w:val="0"/>
          <w:bCs w:val="0"/>
          <w:strike w:val="0"/>
          <w:dstrike w:val="0"/>
          <w:snapToGrid/>
          <w:color w:val="auto"/>
          <w:kern w:val="2"/>
          <w:sz w:val="21"/>
          <w:szCs w:val="21"/>
          <w:highlight w:val="none"/>
          <w:lang w:val="en-US" w:eastAsia="zh-CN"/>
        </w:rPr>
        <w:t>通过改</w:t>
      </w:r>
      <w:r>
        <w:rPr>
          <w:rFonts w:hint="eastAsia" w:ascii="方正书宋简体" w:hAnsi="方正书宋简体" w:eastAsia="方正书宋简体" w:cs="方正书宋简体"/>
          <w:b w:val="0"/>
          <w:bCs w:val="0"/>
          <w:snapToGrid/>
          <w:color w:val="auto"/>
          <w:kern w:val="2"/>
          <w:sz w:val="21"/>
          <w:szCs w:val="21"/>
          <w:highlight w:val="none"/>
          <w:lang w:val="en-US" w:eastAsia="zh-CN"/>
        </w:rPr>
        <w:t>造和指定等方式建设，主要包括中心城区的室内型或室外型、综合性或单一性的紧急避难场所、短期避难场所和长期避难场所。至规划期末</w:t>
      </w:r>
      <w:r>
        <w:rPr>
          <w:rFonts w:hint="eastAsia" w:ascii="方正书宋简体" w:hAnsi="方正书宋简体" w:eastAsia="方正书宋简体" w:cs="方正书宋简体"/>
          <w:b w:val="0"/>
          <w:bCs w:val="0"/>
          <w:snapToGrid/>
          <w:color w:val="000000" w:themeColor="text1"/>
          <w:kern w:val="2"/>
          <w:sz w:val="21"/>
          <w:szCs w:val="21"/>
          <w:highlight w:val="none"/>
          <w:lang w:val="en-US" w:eastAsia="zh-CN"/>
          <w14:textFill>
            <w14:solidFill>
              <w14:schemeClr w14:val="tx1"/>
            </w14:solidFill>
          </w14:textFill>
        </w:rPr>
        <w:t>，规划旗级避难场所33处，有效应急避难面积25.14公顷，可容纳避难人口规模12.55万人，包括紧急避难场所22处，短期避难场所7处，长期避难场所4处。空间分布为</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中心城区27处，鄂托克高新技术产业开发区6处。</w:t>
      </w:r>
    </w:p>
    <w:p w14:paraId="27BA722A">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苏木镇级避难场所。</w:t>
      </w:r>
      <w:r>
        <w:rPr>
          <w:rFonts w:hint="eastAsia" w:ascii="方正书宋简体" w:hAnsi="方正书宋简体" w:eastAsia="方正书宋简体" w:cs="方正书宋简体"/>
          <w:snapToGrid/>
          <w:color w:val="auto"/>
          <w:kern w:val="2"/>
          <w:sz w:val="21"/>
          <w:szCs w:val="21"/>
          <w:highlight w:val="none"/>
          <w:lang w:val="en-US" w:eastAsia="zh-CN"/>
        </w:rPr>
        <w:t>由苏木镇级或旗级统筹规划建设和管理，苏木镇级或嘎查村（社区）级建设、管护和使用，主要用于本苏木镇级行政区域或相邻苏木镇级行政区域发生突发事件或需要应急避难的其他事件时，为本地区及跨本苏木镇级行政区域应急避难人员提供服务保障。</w:t>
      </w:r>
    </w:p>
    <w:p w14:paraId="0776BF60">
      <w:pPr>
        <w:pStyle w:val="25"/>
        <w:pageBreakBefore w:val="0"/>
        <w:widowControl w:val="0"/>
        <w:kinsoku/>
        <w:wordWrap/>
        <w:overflowPunct/>
        <w:topLinePunct w:val="0"/>
        <w:autoSpaceDE/>
        <w:autoSpaceDN/>
        <w:bidi w:val="0"/>
        <w:spacing w:line="310" w:lineRule="exact"/>
        <w:ind w:firstLine="420" w:firstLineChars="200"/>
        <w:jc w:val="left"/>
        <w:textAlignment w:val="auto"/>
        <w:rPr>
          <w:rFonts w:hint="eastAsia" w:ascii="方正书宋简体" w:hAnsi="方正书宋简体" w:eastAsia="方正书宋简体" w:cs="方正书宋简体"/>
          <w:snapToGrid/>
          <w:color w:val="FF0000"/>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通过新建、改造和指定等方式建设，主要包括城镇和乡村地区的室内型或室外型、综合性的紧急避难场所、短期避难场所和长期避难场所。</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至规划期末，规划苏木镇级避难场所53处，有效应急避难面积27.53公顷，可容纳避难人口规模13.31万人，主要位于中心城区及各苏木镇镇区，</w:t>
      </w:r>
      <w:r>
        <w:rPr>
          <w:rFonts w:hint="eastAsia" w:ascii="方正书宋简体" w:hAnsi="方正书宋简体" w:eastAsia="方正书宋简体" w:cs="方正书宋简体"/>
          <w:b w:val="0"/>
          <w:bCs w:val="0"/>
          <w:snapToGrid/>
          <w:color w:val="000000" w:themeColor="text1"/>
          <w:kern w:val="2"/>
          <w:sz w:val="21"/>
          <w:szCs w:val="21"/>
          <w:highlight w:val="none"/>
          <w:lang w:val="en-US" w:eastAsia="zh-CN"/>
          <w14:textFill>
            <w14:solidFill>
              <w14:schemeClr w14:val="tx1"/>
            </w14:solidFill>
          </w14:textFill>
        </w:rPr>
        <w:t>包括紧急避难场所26处，短期避难场所20处，长期避难场所7处。空间分布为</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中心城区1处，苏木镇52处。</w:t>
      </w:r>
    </w:p>
    <w:p w14:paraId="29D35AC4">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嘎查村（社区）级避难场所。</w:t>
      </w:r>
      <w:r>
        <w:rPr>
          <w:rFonts w:hint="eastAsia" w:ascii="方正书宋简体" w:hAnsi="方正书宋简体" w:eastAsia="方正书宋简体" w:cs="方正书宋简体"/>
          <w:snapToGrid/>
          <w:color w:val="auto"/>
          <w:kern w:val="2"/>
          <w:sz w:val="21"/>
          <w:szCs w:val="21"/>
          <w:highlight w:val="none"/>
          <w:lang w:val="en-US" w:eastAsia="zh-CN"/>
        </w:rPr>
        <w:t>由嘎查村（社区）级或苏木镇级统筹规划建设和管理，嘎查村（社区）级建设、管护和使用，主要用于本嘎查村（社区）或周边地区发生突发事件或需要应急避难的其他事件时，为本嘎查村（社区）及周边嘎查村（社区）应急避难人员提供服务保障。</w:t>
      </w:r>
    </w:p>
    <w:p w14:paraId="69D09844">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pP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至规划期末，规划嘎查村（社区）级避难场所93处，包括紧急避难场所89处，短期避难场所4处，有效应急避难面积20.02公顷，可容纳避难人口规模9.87万人，主要分布于苏木镇镇区、各嘎查村（社区），中心城区等。（</w:t>
      </w:r>
      <w:r>
        <w:rPr>
          <w:rFonts w:hint="eastAsia" w:ascii="方正书宋简体" w:hAnsi="方正书宋简体" w:eastAsia="方正书宋简体" w:cs="方正书宋简体"/>
          <w:snapToGrid/>
          <w:color w:val="auto"/>
          <w:kern w:val="2"/>
          <w:sz w:val="21"/>
          <w:szCs w:val="21"/>
          <w:highlight w:val="none"/>
          <w:lang w:val="en-US" w:eastAsia="zh-CN"/>
        </w:rPr>
        <w:t>详见附表6</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p>
    <w:p w14:paraId="15FB4408">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226" w:name="_Toc24583"/>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第21条 </w:t>
      </w:r>
      <w:r>
        <w:rPr>
          <w:rFonts w:hint="eastAsia" w:ascii="方正书宋简体" w:hAnsi="方正书宋简体" w:eastAsia="方正书宋简体" w:cs="方正书宋简体"/>
          <w:b/>
          <w:bCs/>
          <w:snapToGrid/>
          <w:color w:val="auto"/>
          <w:kern w:val="2"/>
          <w:sz w:val="21"/>
          <w:szCs w:val="21"/>
          <w:highlight w:val="none"/>
          <w:lang w:val="en-US" w:eastAsia="zh-CN"/>
        </w:rPr>
        <w:t>三级联动</w:t>
      </w:r>
      <w:bookmarkEnd w:id="226"/>
    </w:p>
    <w:p w14:paraId="5F038378">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为全面提升鄂托克旗防灾减灾救灾能力，规划将构建“旗级－苏木镇级－嘎查村（社区）级”三级联动、互联互通的应急避难场所体系，并重点补齐苏木镇、嘎查村（社区）两级短板，具体如下：</w:t>
      </w:r>
    </w:p>
    <w:p w14:paraId="2C399E98">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分级分类建设，明确标准与功能。</w:t>
      </w:r>
    </w:p>
    <w:p w14:paraId="08C267A5">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旗级综合应急避难场所：位于乌兰镇中心城区及棋盘井镇中心镇区等，承担全域性重大灾害应对。依托大型公园广场、体育场馆及人防工程，按国家标准建设，具备跨区域指挥、大规模人员安置、医疗救护、物资集散等综合功能。</w:t>
      </w:r>
    </w:p>
    <w:p w14:paraId="6B2575FD">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苏木镇级应急避难场所：各苏木镇（如蒙西镇、木凯淖尔镇等）政府驻地至少建设1处标准应急避难场所。依托镇区学校、广场和公共绿地，服务于本镇及周边区域，具备72小时以上基本生活保障能力，是连接旗级中心和村级点的枢纽。</w:t>
      </w:r>
    </w:p>
    <w:p w14:paraId="70BFB68B">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嘎查村（社区）级应急避难场所：在嘎查村（社区）层面，利用村级活动中心、坚固民房、开阔绿地设置紧急避难场所。首要保障村民在灾害发生后的24小时内紧急避险安全，实现“出门就近”疏散，解决应急“最后一公里”问题。</w:t>
      </w:r>
    </w:p>
    <w:p w14:paraId="47EE37C7">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完善物资储备与调配网络。</w:t>
      </w:r>
    </w:p>
    <w:p w14:paraId="2B9ACD6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分级储备：建立“旗级中心库—苏木镇级储备库—嘎查村（社区）级储备点”三级物资储备网络。旗级库储备大型、特种救援物资；苏木镇级库储备满足本辖区基本需求的通用物资；嘎查村（社区）级点则侧重储备食品、饮用水、毛毯等即时生存物资。</w:t>
      </w:r>
    </w:p>
    <w:p w14:paraId="77520874">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智能调配：将各级避难场所及物资库信息纳入全旗“智慧应急”指挥平台，实现物资动态管理和“一张图”调度。建立区域联动与紧急输送协议，确保在道路中断等极端情况下，能通过直升机、越野车队等方式将旗级物资快速投送至苏木镇、嘎查村（社区）节点。</w:t>
      </w:r>
    </w:p>
    <w:p w14:paraId="6B41006B">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强化体系互联互动。</w:t>
      </w:r>
    </w:p>
    <w:p w14:paraId="0CF333DD">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指挥通信互联：为各级避难场所配备卫星电话、应急广播等通信设备，确保在公网中断时，旗、苏木镇、嘎查村（社区）三级能保持指令畅通。</w:t>
      </w:r>
    </w:p>
    <w:p w14:paraId="0513D98F">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疏散路线互动：规划明确的疏散转移路线，将嘎查村（社区）级、苏木镇级与旗级中心有效串联，形成“嘎查村（社区）→苏木镇→旗”的梯次疏散和支援通道。定期开展三级联合演练，检验预案可行性。</w:t>
      </w:r>
    </w:p>
    <w:p w14:paraId="4C0EDA78">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sectPr>
          <w:type w:val="continuous"/>
          <w:pgSz w:w="11906" w:h="16838"/>
          <w:pgMar w:top="1701" w:right="1247" w:bottom="1701" w:left="1247" w:header="850" w:footer="1109" w:gutter="0"/>
          <w:pgNumType w:fmt="decimal"/>
          <w:cols w:equalWidth="0" w:num="2">
            <w:col w:w="4493" w:space="425"/>
            <w:col w:w="4493"/>
          </w:cols>
        </w:sectPr>
      </w:pPr>
      <w:r>
        <w:rPr>
          <w:rFonts w:hint="eastAsia" w:ascii="方正书宋简体" w:hAnsi="方正书宋简体" w:eastAsia="方正书宋简体" w:cs="方正书宋简体"/>
          <w:snapToGrid/>
          <w:color w:val="auto"/>
          <w:kern w:val="2"/>
          <w:sz w:val="21"/>
          <w:szCs w:val="21"/>
          <w:highlight w:val="none"/>
          <w:lang w:val="en-US" w:eastAsia="zh-CN"/>
        </w:rPr>
        <w:t>通过以上规划，鄂托克旗将形成一个覆盖全面、分级有序、运转高效的应急避难体系，最大限度地保障人民群众生命财产安全。</w:t>
      </w:r>
    </w:p>
    <w:p w14:paraId="3DBF0BAA">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p>
    <w:p w14:paraId="1B843694">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pPr>
      <w:bookmarkStart w:id="227" w:name="_Toc11434"/>
      <w:bookmarkStart w:id="228" w:name="_Toc10814"/>
      <w:bookmarkStart w:id="229" w:name="_Toc18979"/>
      <w:bookmarkStart w:id="230" w:name="_Toc20331"/>
      <w:bookmarkStart w:id="231" w:name="_Toc17228"/>
      <w:bookmarkStart w:id="232" w:name="_Toc3096"/>
      <w:bookmarkStart w:id="233" w:name="_Toc2117"/>
      <w:bookmarkStart w:id="234" w:name="_Toc24650"/>
      <w:bookmarkStart w:id="235" w:name="_Toc23068"/>
      <w:r>
        <w:rPr>
          <w:rFonts w:hint="eastAsia" w:ascii="方正书宋简体" w:hAnsi="方正书宋简体" w:eastAsia="方正书宋简体" w:cs="方正书宋简体"/>
          <w:b/>
          <w:bCs/>
          <w:snapToGrid/>
          <w:color w:val="auto"/>
          <w:kern w:val="2"/>
          <w:sz w:val="21"/>
          <w:szCs w:val="21"/>
          <w:lang w:val="en-US" w:eastAsia="zh-CN" w:bidi="ar-SA"/>
        </w:rPr>
        <w:t>第三节　</w:t>
      </w:r>
      <w:r>
        <w:rPr>
          <w:rFonts w:hint="eastAsia" w:ascii="方正书宋简体" w:hAnsi="方正书宋简体" w:eastAsia="方正书宋简体" w:cs="方正书宋简体"/>
          <w:b/>
          <w:bCs/>
          <w:snapToGrid/>
          <w:color w:val="auto"/>
          <w:kern w:val="2"/>
          <w:sz w:val="21"/>
          <w:szCs w:val="21"/>
          <w:highlight w:val="none"/>
          <w:lang w:val="en-US" w:eastAsia="zh-CN"/>
        </w:rPr>
        <w:t>应急避难场所空间布局</w:t>
      </w:r>
      <w:bookmarkEnd w:id="227"/>
      <w:bookmarkEnd w:id="228"/>
      <w:bookmarkEnd w:id="229"/>
      <w:bookmarkEnd w:id="230"/>
      <w:bookmarkEnd w:id="231"/>
      <w:bookmarkEnd w:id="232"/>
      <w:bookmarkEnd w:id="233"/>
      <w:bookmarkEnd w:id="234"/>
      <w:bookmarkEnd w:id="235"/>
    </w:p>
    <w:p w14:paraId="4805ABFB">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bookmarkStart w:id="236" w:name="_Toc24511"/>
      <w:bookmarkStart w:id="237" w:name="_Toc14298"/>
      <w:bookmarkStart w:id="238" w:name="_Toc1508"/>
      <w:bookmarkStart w:id="239" w:name="_Toc18429"/>
    </w:p>
    <w:p w14:paraId="02B67841">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第22条 </w:t>
      </w:r>
      <w:r>
        <w:rPr>
          <w:rFonts w:hint="eastAsia" w:ascii="方正书宋简体" w:hAnsi="方正书宋简体" w:eastAsia="方正书宋简体" w:cs="方正书宋简体"/>
          <w:b/>
          <w:bCs/>
          <w:snapToGrid/>
          <w:color w:val="auto"/>
          <w:kern w:val="2"/>
          <w:sz w:val="21"/>
          <w:szCs w:val="21"/>
          <w:highlight w:val="none"/>
          <w:lang w:val="en-US" w:eastAsia="zh-CN"/>
        </w:rPr>
        <w:t>应急避难场所空间布局</w:t>
      </w:r>
      <w:bookmarkEnd w:id="236"/>
      <w:bookmarkEnd w:id="237"/>
      <w:bookmarkEnd w:id="238"/>
      <w:bookmarkEnd w:id="239"/>
    </w:p>
    <w:p w14:paraId="4BB07B30">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至规划期末，全旗规划应急避难场所共计179处，场所有效应急避难面积72.69公顷，可容纳避难人口规模35.73万人，人均有效避难面积达到2.03㎡。按规划期末2035年避难人口规模预测24.2万人计，应急避难场所规模可满足规划期末人口使用需求。</w:t>
      </w:r>
    </w:p>
    <w:p w14:paraId="4A2484C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其中，中心城区应急避难场所33处，有效应急避难面积22.30公顷，可容纳避难人口10.10万人；</w:t>
      </w:r>
    </w:p>
    <w:p w14:paraId="1CA5600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阿尔巴斯苏木应急避难场所17处，有效应急避难面积5.86公顷，可容纳避难人口2.84万人（其中鄂托克旗赛因乌素草籽场应急避难场所6处，有效应急避难面积1.97公顷，可容纳避难人口规模0.89万人；内蒙古白绒山羊种养场应急避难场所1处，有效应急避难面积0.20公顷，可容纳避难人口规模0.10万人）；</w:t>
      </w:r>
    </w:p>
    <w:p w14:paraId="5A270613">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蒙西镇应急避难场所21处，有效应急避难面积6.08公顷，可容纳避难人口规模2.85万人；</w:t>
      </w:r>
    </w:p>
    <w:p w14:paraId="336D0235">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木凯淖尔镇应急避难场所21处，有效应急避难面积4.24公顷，可容纳避难人口规模1.98万人；</w:t>
      </w:r>
    </w:p>
    <w:p w14:paraId="2544F710">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棋盘井镇应急避难场所43处，有效应急避难面积20.28公顷，可容纳避难人口规模10.24万人；</w:t>
      </w:r>
    </w:p>
    <w:p w14:paraId="7AA75157">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苏米图苏木应急避难场所18处，有效应急避难面积4.00公顷，可容纳避难人口规模1.98万人；</w:t>
      </w:r>
    </w:p>
    <w:p w14:paraId="2EC47917">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乌兰镇（中心城区以外）应急避难场所13处，有效应急避难面积2.50公顷，可容纳避难人口规模1.25万人；</w:t>
      </w:r>
    </w:p>
    <w:p w14:paraId="7112DCB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鄂托克高新技术产业开发区应急避难场所6处，有效应急避难面积5.26公顷，可容纳避难人口规模3.51万人。</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r>
        <w:rPr>
          <w:rFonts w:hint="eastAsia" w:ascii="方正书宋简体" w:hAnsi="方正书宋简体" w:eastAsia="方正书宋简体" w:cs="方正书宋简体"/>
          <w:snapToGrid/>
          <w:color w:val="auto"/>
          <w:kern w:val="2"/>
          <w:sz w:val="21"/>
          <w:szCs w:val="21"/>
          <w:highlight w:val="none"/>
          <w:lang w:val="en-US" w:eastAsia="zh-CN"/>
        </w:rPr>
        <w:t>详见附表6</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r>
        <w:rPr>
          <w:rFonts w:hint="eastAsia" w:ascii="方正书宋简体" w:hAnsi="方正书宋简体" w:eastAsia="方正书宋简体" w:cs="方正书宋简体"/>
          <w:snapToGrid/>
          <w:color w:val="auto"/>
          <w:kern w:val="2"/>
          <w:sz w:val="21"/>
          <w:szCs w:val="21"/>
          <w:highlight w:val="none"/>
          <w:lang w:val="en-US" w:eastAsia="zh-CN"/>
        </w:rPr>
        <w:t>。</w:t>
      </w:r>
    </w:p>
    <w:p w14:paraId="3CCE1123">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应急避难场所分级体系。</w:t>
      </w:r>
    </w:p>
    <w:p w14:paraId="5E864722">
      <w:pPr>
        <w:pStyle w:val="25"/>
        <w:pageBreakBefore w:val="0"/>
        <w:widowControl w:val="0"/>
        <w:kinsoku/>
        <w:wordWrap/>
        <w:overflowPunct/>
        <w:topLinePunct w:val="0"/>
        <w:autoSpaceDE/>
        <w:autoSpaceDN/>
        <w:bidi w:val="0"/>
        <w:spacing w:line="310" w:lineRule="exact"/>
        <w:ind w:firstLine="420" w:firstLineChars="200"/>
        <w:jc w:val="left"/>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规划期内共布局旗级避难场所33处，其中中心城区27处，鄂托克高新技术产业开发区6处。</w:t>
      </w:r>
    </w:p>
    <w:p w14:paraId="15697877">
      <w:pPr>
        <w:pStyle w:val="25"/>
        <w:pageBreakBefore w:val="0"/>
        <w:widowControl w:val="0"/>
        <w:kinsoku/>
        <w:wordWrap/>
        <w:overflowPunct/>
        <w:topLinePunct w:val="0"/>
        <w:autoSpaceDE/>
        <w:autoSpaceDN/>
        <w:bidi w:val="0"/>
        <w:spacing w:line="310" w:lineRule="exact"/>
        <w:ind w:firstLine="420" w:firstLineChars="200"/>
        <w:jc w:val="left"/>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规划期内苏木镇级应急避难场所53处，其中中心城区1处，乡镇52处。</w:t>
      </w:r>
    </w:p>
    <w:p w14:paraId="01271D38">
      <w:pPr>
        <w:pStyle w:val="25"/>
        <w:pageBreakBefore w:val="0"/>
        <w:widowControl w:val="0"/>
        <w:kinsoku/>
        <w:wordWrap/>
        <w:overflowPunct/>
        <w:topLinePunct w:val="0"/>
        <w:autoSpaceDE/>
        <w:autoSpaceDN/>
        <w:bidi w:val="0"/>
        <w:spacing w:line="310" w:lineRule="exact"/>
        <w:ind w:firstLine="420" w:firstLineChars="200"/>
        <w:jc w:val="left"/>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规划期内嘎查村级避难场所93处，主要分布于苏木镇区、各嘎查村，中心城区等。</w:t>
      </w:r>
    </w:p>
    <w:p w14:paraId="0531D6BC">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val="0"/>
          <w:bCs w:val="0"/>
          <w:color w:val="auto"/>
          <w:spacing w:val="-3"/>
          <w:sz w:val="21"/>
          <w:szCs w:val="21"/>
          <w:highlight w:val="none"/>
          <w:lang w:val="en-US" w:eastAsia="zh-CN"/>
        </w:rPr>
        <w:sectPr>
          <w:type w:val="continuous"/>
          <w:pgSz w:w="11906" w:h="16838"/>
          <w:pgMar w:top="1701" w:right="1247" w:bottom="1701" w:left="1247" w:header="850" w:footer="1109" w:gutter="0"/>
          <w:pgNumType w:fmt="decimal"/>
          <w:cols w:equalWidth="0" w:num="2">
            <w:col w:w="4493" w:space="425"/>
            <w:col w:w="4493"/>
          </w:cols>
        </w:sectPr>
      </w:pPr>
    </w:p>
    <w:p w14:paraId="1AD690A5">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val="0"/>
          <w:bCs w:val="0"/>
          <w:color w:val="auto"/>
          <w:spacing w:val="-3"/>
          <w:sz w:val="21"/>
          <w:szCs w:val="21"/>
          <w:highlight w:val="none"/>
          <w:lang w:val="en-US" w:eastAsia="zh-CN"/>
        </w:rPr>
      </w:pPr>
    </w:p>
    <w:p w14:paraId="493C7231">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bCs/>
          <w:color w:val="auto"/>
          <w:spacing w:val="-3"/>
          <w:sz w:val="21"/>
          <w:szCs w:val="21"/>
          <w:highlight w:val="none"/>
          <w:lang w:val="en-US" w:eastAsia="zh-CN"/>
        </w:rPr>
      </w:pPr>
      <w:r>
        <w:rPr>
          <w:rFonts w:hint="eastAsia" w:ascii="方正书宋简体" w:hAnsi="方正书宋简体" w:eastAsia="方正书宋简体" w:cs="方正书宋简体"/>
          <w:b/>
          <w:bCs/>
          <w:color w:val="auto"/>
          <w:spacing w:val="-3"/>
          <w:sz w:val="21"/>
          <w:szCs w:val="21"/>
          <w:highlight w:val="none"/>
          <w:lang w:val="en-US" w:eastAsia="zh-CN"/>
        </w:rPr>
        <w:t>表4-2 应急避难场所分级体系表</w:t>
      </w:r>
    </w:p>
    <w:tbl>
      <w:tblPr>
        <w:tblStyle w:val="2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45"/>
        <w:gridCol w:w="2024"/>
        <w:gridCol w:w="1148"/>
        <w:gridCol w:w="1708"/>
        <w:gridCol w:w="1799"/>
      </w:tblGrid>
      <w:tr w14:paraId="2FC37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blHeader/>
          <w:jc w:val="center"/>
        </w:trPr>
        <w:tc>
          <w:tcPr>
            <w:tcW w:w="1530" w:type="pct"/>
            <w:tcBorders>
              <w:top w:val="single" w:color="000000" w:sz="4" w:space="0"/>
              <w:left w:val="single" w:color="000000" w:sz="4" w:space="0"/>
              <w:bottom w:val="single" w:color="000000" w:sz="4" w:space="0"/>
              <w:right w:val="single" w:color="000000" w:sz="4" w:space="0"/>
            </w:tcBorders>
            <w:noWrap w:val="0"/>
            <w:vAlign w:val="center"/>
          </w:tcPr>
          <w:p w14:paraId="6FBB03F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所在区域</w:t>
            </w: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6C7A74C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分级体系</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1949DE9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场所个数</w:t>
            </w:r>
          </w:p>
          <w:p w14:paraId="5F939A0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（处）</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1D1CB1C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有效应急避难面积</w:t>
            </w:r>
          </w:p>
          <w:p w14:paraId="781AAD0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6E044DF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可容纳避难人口规模</w:t>
            </w:r>
          </w:p>
          <w:p w14:paraId="403D9E3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（人）</w:t>
            </w:r>
          </w:p>
        </w:tc>
      </w:tr>
      <w:tr w14:paraId="59E7D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1530" w:type="pct"/>
            <w:vMerge w:val="restart"/>
            <w:tcBorders>
              <w:top w:val="single" w:color="000000" w:sz="4" w:space="0"/>
              <w:left w:val="single" w:color="000000" w:sz="4" w:space="0"/>
              <w:bottom w:val="single" w:color="000000" w:sz="4" w:space="0"/>
              <w:right w:val="single" w:color="000000" w:sz="4" w:space="0"/>
            </w:tcBorders>
            <w:noWrap w:val="0"/>
            <w:vAlign w:val="center"/>
          </w:tcPr>
          <w:p w14:paraId="42F68B2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中心城区（33处）</w:t>
            </w: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79D7CBD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旗级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729A1DF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27</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27C9C62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198804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0DDE301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90436 </w:t>
            </w:r>
          </w:p>
        </w:tc>
      </w:tr>
      <w:tr w14:paraId="4CDD1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870578">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669D706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苏木镇级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37641100">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46C11E1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15071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39B03A0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6028 </w:t>
            </w:r>
          </w:p>
        </w:tc>
      </w:tr>
      <w:tr w14:paraId="56274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D27D011">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2D4D7AA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嘎查村（社区）级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4A755D1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376CDA9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9128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36CE1A6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4564 </w:t>
            </w:r>
          </w:p>
        </w:tc>
      </w:tr>
      <w:tr w14:paraId="1F3FA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530" w:type="pct"/>
            <w:vMerge w:val="restart"/>
            <w:tcBorders>
              <w:top w:val="single" w:color="000000" w:sz="4" w:space="0"/>
              <w:left w:val="single" w:color="000000" w:sz="4" w:space="0"/>
              <w:bottom w:val="single" w:color="000000" w:sz="4" w:space="0"/>
              <w:right w:val="single" w:color="000000" w:sz="4" w:space="0"/>
            </w:tcBorders>
            <w:noWrap w:val="0"/>
            <w:vAlign w:val="center"/>
          </w:tcPr>
          <w:p w14:paraId="18213D8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阿尔巴斯苏木（鄂托克旗赛因乌素草籽场、内蒙古白绒山羊种养场）（24处）</w:t>
            </w: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3FE79CE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旗级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0255FB8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2979585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7AE69B9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2DBC5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657C639">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6DBB8DC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苏木镇级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63A98E9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69F5B03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6646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304A46A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2423 </w:t>
            </w:r>
          </w:p>
        </w:tc>
      </w:tr>
      <w:tr w14:paraId="531B6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B9E85E4">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44E9D9B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嘎查村（社区）级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66A3E33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22</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3AB1D76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73680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3410A9D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35852 </w:t>
            </w:r>
          </w:p>
        </w:tc>
      </w:tr>
      <w:tr w14:paraId="26333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jc w:val="center"/>
        </w:trPr>
        <w:tc>
          <w:tcPr>
            <w:tcW w:w="1530" w:type="pct"/>
            <w:vMerge w:val="restart"/>
            <w:tcBorders>
              <w:top w:val="single" w:color="000000" w:sz="4" w:space="0"/>
              <w:left w:val="single" w:color="000000" w:sz="4" w:space="0"/>
              <w:bottom w:val="single" w:color="000000" w:sz="4" w:space="0"/>
              <w:right w:val="single" w:color="000000" w:sz="4" w:space="0"/>
            </w:tcBorders>
            <w:noWrap w:val="0"/>
            <w:vAlign w:val="center"/>
          </w:tcPr>
          <w:p w14:paraId="2DDDEC1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蒙西镇（21处）</w:t>
            </w: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5CCE40D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旗级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116B55B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244093E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2A03C03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62740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74A2E5E">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0145728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苏木镇级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5D7B735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11</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15BC010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48002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539B360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22094 </w:t>
            </w:r>
          </w:p>
        </w:tc>
      </w:tr>
      <w:tr w14:paraId="1C9DB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1BC640A">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334501A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嘎查村（社区）级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1893B2A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10</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58C1A9A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12843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6049B0E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6421 </w:t>
            </w:r>
          </w:p>
        </w:tc>
      </w:tr>
      <w:tr w14:paraId="3DB11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1530" w:type="pct"/>
            <w:vMerge w:val="restart"/>
            <w:tcBorders>
              <w:top w:val="single" w:color="000000" w:sz="4" w:space="0"/>
              <w:left w:val="single" w:color="000000" w:sz="4" w:space="0"/>
              <w:bottom w:val="single" w:color="000000" w:sz="4" w:space="0"/>
              <w:right w:val="single" w:color="000000" w:sz="4" w:space="0"/>
            </w:tcBorders>
            <w:noWrap w:val="0"/>
            <w:vAlign w:val="center"/>
          </w:tcPr>
          <w:p w14:paraId="3AF6B430">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木凯淖尔镇（21处）</w:t>
            </w: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6E6785F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旗级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400FB8F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03C0B88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52EFB7C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41CC2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945F6C6">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5EA9EAB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苏木镇级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3C5B8E9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0AD92AD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17450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5AE252C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7294 </w:t>
            </w:r>
          </w:p>
        </w:tc>
      </w:tr>
      <w:tr w14:paraId="3A6F2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6D44DE">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62CDDC4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嘎查村（社区）级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4FE6A3C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17</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5C23F59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24949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60FC0EA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12474 </w:t>
            </w:r>
          </w:p>
        </w:tc>
      </w:tr>
      <w:tr w14:paraId="1C60C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530" w:type="pct"/>
            <w:vMerge w:val="restart"/>
            <w:tcBorders>
              <w:top w:val="single" w:color="000000" w:sz="4" w:space="0"/>
              <w:left w:val="single" w:color="000000" w:sz="4" w:space="0"/>
              <w:bottom w:val="single" w:color="000000" w:sz="4" w:space="0"/>
              <w:right w:val="single" w:color="000000" w:sz="4" w:space="0"/>
            </w:tcBorders>
            <w:noWrap w:val="0"/>
            <w:vAlign w:val="center"/>
          </w:tcPr>
          <w:p w14:paraId="0ECD6A5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棋盘井镇（43处）</w:t>
            </w: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64C0BE0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旗级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5AA3DA3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1732172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7EADB30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3C62C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57D377">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0D8EC94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苏木镇级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56A1B7F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31</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16B864A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173595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2E9AE3E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88322 </w:t>
            </w:r>
          </w:p>
        </w:tc>
      </w:tr>
      <w:tr w14:paraId="585F4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3D66DBFD">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51440F6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嘎嘎查村（社区）级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659BC57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12</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00B4C62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29185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59F4C73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14035 </w:t>
            </w:r>
          </w:p>
        </w:tc>
      </w:tr>
      <w:tr w14:paraId="51DD9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530" w:type="pct"/>
            <w:vMerge w:val="restart"/>
            <w:tcBorders>
              <w:top w:val="single" w:color="000000" w:sz="4" w:space="0"/>
              <w:left w:val="single" w:color="000000" w:sz="4" w:space="0"/>
              <w:bottom w:val="single" w:color="000000" w:sz="4" w:space="0"/>
              <w:right w:val="single" w:color="000000" w:sz="4" w:space="0"/>
            </w:tcBorders>
            <w:noWrap w:val="0"/>
            <w:vAlign w:val="center"/>
          </w:tcPr>
          <w:p w14:paraId="1744189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苏米图苏木（18处）</w:t>
            </w: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20E4658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嘎查村（社区）级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3D9BA86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14</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1636A4D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25446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6FC4071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12823 </w:t>
            </w:r>
          </w:p>
        </w:tc>
      </w:tr>
      <w:tr w14:paraId="30A50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13007EAB">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5F0C5C1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苏木镇级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6981ABA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432B36F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14513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1A113C6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6953 </w:t>
            </w:r>
          </w:p>
        </w:tc>
      </w:tr>
      <w:tr w14:paraId="795DC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55CFE0">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75C5908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旗级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0C9BBF8E">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10D443F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1CDE488D">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49ECF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1530" w:type="pct"/>
            <w:vMerge w:val="restart"/>
            <w:tcBorders>
              <w:top w:val="single" w:color="000000" w:sz="4" w:space="0"/>
              <w:left w:val="single" w:color="000000" w:sz="4" w:space="0"/>
              <w:bottom w:val="single" w:color="000000" w:sz="4" w:space="0"/>
              <w:right w:val="single" w:color="000000" w:sz="4" w:space="0"/>
            </w:tcBorders>
            <w:noWrap w:val="0"/>
            <w:vAlign w:val="center"/>
          </w:tcPr>
          <w:p w14:paraId="64B6132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乌兰镇（中心城区以外）（13处）</w:t>
            </w: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013404A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旗级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0B85CA7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644F2330">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1BE361B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61D1F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2D18925">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3DA0B16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苏木镇级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1240569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5089FDA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2528636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5E14B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359827">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118238D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嘎查村（社区）级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25316DA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13</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28F4BF8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25010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23398C8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12505 </w:t>
            </w:r>
          </w:p>
        </w:tc>
      </w:tr>
      <w:tr w14:paraId="69481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530" w:type="pct"/>
            <w:vMerge w:val="restart"/>
            <w:tcBorders>
              <w:top w:val="single" w:color="000000" w:sz="4" w:space="0"/>
              <w:left w:val="single" w:color="000000" w:sz="4" w:space="0"/>
              <w:bottom w:val="single" w:color="000000" w:sz="4" w:space="0"/>
              <w:right w:val="single" w:color="000000" w:sz="4" w:space="0"/>
            </w:tcBorders>
            <w:noWrap w:val="0"/>
            <w:vAlign w:val="center"/>
          </w:tcPr>
          <w:p w14:paraId="411355C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鄂托克高新技术产业开发区（6处）</w:t>
            </w: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507116D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旗级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7539DE5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6</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2B7AEBD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52574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3AD0831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35050 </w:t>
            </w:r>
          </w:p>
        </w:tc>
      </w:tr>
      <w:tr w14:paraId="24063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E8DC81">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00F525C0">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苏木镇级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32BFB1D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1F33735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3FA2B97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67013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1530" w:type="pct"/>
            <w:vMerge w:val="continue"/>
            <w:tcBorders>
              <w:top w:val="single" w:color="000000" w:sz="4" w:space="0"/>
              <w:left w:val="single" w:color="000000" w:sz="4" w:space="0"/>
              <w:bottom w:val="single" w:color="000000" w:sz="4" w:space="0"/>
              <w:right w:val="single" w:color="000000" w:sz="4" w:space="0"/>
            </w:tcBorders>
            <w:noWrap w:val="0"/>
            <w:vAlign w:val="center"/>
          </w:tcPr>
          <w:p w14:paraId="126AF248">
            <w:pPr>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50" w:type="pct"/>
            <w:tcBorders>
              <w:top w:val="single" w:color="000000" w:sz="4" w:space="0"/>
              <w:left w:val="single" w:color="000000" w:sz="4" w:space="0"/>
              <w:bottom w:val="single" w:color="000000" w:sz="4" w:space="0"/>
              <w:right w:val="single" w:color="000000" w:sz="4" w:space="0"/>
            </w:tcBorders>
            <w:noWrap w:val="0"/>
            <w:vAlign w:val="center"/>
          </w:tcPr>
          <w:p w14:paraId="4444DA9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嘎查村（社区）级</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75171DE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7094BA8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2C03C9D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7B0F5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2581" w:type="pct"/>
            <w:gridSpan w:val="2"/>
            <w:tcBorders>
              <w:top w:val="single" w:color="000000" w:sz="4" w:space="0"/>
              <w:left w:val="single" w:color="000000" w:sz="4" w:space="0"/>
              <w:bottom w:val="single" w:color="000000" w:sz="4" w:space="0"/>
              <w:right w:val="single" w:color="000000" w:sz="4" w:space="0"/>
            </w:tcBorders>
            <w:noWrap w:val="0"/>
            <w:vAlign w:val="center"/>
          </w:tcPr>
          <w:p w14:paraId="192E446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合计</w:t>
            </w:r>
          </w:p>
        </w:tc>
        <w:tc>
          <w:tcPr>
            <w:tcW w:w="596" w:type="pct"/>
            <w:tcBorders>
              <w:top w:val="single" w:color="000000" w:sz="4" w:space="0"/>
              <w:left w:val="single" w:color="000000" w:sz="4" w:space="0"/>
              <w:bottom w:val="single" w:color="000000" w:sz="4" w:space="0"/>
              <w:right w:val="single" w:color="000000" w:sz="4" w:space="0"/>
            </w:tcBorders>
            <w:noWrap w:val="0"/>
            <w:vAlign w:val="center"/>
          </w:tcPr>
          <w:p w14:paraId="2F9EAF0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179</w:t>
            </w:r>
          </w:p>
        </w:tc>
        <w:tc>
          <w:tcPr>
            <w:tcW w:w="887" w:type="pct"/>
            <w:tcBorders>
              <w:top w:val="single" w:color="000000" w:sz="4" w:space="0"/>
              <w:left w:val="single" w:color="000000" w:sz="4" w:space="0"/>
              <w:bottom w:val="single" w:color="000000" w:sz="4" w:space="0"/>
              <w:right w:val="single" w:color="000000" w:sz="4" w:space="0"/>
            </w:tcBorders>
            <w:noWrap w:val="0"/>
            <w:vAlign w:val="center"/>
          </w:tcPr>
          <w:p w14:paraId="7034933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726896 </w:t>
            </w:r>
          </w:p>
        </w:tc>
        <w:tc>
          <w:tcPr>
            <w:tcW w:w="934" w:type="pct"/>
            <w:tcBorders>
              <w:top w:val="single" w:color="000000" w:sz="4" w:space="0"/>
              <w:left w:val="single" w:color="000000" w:sz="4" w:space="0"/>
              <w:bottom w:val="single" w:color="000000" w:sz="4" w:space="0"/>
              <w:right w:val="single" w:color="000000" w:sz="4" w:space="0"/>
            </w:tcBorders>
            <w:noWrap w:val="0"/>
            <w:vAlign w:val="center"/>
          </w:tcPr>
          <w:p w14:paraId="13C3F1F2">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 xml:space="preserve">357275 </w:t>
            </w:r>
          </w:p>
        </w:tc>
      </w:tr>
    </w:tbl>
    <w:p w14:paraId="24D778C0">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p>
    <w:p w14:paraId="6240F0AB">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应急避难场所分类体系。</w:t>
      </w:r>
    </w:p>
    <w:p w14:paraId="5BDF27B4">
      <w:pPr>
        <w:pStyle w:val="25"/>
        <w:pageBreakBefore w:val="0"/>
        <w:widowControl w:val="0"/>
        <w:kinsoku/>
        <w:wordWrap/>
        <w:overflowPunct/>
        <w:topLinePunct w:val="0"/>
        <w:autoSpaceDE/>
        <w:autoSpaceDN/>
        <w:bidi w:val="0"/>
        <w:spacing w:line="310" w:lineRule="exact"/>
        <w:ind w:firstLine="420" w:firstLineChars="200"/>
        <w:jc w:val="left"/>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规划期内共布局长期避难场所11处，其中中心城区4处；棋盘井镇人口密度较大，棋盘井中心镇区布局3处；阿尔巴斯苏木、蒙西镇、木凯淖尔镇、蒙西镇各1处。</w:t>
      </w:r>
    </w:p>
    <w:p w14:paraId="4E8D3DD9">
      <w:pPr>
        <w:pStyle w:val="25"/>
        <w:pageBreakBefore w:val="0"/>
        <w:widowControl w:val="0"/>
        <w:kinsoku/>
        <w:wordWrap/>
        <w:overflowPunct/>
        <w:topLinePunct w:val="0"/>
        <w:autoSpaceDE/>
        <w:autoSpaceDN/>
        <w:bidi w:val="0"/>
        <w:spacing w:line="310" w:lineRule="exact"/>
        <w:ind w:firstLine="420" w:firstLineChars="200"/>
        <w:jc w:val="left"/>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规划期内短期应急避难场所31处，其中中心城区8处，苏木镇23处，主要分布于中心城区及各苏木镇区。</w:t>
      </w:r>
    </w:p>
    <w:p w14:paraId="423D2F27">
      <w:pPr>
        <w:pStyle w:val="25"/>
        <w:pageBreakBefore w:val="0"/>
        <w:widowControl w:val="0"/>
        <w:kinsoku/>
        <w:wordWrap/>
        <w:overflowPunct/>
        <w:topLinePunct w:val="0"/>
        <w:autoSpaceDE/>
        <w:autoSpaceDN/>
        <w:bidi w:val="0"/>
        <w:spacing w:line="310" w:lineRule="exact"/>
        <w:ind w:firstLine="420" w:firstLineChars="200"/>
        <w:jc w:val="left"/>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规划期内共布局紧急避难场所137处，主要分布于苏木镇、各嘎查村，中心城区根据服务半径利用公园绿地、广场、停车场、学校等补充紧急避难场所。</w:t>
      </w:r>
    </w:p>
    <w:p w14:paraId="60900B85">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val="0"/>
          <w:bCs w:val="0"/>
          <w:color w:val="auto"/>
          <w:spacing w:val="-3"/>
          <w:sz w:val="21"/>
          <w:szCs w:val="21"/>
          <w:highlight w:val="none"/>
          <w:lang w:val="en-US" w:eastAsia="zh-CN"/>
        </w:rPr>
        <w:sectPr>
          <w:type w:val="continuous"/>
          <w:pgSz w:w="11906" w:h="16838"/>
          <w:pgMar w:top="1701" w:right="1247" w:bottom="1701" w:left="1247" w:header="850" w:footer="1109" w:gutter="0"/>
          <w:pgNumType w:fmt="decimal"/>
          <w:cols w:equalWidth="0" w:num="2">
            <w:col w:w="4493" w:space="425"/>
            <w:col w:w="4493"/>
          </w:cols>
        </w:sectPr>
      </w:pPr>
    </w:p>
    <w:p w14:paraId="7C711B61">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val="0"/>
          <w:bCs w:val="0"/>
          <w:color w:val="auto"/>
          <w:spacing w:val="-3"/>
          <w:sz w:val="21"/>
          <w:szCs w:val="21"/>
          <w:highlight w:val="none"/>
          <w:lang w:val="en-US" w:eastAsia="zh-CN"/>
        </w:rPr>
      </w:pPr>
    </w:p>
    <w:p w14:paraId="6A6AF185">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bCs/>
          <w:color w:val="auto"/>
          <w:spacing w:val="-3"/>
          <w:sz w:val="21"/>
          <w:szCs w:val="21"/>
          <w:highlight w:val="none"/>
          <w:lang w:val="en-US" w:eastAsia="zh-CN"/>
        </w:rPr>
      </w:pPr>
      <w:r>
        <w:rPr>
          <w:rFonts w:hint="eastAsia" w:ascii="方正书宋简体" w:hAnsi="方正书宋简体" w:eastAsia="方正书宋简体" w:cs="方正书宋简体"/>
          <w:b/>
          <w:bCs/>
          <w:color w:val="auto"/>
          <w:spacing w:val="-3"/>
          <w:sz w:val="21"/>
          <w:szCs w:val="21"/>
          <w:highlight w:val="none"/>
          <w:lang w:val="en-US" w:eastAsia="zh-CN"/>
        </w:rPr>
        <w:t>表4-3 应急避难场所分类（避难时长）体系表</w:t>
      </w:r>
    </w:p>
    <w:tbl>
      <w:tblPr>
        <w:tblStyle w:val="20"/>
        <w:tblpPr w:leftFromText="180" w:rightFromText="180" w:vertAnchor="text" w:tblpXSpec="center" w:tblpY="1"/>
        <w:tblOverlap w:val="never"/>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77"/>
        <w:gridCol w:w="1983"/>
        <w:gridCol w:w="1338"/>
        <w:gridCol w:w="2048"/>
        <w:gridCol w:w="1474"/>
      </w:tblGrid>
      <w:tr w14:paraId="2A3A5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4F7C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所在区域</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E6B1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分类体系</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BC25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场所个数</w:t>
            </w:r>
          </w:p>
          <w:p w14:paraId="14C9F61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（处）</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3587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有效应急避难面积</w:t>
            </w:r>
          </w:p>
          <w:p w14:paraId="0727106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7794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可容纳避难人口规模</w:t>
            </w:r>
          </w:p>
          <w:p w14:paraId="14A348D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（人）</w:t>
            </w:r>
          </w:p>
        </w:tc>
      </w:tr>
      <w:tr w14:paraId="113B5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2DB46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中心城区</w:t>
            </w:r>
          </w:p>
          <w:p w14:paraId="45DF4A9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（33处）</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3852B">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紧急避难场所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9E07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21</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58B0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76303</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47F9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42349</w:t>
            </w:r>
          </w:p>
        </w:tc>
      </w:tr>
      <w:tr w14:paraId="23F04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D1218">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6EDFC">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短期避难场所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CAAF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8</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58E5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85219</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C154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34088</w:t>
            </w:r>
          </w:p>
        </w:tc>
      </w:tr>
      <w:tr w14:paraId="7EB41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7A0AD">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D19E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长期避难场所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EE3A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CD75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61481</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2990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24592</w:t>
            </w:r>
          </w:p>
        </w:tc>
      </w:tr>
      <w:tr w14:paraId="13B68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08050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阿尔巴斯苏木</w:t>
            </w: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br w:type="textWrapping"/>
            </w: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（鄂托克旗赛因乌素草籽场、内蒙古白绒山羊种养场）</w:t>
            </w:r>
          </w:p>
          <w:p w14:paraId="03D22BC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（24处）</w:t>
            </w:r>
          </w:p>
        </w:tc>
        <w:tc>
          <w:tcPr>
            <w:tcW w:w="10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57C7C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紧急避难场所</w:t>
            </w:r>
          </w:p>
        </w:tc>
        <w:tc>
          <w:tcPr>
            <w:tcW w:w="6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5BF3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20</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DCE5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63799</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0195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31900</w:t>
            </w:r>
          </w:p>
        </w:tc>
      </w:tr>
      <w:tr w14:paraId="518AD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4598D">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D4068">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highlight w:val="none"/>
                <w:u w:val="none"/>
              </w:rPr>
            </w:pPr>
          </w:p>
        </w:tc>
        <w:tc>
          <w:tcPr>
            <w:tcW w:w="6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828B5A">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highlight w:val="none"/>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A620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5FFD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46A76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1C9D2">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9F1B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短期避难场所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2ADA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4EFC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12997</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07FE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5199</w:t>
            </w:r>
          </w:p>
        </w:tc>
      </w:tr>
      <w:tr w14:paraId="76039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D5A6A">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65DC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长期避难场所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4801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8381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3529</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E195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1176</w:t>
            </w:r>
          </w:p>
        </w:tc>
      </w:tr>
      <w:tr w14:paraId="4B1F1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FD71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蒙西镇</w:t>
            </w:r>
          </w:p>
          <w:p w14:paraId="20ACACB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（21处）</w:t>
            </w:r>
          </w:p>
        </w:tc>
        <w:tc>
          <w:tcPr>
            <w:tcW w:w="10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6790D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紧急避难场所</w:t>
            </w:r>
          </w:p>
        </w:tc>
        <w:tc>
          <w:tcPr>
            <w:tcW w:w="6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00B5C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15</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A347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8766</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FE8C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4383</w:t>
            </w:r>
          </w:p>
        </w:tc>
      </w:tr>
      <w:tr w14:paraId="57956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A4160">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CB183">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highlight w:val="none"/>
                <w:u w:val="none"/>
              </w:rPr>
            </w:pPr>
          </w:p>
        </w:tc>
        <w:tc>
          <w:tcPr>
            <w:tcW w:w="6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0F550">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highlight w:val="none"/>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9758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17470</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DC77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10289</w:t>
            </w:r>
          </w:p>
        </w:tc>
      </w:tr>
      <w:tr w14:paraId="7EFB1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848B3">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4B6C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短期避难场所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DE19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474E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23424</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F2CE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9370</w:t>
            </w:r>
          </w:p>
        </w:tc>
      </w:tr>
      <w:tr w14:paraId="405B8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0C0A4">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667A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长期避难场所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BE74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C52C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11185</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EB80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4474</w:t>
            </w:r>
          </w:p>
        </w:tc>
      </w:tr>
      <w:tr w14:paraId="10B48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BE8B5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木凯淖尔镇</w:t>
            </w:r>
          </w:p>
          <w:p w14:paraId="0C748D0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（21处）</w:t>
            </w:r>
          </w:p>
        </w:tc>
        <w:tc>
          <w:tcPr>
            <w:tcW w:w="10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85ACC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紧急避难场所</w:t>
            </w:r>
          </w:p>
        </w:tc>
        <w:tc>
          <w:tcPr>
            <w:tcW w:w="6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F5B07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18</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268F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24949</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623A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12474</w:t>
            </w:r>
          </w:p>
        </w:tc>
      </w:tr>
      <w:tr w14:paraId="5BA7E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09C0E">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3BE68">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highlight w:val="none"/>
                <w:u w:val="none"/>
              </w:rPr>
            </w:pPr>
          </w:p>
        </w:tc>
        <w:tc>
          <w:tcPr>
            <w:tcW w:w="6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06B80">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highlight w:val="none"/>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CCAF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3137</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09C3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1568</w:t>
            </w:r>
          </w:p>
        </w:tc>
      </w:tr>
      <w:tr w14:paraId="3BBE7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9BEB2">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31316">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短期避难场所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9939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EBA3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9206</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924E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3682</w:t>
            </w:r>
          </w:p>
        </w:tc>
      </w:tr>
      <w:tr w14:paraId="7D6F4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BA633">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20FAF">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长期避难场所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8F6D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5985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5108</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D61A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2043</w:t>
            </w:r>
          </w:p>
        </w:tc>
      </w:tr>
      <w:tr w14:paraId="103AD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717CD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棋盘井镇</w:t>
            </w:r>
          </w:p>
          <w:p w14:paraId="1FEB5F4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（43处）</w:t>
            </w:r>
          </w:p>
        </w:tc>
        <w:tc>
          <w:tcPr>
            <w:tcW w:w="10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73E2D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紧急避难场所</w:t>
            </w:r>
          </w:p>
        </w:tc>
        <w:tc>
          <w:tcPr>
            <w:tcW w:w="6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D87DB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28</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BDBA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23609</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3E5E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11805</w:t>
            </w:r>
          </w:p>
        </w:tc>
      </w:tr>
      <w:tr w14:paraId="68226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88AC1">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DF3EF">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highlight w:val="none"/>
                <w:u w:val="none"/>
              </w:rPr>
            </w:pPr>
          </w:p>
        </w:tc>
        <w:tc>
          <w:tcPr>
            <w:tcW w:w="6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0534A">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highlight w:val="none"/>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5A4F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77855</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F85E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50025</w:t>
            </w:r>
          </w:p>
        </w:tc>
      </w:tr>
      <w:tr w14:paraId="7DC71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A35DB">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53E43">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短期避难场所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9955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12</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0B8F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72543</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7BAC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29017</w:t>
            </w:r>
          </w:p>
        </w:tc>
      </w:tr>
      <w:tr w14:paraId="5B49D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6CFC1">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E5A64">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长期避难场所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39BC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57AA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28772</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6FC29">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11509</w:t>
            </w:r>
          </w:p>
        </w:tc>
      </w:tr>
      <w:tr w14:paraId="7C10F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1792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苏米图苏木</w:t>
            </w:r>
          </w:p>
          <w:p w14:paraId="41526C3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（18处）</w:t>
            </w:r>
          </w:p>
        </w:tc>
        <w:tc>
          <w:tcPr>
            <w:tcW w:w="10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B8D2EA">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紧急避难场所</w:t>
            </w:r>
          </w:p>
        </w:tc>
        <w:tc>
          <w:tcPr>
            <w:tcW w:w="6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F3EDF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16</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E951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24773</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D187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12487</w:t>
            </w:r>
          </w:p>
        </w:tc>
      </w:tr>
      <w:tr w14:paraId="5EF52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F2348">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2E9F8">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highlight w:val="none"/>
                <w:u w:val="none"/>
              </w:rPr>
            </w:pPr>
          </w:p>
        </w:tc>
        <w:tc>
          <w:tcPr>
            <w:tcW w:w="6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3AAC8">
            <w:pPr>
              <w:keepNext/>
              <w:pageBreakBefore w:val="0"/>
              <w:wordWrap/>
              <w:overflowPunct/>
              <w:topLinePunct w:val="0"/>
              <w:bidi w:val="0"/>
              <w:snapToGrid w:val="0"/>
              <w:spacing w:line="310" w:lineRule="exact"/>
              <w:ind w:left="0" w:leftChars="0" w:right="0" w:rightChars="0" w:firstLine="0" w:firstLineChars="0"/>
              <w:jc w:val="center"/>
              <w:rPr>
                <w:rFonts w:hint="eastAsia" w:ascii="方正书宋简体" w:hAnsi="方正书宋简体" w:eastAsia="方正书宋简体" w:cs="方正书宋简体"/>
                <w:i w:val="0"/>
                <w:iCs w:val="0"/>
                <w:color w:val="auto"/>
                <w:sz w:val="21"/>
                <w:szCs w:val="21"/>
                <w:highlight w:val="none"/>
                <w:u w:val="none"/>
              </w:rPr>
            </w:pP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D4EC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5442</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4666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3516</w:t>
            </w:r>
          </w:p>
        </w:tc>
      </w:tr>
      <w:tr w14:paraId="042A1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FBDD6">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8714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短期避难场所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3AB2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5DA4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7887</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44F2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3155</w:t>
            </w:r>
          </w:p>
        </w:tc>
      </w:tr>
      <w:tr w14:paraId="70D4F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0EE09">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41D3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长期避难场所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3A76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3AA4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1857</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E074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619</w:t>
            </w:r>
          </w:p>
        </w:tc>
      </w:tr>
      <w:tr w14:paraId="2F7E0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B34E06">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乌兰镇（中心城区以外）</w:t>
            </w:r>
          </w:p>
          <w:p w14:paraId="491368F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（13处）</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4599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紧急避难场所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9ACE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13</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96DF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25010</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02FE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12505</w:t>
            </w:r>
          </w:p>
        </w:tc>
      </w:tr>
      <w:tr w14:paraId="3DC52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76B59B">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B8117">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短期避难场所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C353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3528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00E5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6AFF7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0EF5C">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B6809">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长期避难场所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435D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1EA3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E8B0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7A38C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EEADFD">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鄂托克高新技术产业开发区</w:t>
            </w:r>
          </w:p>
          <w:p w14:paraId="2076D14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left"/>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（6处）</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815C1">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紧急避难场所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C5F70">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6</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EF918">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52574</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9B1DB">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35050</w:t>
            </w:r>
          </w:p>
        </w:tc>
      </w:tr>
      <w:tr w14:paraId="12BCD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FEE18">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9008A">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短期避难场所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662D7">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348CE">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E03B3">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07CE5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D560D">
            <w:pPr>
              <w:keepNext/>
              <w:pageBreakBefore w:val="0"/>
              <w:wordWrap/>
              <w:overflowPunct/>
              <w:topLinePunct w:val="0"/>
              <w:bidi w:val="0"/>
              <w:snapToGrid w:val="0"/>
              <w:spacing w:line="310" w:lineRule="exact"/>
              <w:ind w:left="0" w:leftChars="0" w:right="0" w:rightChars="0" w:firstLine="0" w:firstLineChars="0"/>
              <w:jc w:val="left"/>
              <w:rPr>
                <w:rFonts w:hint="eastAsia" w:ascii="方正书宋简体" w:hAnsi="方正书宋简体" w:eastAsia="方正书宋简体" w:cs="方正书宋简体"/>
                <w:i w:val="0"/>
                <w:iCs w:val="0"/>
                <w:color w:val="auto"/>
                <w:sz w:val="21"/>
                <w:szCs w:val="21"/>
                <w:highlight w:val="none"/>
                <w:u w:val="none"/>
              </w:rPr>
            </w:pP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40265">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长期避难场所</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EDBCF">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68A75">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AFEA4">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r>
      <w:tr w14:paraId="1CEF6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24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A75DD8">
            <w:pPr>
              <w:keepNext w:val="0"/>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i w:val="0"/>
                <w:iCs w:val="0"/>
                <w:snapToGrid w:val="0"/>
                <w:color w:val="auto"/>
                <w:kern w:val="0"/>
                <w:sz w:val="21"/>
                <w:szCs w:val="21"/>
                <w:highlight w:val="none"/>
                <w:u w:val="none"/>
                <w:lang w:val="en-US" w:eastAsia="zh-CN" w:bidi="ar"/>
              </w:rPr>
              <w:t>合计</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705A1">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i w:val="0"/>
                <w:iCs w:val="0"/>
                <w:snapToGrid w:val="0"/>
                <w:color w:val="auto"/>
                <w:kern w:val="0"/>
                <w:sz w:val="21"/>
                <w:szCs w:val="21"/>
                <w:highlight w:val="none"/>
                <w:u w:val="none"/>
                <w:lang w:val="en-US" w:eastAsia="zh-CN" w:bidi="ar"/>
              </w:rPr>
              <w:t>179</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C749C">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i w:val="0"/>
                <w:iCs w:val="0"/>
                <w:snapToGrid w:val="0"/>
                <w:color w:val="auto"/>
                <w:kern w:val="0"/>
                <w:sz w:val="21"/>
                <w:szCs w:val="21"/>
                <w:highlight w:val="none"/>
                <w:u w:val="none"/>
                <w:lang w:val="en-US" w:eastAsia="zh-CN" w:bidi="ar"/>
              </w:rPr>
              <w:t>726895</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201D2">
            <w:pPr>
              <w:keepNext/>
              <w:keepLines w:val="0"/>
              <w:pageBreakBefore w:val="0"/>
              <w:widowControl/>
              <w:suppressLineNumbers w:val="0"/>
              <w:wordWrap/>
              <w:overflowPunct/>
              <w:topLinePunct w:val="0"/>
              <w:bidi w:val="0"/>
              <w:snapToGrid w:val="0"/>
              <w:spacing w:line="310" w:lineRule="exact"/>
              <w:ind w:left="0" w:leftChars="0" w:right="0" w:rightChars="0" w:firstLine="0" w:firstLineChars="0"/>
              <w:jc w:val="center"/>
              <w:textAlignment w:val="center"/>
              <w:rPr>
                <w:rFonts w:hint="eastAsia" w:ascii="方正书宋简体" w:hAnsi="方正书宋简体" w:eastAsia="方正书宋简体" w:cs="方正书宋简体"/>
                <w:b/>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i w:val="0"/>
                <w:iCs w:val="0"/>
                <w:snapToGrid w:val="0"/>
                <w:color w:val="auto"/>
                <w:kern w:val="0"/>
                <w:sz w:val="21"/>
                <w:szCs w:val="21"/>
                <w:highlight w:val="none"/>
                <w:u w:val="none"/>
                <w:lang w:val="en-US" w:eastAsia="zh-CN" w:bidi="ar"/>
              </w:rPr>
              <w:t>357275</w:t>
            </w:r>
          </w:p>
        </w:tc>
      </w:tr>
    </w:tbl>
    <w:p w14:paraId="0361FEC1">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bookmarkStart w:id="240" w:name="_Toc8232"/>
      <w:bookmarkStart w:id="241" w:name="_Toc2309"/>
      <w:bookmarkStart w:id="242" w:name="_Toc16133"/>
      <w:bookmarkStart w:id="243" w:name="_Toc3891"/>
      <w:bookmarkStart w:id="244" w:name="_Toc22278"/>
      <w:bookmarkStart w:id="245" w:name="_Toc9661"/>
      <w:bookmarkStart w:id="246" w:name="_Toc21790"/>
      <w:bookmarkStart w:id="247" w:name="_Toc9967"/>
      <w:bookmarkStart w:id="248" w:name="_Toc29583"/>
      <w:r>
        <w:rPr>
          <w:rFonts w:hint="eastAsia" w:ascii="方正书宋简体" w:hAnsi="方正书宋简体" w:eastAsia="方正书宋简体" w:cs="方正书宋简体"/>
          <w:b/>
          <w:bCs/>
          <w:snapToGrid/>
          <w:color w:val="auto"/>
          <w:kern w:val="2"/>
          <w:sz w:val="21"/>
          <w:szCs w:val="21"/>
          <w:lang w:val="en-US" w:eastAsia="zh-CN" w:bidi="ar-SA"/>
        </w:rPr>
        <w:t xml:space="preserve">第四节   </w:t>
      </w:r>
      <w:r>
        <w:rPr>
          <w:rFonts w:hint="eastAsia" w:ascii="方正书宋简体" w:hAnsi="方正书宋简体" w:eastAsia="方正书宋简体" w:cs="方正书宋简体"/>
          <w:b/>
          <w:bCs/>
          <w:snapToGrid/>
          <w:color w:val="auto"/>
          <w:kern w:val="2"/>
          <w:sz w:val="21"/>
          <w:szCs w:val="21"/>
          <w:highlight w:val="none"/>
          <w:lang w:val="en-US" w:eastAsia="zh-CN"/>
        </w:rPr>
        <w:t>应急通道与相关城乡基础设施</w:t>
      </w:r>
      <w:bookmarkEnd w:id="240"/>
      <w:bookmarkEnd w:id="241"/>
      <w:bookmarkEnd w:id="242"/>
      <w:bookmarkEnd w:id="243"/>
      <w:bookmarkEnd w:id="244"/>
      <w:bookmarkEnd w:id="245"/>
      <w:bookmarkEnd w:id="246"/>
      <w:bookmarkEnd w:id="247"/>
      <w:bookmarkEnd w:id="248"/>
    </w:p>
    <w:p w14:paraId="2441CC81">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p>
    <w:p w14:paraId="48FD55BC">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第23条 </w:t>
      </w:r>
      <w:r>
        <w:rPr>
          <w:rFonts w:hint="eastAsia" w:ascii="方正书宋简体" w:hAnsi="方正书宋简体" w:eastAsia="方正书宋简体" w:cs="方正书宋简体"/>
          <w:b/>
          <w:bCs/>
          <w:snapToGrid/>
          <w:color w:val="auto"/>
          <w:kern w:val="2"/>
          <w:sz w:val="21"/>
          <w:szCs w:val="21"/>
          <w:highlight w:val="none"/>
          <w:lang w:val="en-US" w:eastAsia="zh-CN"/>
        </w:rPr>
        <w:t>场所外应急疏散道路</w:t>
      </w:r>
    </w:p>
    <w:p w14:paraId="5136ECB9">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b/>
          <w:bCs/>
          <w:snapToGrid/>
          <w:color w:val="auto"/>
          <w:kern w:val="2"/>
          <w:sz w:val="21"/>
          <w:szCs w:val="21"/>
          <w:highlight w:val="none"/>
          <w:u w:val="singl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应急疏散道路分为救灾干道和疏散干道两大类，疏散干道又分为疏散主干道和疏散次干道。有效宽度应满足以下要求：</w:t>
      </w:r>
      <w:r>
        <w:rPr>
          <w:rFonts w:hint="eastAsia" w:ascii="方正书宋简体" w:hAnsi="方正书宋简体" w:eastAsia="方正书宋简体" w:cs="方正书宋简体"/>
          <w:b/>
          <w:bCs/>
          <w:snapToGrid/>
          <w:color w:val="auto"/>
          <w:kern w:val="2"/>
          <w:sz w:val="21"/>
          <w:szCs w:val="21"/>
          <w:highlight w:val="none"/>
          <w:u w:val="single"/>
          <w:lang w:val="en-US" w:eastAsia="zh-CN"/>
        </w:rPr>
        <w:t>救灾主干道不小于15m；疏散主干道不小于7m；疏散次干道不小于4m。</w:t>
      </w:r>
    </w:p>
    <w:p w14:paraId="1F33ABB9">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城乡应急通道规划。</w:t>
      </w:r>
      <w:r>
        <w:rPr>
          <w:rFonts w:hint="eastAsia" w:ascii="方正书宋简体" w:hAnsi="方正书宋简体" w:eastAsia="方正书宋简体" w:cs="方正书宋简体"/>
          <w:snapToGrid/>
          <w:color w:val="auto"/>
          <w:kern w:val="2"/>
          <w:sz w:val="21"/>
          <w:szCs w:val="21"/>
          <w:highlight w:val="none"/>
          <w:lang w:val="en-US" w:eastAsia="zh-CN"/>
        </w:rPr>
        <w:t>城乡规划救灾主干道以高速公路、国省干道、城市快速路为主，可直接联系周边邻近城市，同时可兼具区域消防通道的功能，在灾害发生时要优先保证通行能力。本次规划城乡救灾主干道主要包括：荣乌高速G18、G109（北京－拉萨）、G338（乌兰镇至查布段）、G242（公其日嘎至乌兰镇段）、盐鄂高速S35（察汗淖至盐池）、S216蒙西至棋盘井段等。城乡规划疏散干道以县乡道、城镇主次干路、乡村道路为主，需要保证灾后的基本通行能力，与救灾道路一起形成网络状连接。</w:t>
      </w:r>
    </w:p>
    <w:p w14:paraId="1E796019">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中心城区应急通道规划。</w:t>
      </w:r>
      <w:r>
        <w:rPr>
          <w:rFonts w:hint="eastAsia" w:ascii="方正书宋简体" w:hAnsi="方正书宋简体" w:eastAsia="方正书宋简体" w:cs="方正书宋简体"/>
          <w:snapToGrid/>
          <w:color w:val="auto"/>
          <w:kern w:val="2"/>
          <w:sz w:val="21"/>
          <w:szCs w:val="21"/>
          <w:highlight w:val="none"/>
          <w:lang w:val="en-US" w:eastAsia="zh-CN"/>
        </w:rPr>
        <w:t>中心城区范围内高速公路、城市快速路、城市主干路作为规划救灾主干道，用于各责任分区、救灾指挥中心、长期应急避难场所等场所与外部的交通联系。本次规划中心城区应急疏散通道主要包括：盐鄂高速S35、国道G338、国道G242、外环路等。规划疏散主干道主要为中心城区主干道，用于联系紧急应急避难场所至短期应急避难场所，以及短期应急避难场所至长期应急避难场所的疏散通道，与救灾干道一起形成网络状连接。主要包括：北大街、桃力民路、西鄂尔多斯路、百眼井路、赛乌素路、西大街、阿尔巴斯街、阿尔寨街、苏里格街、木凯淖尔街、工业东街等。规划疏散次干道主要为中心城区次干道及支路，用于联系居住点、商业点和办公点至附近紧急应急避难场所的疏散通道。主要包括：乌仁都西街、都斯图路、布日都路、布隆街、平安路等。</w:t>
      </w:r>
    </w:p>
    <w:p w14:paraId="587A129C">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棋盘井镇中心镇区应急通道规划。</w:t>
      </w:r>
      <w:r>
        <w:rPr>
          <w:rFonts w:hint="eastAsia" w:ascii="方正书宋简体" w:hAnsi="方正书宋简体" w:eastAsia="方正书宋简体" w:cs="方正书宋简体"/>
          <w:snapToGrid/>
          <w:color w:val="auto"/>
          <w:kern w:val="2"/>
          <w:sz w:val="21"/>
          <w:szCs w:val="21"/>
          <w:highlight w:val="none"/>
          <w:lang w:val="en-US" w:eastAsia="zh-CN"/>
        </w:rPr>
        <w:t>本次规划棋盘井镇中心镇区和工业园区应急疏散通道主要包括：国道G109、棋千线、棋蒙公路等。规划疏散主干道主要为中心城区主干道，用于联系紧急应急避难场所至短期应急避难场所，以及短期应急避难场所至长期应急避难场所的疏散通道，与救灾干道一起形成网络状连接。主要包括：</w:t>
      </w:r>
      <w:r>
        <w:rPr>
          <w:rFonts w:hint="eastAsia" w:ascii="方正书宋简体" w:hAnsi="方正书宋简体" w:eastAsia="方正书宋简体" w:cs="方正书宋简体"/>
          <w:b w:val="0"/>
          <w:bCs w:val="0"/>
          <w:color w:val="auto"/>
          <w:kern w:val="0"/>
          <w:sz w:val="21"/>
          <w:szCs w:val="21"/>
          <w:highlight w:val="none"/>
          <w:lang w:val="en-US" w:eastAsia="zh-CN" w:bidi="ar"/>
        </w:rPr>
        <w:t>棋盘井大街、阿尔巴斯（东）西街、南环路、西环路、迎宾大道、乌珠尔路</w:t>
      </w:r>
      <w:r>
        <w:rPr>
          <w:rFonts w:hint="eastAsia" w:ascii="方正书宋简体" w:hAnsi="方正书宋简体" w:eastAsia="方正书宋简体" w:cs="方正书宋简体"/>
          <w:snapToGrid/>
          <w:color w:val="auto"/>
          <w:kern w:val="2"/>
          <w:sz w:val="21"/>
          <w:szCs w:val="21"/>
          <w:highlight w:val="none"/>
          <w:lang w:val="en-US" w:eastAsia="zh-CN"/>
        </w:rPr>
        <w:t>等。规划疏散次干道主要为中心城区次干道及支路，用于联系居住点、商业点和办公点至附近紧急应急避难场所的疏散通道。主要包括：硅电大街、金海路、阿尔寨路、西鄂尔多斯街、希望路、民生路、利民街、尔格图东街、苏亥图街等。</w:t>
      </w:r>
    </w:p>
    <w:p w14:paraId="0249F3CD">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第24条 </w:t>
      </w:r>
      <w:r>
        <w:rPr>
          <w:rFonts w:hint="eastAsia" w:ascii="方正书宋简体" w:hAnsi="方正书宋简体" w:eastAsia="方正书宋简体" w:cs="方正书宋简体"/>
          <w:b/>
          <w:bCs/>
          <w:snapToGrid/>
          <w:color w:val="auto"/>
          <w:kern w:val="2"/>
          <w:sz w:val="21"/>
          <w:szCs w:val="21"/>
          <w:highlight w:val="none"/>
          <w:lang w:val="en-US" w:eastAsia="zh-CN"/>
        </w:rPr>
        <w:t>场所内应急疏散道路</w:t>
      </w:r>
    </w:p>
    <w:p w14:paraId="72AD2966">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u w:val="singl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应急通道。</w:t>
      </w:r>
      <w:r>
        <w:rPr>
          <w:rFonts w:hint="eastAsia" w:ascii="方正书宋简体" w:hAnsi="方正书宋简体" w:eastAsia="方正书宋简体" w:cs="方正书宋简体"/>
          <w:snapToGrid/>
          <w:color w:val="auto"/>
          <w:kern w:val="2"/>
          <w:sz w:val="21"/>
          <w:szCs w:val="21"/>
          <w:highlight w:val="none"/>
          <w:lang w:val="en-US" w:eastAsia="zh-CN"/>
        </w:rPr>
        <w:t>应急避难场所内的通道按主通道、次通道、支道和人行道分级设置。主要通道应具有引导疏散的作用，并应易于识别方向。通向避难人员大量集中地区的通道应有环形路或回车场地。</w:t>
      </w:r>
      <w:r>
        <w:rPr>
          <w:rFonts w:hint="eastAsia" w:ascii="方正书宋简体" w:hAnsi="方正书宋简体" w:eastAsia="方正书宋简体" w:cs="方正书宋简体"/>
          <w:b/>
          <w:bCs/>
          <w:snapToGrid/>
          <w:color w:val="auto"/>
          <w:kern w:val="2"/>
          <w:sz w:val="21"/>
          <w:szCs w:val="21"/>
          <w:highlight w:val="none"/>
          <w:u w:val="single"/>
          <w:lang w:val="en-US" w:eastAsia="zh-CN"/>
        </w:rPr>
        <w:t>主通道有效宽度不小于7m，次通道有效宽度不小于4m，支道有效宽度不小于3.5m，人行道有效宽度不小于1.5m。</w:t>
      </w:r>
    </w:p>
    <w:p w14:paraId="3B428179">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应急出入口。</w:t>
      </w:r>
      <w:r>
        <w:rPr>
          <w:rFonts w:hint="eastAsia" w:ascii="方正书宋简体" w:hAnsi="方正书宋简体" w:eastAsia="方正书宋简体" w:cs="方正书宋简体"/>
          <w:b/>
          <w:bCs/>
          <w:snapToGrid/>
          <w:color w:val="auto"/>
          <w:kern w:val="2"/>
          <w:sz w:val="21"/>
          <w:szCs w:val="21"/>
          <w:highlight w:val="none"/>
          <w:u w:val="single"/>
          <w:lang w:val="en-US" w:eastAsia="zh-CN"/>
        </w:rPr>
        <w:t>应急避难场所内要保证至少2条不同方向与外界相通的进出疏散通道。</w:t>
      </w:r>
      <w:r>
        <w:rPr>
          <w:rFonts w:hint="eastAsia" w:ascii="方正书宋简体" w:hAnsi="方正书宋简体" w:eastAsia="方正书宋简体" w:cs="方正书宋简体"/>
          <w:snapToGrid/>
          <w:color w:val="auto"/>
          <w:kern w:val="2"/>
          <w:sz w:val="21"/>
          <w:szCs w:val="21"/>
          <w:highlight w:val="none"/>
          <w:lang w:val="en-US" w:eastAsia="zh-CN"/>
        </w:rPr>
        <w:t>应急出入口宜包括主、次和专用出入口。人员进出口与车辆进出口应分开，主要出入口应与城市应急疏散道路衔接，主要出入口位置应与灾害条件下城市应急交通与人员的走向、流量相适应，并根据避难人员数量、救灾活动的需要设置集散广场或缓冲区。在主要避难人员便捷进入的方向设置临时入口，用于避难人员疏散的所有出入口的总宽度不应小于10m／万人。</w:t>
      </w:r>
    </w:p>
    <w:p w14:paraId="44D83D4C">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249" w:name="_Toc8549"/>
      <w:bookmarkStart w:id="250" w:name="_Toc30205"/>
      <w:bookmarkStart w:id="251" w:name="_Toc21643"/>
      <w:bookmarkStart w:id="252" w:name="_Toc1707"/>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第25条 </w:t>
      </w:r>
      <w:r>
        <w:rPr>
          <w:rFonts w:hint="eastAsia" w:ascii="方正书宋简体" w:hAnsi="方正书宋简体" w:eastAsia="方正书宋简体" w:cs="方正书宋简体"/>
          <w:b/>
          <w:bCs/>
          <w:snapToGrid/>
          <w:color w:val="auto"/>
          <w:kern w:val="2"/>
          <w:sz w:val="21"/>
          <w:szCs w:val="21"/>
          <w:highlight w:val="none"/>
          <w:lang w:val="en-US" w:eastAsia="zh-CN"/>
        </w:rPr>
        <w:t>基础设施建设</w:t>
      </w:r>
      <w:bookmarkEnd w:id="249"/>
    </w:p>
    <w:p w14:paraId="79774CED">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应急给排水规划。</w:t>
      </w:r>
      <w:r>
        <w:rPr>
          <w:rFonts w:hint="eastAsia" w:ascii="方正书宋简体" w:hAnsi="方正书宋简体" w:eastAsia="方正书宋简体" w:cs="方正书宋简体"/>
          <w:snapToGrid/>
          <w:color w:val="auto"/>
          <w:kern w:val="2"/>
          <w:sz w:val="21"/>
          <w:szCs w:val="21"/>
          <w:highlight w:val="none"/>
          <w:lang w:val="en-US" w:eastAsia="zh-CN"/>
        </w:rPr>
        <w:t>避难场所应急供水系统与市政给水管网的接口不宜少于两个，接口宜位于不同路段。避难场所应急供水能力应满足避难人员3天及以上的饮用水和基本生活用水需求，且饮用水储量不应低于3L/（人</w:t>
      </w:r>
      <w:r>
        <w:rPr>
          <w:rFonts w:hint="eastAsia" w:ascii="方正书宋简体" w:hAnsi="方正书宋简体" w:eastAsia="方正书宋简体" w:cs="方正书宋简体"/>
          <w:b w:val="0"/>
          <w:bCs w:val="0"/>
          <w:snapToGrid/>
          <w:color w:val="auto"/>
          <w:kern w:val="2"/>
          <w:sz w:val="21"/>
          <w:szCs w:val="21"/>
          <w:highlight w:val="none"/>
          <w:lang w:val="en-US" w:eastAsia="zh-CN"/>
        </w:rPr>
        <w:t>·</w:t>
      </w:r>
      <w:r>
        <w:rPr>
          <w:rFonts w:hint="eastAsia" w:ascii="方正书宋简体" w:hAnsi="方正书宋简体" w:eastAsia="方正书宋简体" w:cs="方正书宋简体"/>
          <w:snapToGrid/>
          <w:color w:val="auto"/>
          <w:kern w:val="2"/>
          <w:sz w:val="21"/>
          <w:szCs w:val="21"/>
          <w:highlight w:val="none"/>
          <w:lang w:val="en-US" w:eastAsia="zh-CN"/>
        </w:rPr>
        <w:t>日）。</w:t>
      </w:r>
    </w:p>
    <w:p w14:paraId="168FED4B">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避难场所的污废水宜采用自流排出。避难场所内宜设基本生活污水集水池。独立设置的应急医疗卫生救护区应满足医疗污水处理要求。</w:t>
      </w:r>
    </w:p>
    <w:p w14:paraId="2623BCC6">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应急电气规划。</w:t>
      </w:r>
      <w:r>
        <w:rPr>
          <w:rFonts w:hint="eastAsia" w:ascii="方正书宋简体" w:hAnsi="方正书宋简体" w:eastAsia="方正书宋简体" w:cs="方正书宋简体"/>
          <w:snapToGrid/>
          <w:color w:val="auto"/>
          <w:kern w:val="2"/>
          <w:sz w:val="21"/>
          <w:szCs w:val="21"/>
          <w:highlight w:val="none"/>
          <w:lang w:val="en-US" w:eastAsia="zh-CN"/>
        </w:rPr>
        <w:t>每个避难单元应设置电源配电柜或配电箱、通信、防灾报警、照明、动力等应分别设置独立回路，各供电系统电源和应急发电机组应分列运行，不同等级的电力负荷应各有独立回路，单相用电设备应均匀地分配在三相回路中。</w:t>
      </w:r>
    </w:p>
    <w:p w14:paraId="021268B4">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每个避难单元应引接电力系统电源，并应具备引接临时电源的条件，电源回路均应设置进线总开关和两种电源的转换开关。</w:t>
      </w:r>
    </w:p>
    <w:p w14:paraId="6F945479">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应急通信规划。</w:t>
      </w:r>
      <w:r>
        <w:rPr>
          <w:rFonts w:hint="eastAsia" w:ascii="方正书宋简体" w:hAnsi="方正书宋简体" w:eastAsia="方正书宋简体" w:cs="方正书宋简体"/>
          <w:snapToGrid/>
          <w:color w:val="auto"/>
          <w:kern w:val="2"/>
          <w:sz w:val="21"/>
          <w:szCs w:val="21"/>
          <w:highlight w:val="none"/>
          <w:lang w:val="en-US" w:eastAsia="zh-CN"/>
        </w:rPr>
        <w:t>应急通信装备建设以满足能力要求为目标，在现有装备基础上改造升级，重点打造语音指挥通信、视频指挥通信、救援现场感知、北斗保底指挥四大核心通信网络。同时加强无人机、卫星通信、物联感知等新型技术装备配备使用，提升无人化、智能化救援能力。通过能力互补的多种通信装备，形成宽窄融合、公专结合、韧性抗毁的空天地一体化应急指挥通信体系。</w:t>
      </w:r>
    </w:p>
    <w:p w14:paraId="638C4173">
      <w:pPr>
        <w:pStyle w:val="25"/>
        <w:pageBreakBefore w:val="0"/>
        <w:widowControl w:val="0"/>
        <w:numPr>
          <w:ilvl w:val="0"/>
          <w:numId w:val="0"/>
        </w:numPr>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应急消防。</w:t>
      </w:r>
      <w:r>
        <w:rPr>
          <w:rFonts w:hint="eastAsia" w:ascii="方正书宋简体" w:hAnsi="方正书宋简体" w:eastAsia="方正书宋简体" w:cs="方正书宋简体"/>
          <w:snapToGrid/>
          <w:color w:val="auto"/>
          <w:kern w:val="2"/>
          <w:sz w:val="21"/>
          <w:szCs w:val="21"/>
          <w:highlight w:val="none"/>
          <w:lang w:val="en-US" w:eastAsia="zh-CN"/>
        </w:rPr>
        <w:t>短期避难场所和长期避难场所应设置应急消防水源，配置消防设施，关于避难场所消防给水的要求要符合《防灾避难场所技术标准》GB51143-2023相关规定。</w:t>
      </w:r>
    </w:p>
    <w:bookmarkEnd w:id="250"/>
    <w:bookmarkEnd w:id="251"/>
    <w:bookmarkEnd w:id="252"/>
    <w:p w14:paraId="2B0D7211">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sectPr>
          <w:type w:val="continuous"/>
          <w:pgSz w:w="11906" w:h="16838"/>
          <w:pgMar w:top="1701" w:right="1247" w:bottom="1701" w:left="1247" w:header="850" w:footer="1109" w:gutter="0"/>
          <w:pgNumType w:fmt="decimal"/>
          <w:cols w:equalWidth="0" w:num="2">
            <w:col w:w="4493" w:space="425"/>
            <w:col w:w="4493"/>
          </w:cols>
        </w:sectPr>
      </w:pPr>
      <w:bookmarkStart w:id="253" w:name="bookmark24"/>
      <w:bookmarkEnd w:id="253"/>
    </w:p>
    <w:p w14:paraId="72FAB4A7">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bookmarkStart w:id="254" w:name="_Toc27375"/>
      <w:bookmarkStart w:id="255" w:name="_Toc27075"/>
      <w:bookmarkStart w:id="256" w:name="_Toc25714"/>
      <w:bookmarkStart w:id="257" w:name="_Toc31339"/>
      <w:bookmarkStart w:id="258" w:name="_Toc8674"/>
      <w:bookmarkStart w:id="259" w:name="_Toc10826"/>
      <w:bookmarkStart w:id="260" w:name="_Toc26368"/>
      <w:bookmarkStart w:id="261" w:name="_Toc4656"/>
      <w:bookmarkStart w:id="262" w:name="_Toc3458"/>
      <w:r>
        <w:rPr>
          <w:rFonts w:hint="eastAsia" w:ascii="方正书宋简体" w:hAnsi="方正书宋简体" w:eastAsia="方正书宋简体" w:cs="方正书宋简体"/>
          <w:b/>
          <w:bCs/>
          <w:snapToGrid/>
          <w:color w:val="auto"/>
          <w:kern w:val="2"/>
          <w:sz w:val="21"/>
          <w:szCs w:val="21"/>
          <w:lang w:val="en-US" w:eastAsia="zh-CN" w:bidi="ar-SA"/>
        </w:rPr>
        <w:t>第五节 　</w:t>
      </w:r>
      <w:r>
        <w:rPr>
          <w:rFonts w:hint="eastAsia" w:ascii="方正书宋简体" w:hAnsi="方正书宋简体" w:eastAsia="方正书宋简体" w:cs="方正书宋简体"/>
          <w:b/>
          <w:bCs/>
          <w:snapToGrid/>
          <w:color w:val="auto"/>
          <w:kern w:val="2"/>
          <w:sz w:val="21"/>
          <w:szCs w:val="21"/>
          <w:highlight w:val="none"/>
          <w:lang w:val="en-US" w:eastAsia="zh-CN"/>
        </w:rPr>
        <w:t>区域协同</w:t>
      </w:r>
      <w:bookmarkEnd w:id="254"/>
      <w:bookmarkEnd w:id="255"/>
      <w:bookmarkEnd w:id="256"/>
      <w:bookmarkEnd w:id="257"/>
      <w:bookmarkEnd w:id="258"/>
      <w:bookmarkEnd w:id="259"/>
      <w:bookmarkEnd w:id="260"/>
      <w:bookmarkEnd w:id="261"/>
      <w:bookmarkEnd w:id="262"/>
    </w:p>
    <w:p w14:paraId="0606A86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sectPr>
          <w:type w:val="continuous"/>
          <w:pgSz w:w="11906" w:h="16838"/>
          <w:pgMar w:top="1701" w:right="1247" w:bottom="1701" w:left="1247" w:header="850" w:footer="1109" w:gutter="0"/>
          <w:pgNumType w:fmt="decimal"/>
          <w:cols w:space="425" w:num="1"/>
        </w:sectPr>
      </w:pPr>
    </w:p>
    <w:p w14:paraId="00D467B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急避难场所是为了应对突发事件，经规划、建设，具有应急避难生活服务设施，可供居民紧急疏散、临时生活的安全场所。灾害发生时，区域间协同至关重要，可以确保资源的最大化利用，避免重复建设，提高应急响应的效率，以及确保避难场所的分布和容量能够满足不同区域的实际需求。因此，需要从区域间组织协调、管理系统、信息共享、资源调配等几个方面着手加强区域协同。</w:t>
      </w:r>
    </w:p>
    <w:p w14:paraId="0413192E">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规划与建设协同。</w:t>
      </w:r>
      <w:r>
        <w:rPr>
          <w:rFonts w:hint="eastAsia" w:ascii="方正书宋简体" w:hAnsi="方正书宋简体" w:eastAsia="方正书宋简体" w:cs="方正书宋简体"/>
          <w:snapToGrid/>
          <w:color w:val="auto"/>
          <w:kern w:val="2"/>
          <w:sz w:val="21"/>
          <w:szCs w:val="21"/>
          <w:highlight w:val="none"/>
          <w:lang w:val="en-US" w:eastAsia="zh-CN"/>
        </w:rPr>
        <w:t>根据《应急避难场所专项规划编制指南》，应急避难场所专项规划需要符合鄂托克旗国民经济和社会发展规划、国土空间总体规划，并与应急体系、人民防空、综合防灾减灾、恢复重建等规划相衔接。应急避难场所的建设以及应急管理相关制度的建立，应与上位规划以及国民经济和社会发展相协调，保证规划与建设同步。</w:t>
      </w:r>
    </w:p>
    <w:p w14:paraId="042C0A70">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信息共享平台。</w:t>
      </w:r>
      <w:r>
        <w:rPr>
          <w:rFonts w:hint="eastAsia" w:ascii="方正书宋简体" w:hAnsi="方正书宋简体" w:eastAsia="方正书宋简体" w:cs="方正书宋简体"/>
          <w:snapToGrid/>
          <w:color w:val="auto"/>
          <w:kern w:val="2"/>
          <w:sz w:val="21"/>
          <w:szCs w:val="21"/>
          <w:highlight w:val="none"/>
          <w:lang w:val="en-US" w:eastAsia="zh-CN"/>
        </w:rPr>
        <w:t>建立应急避难信息共享平台，将鄂托克旗应急避难场所的建设、物资储备、应急设备和人力资源等情况实时更新，由应急管理部门统一建立数据共享平台，方便灾时物资、人力等的调度。同时由鄂托克旗应急管理部门，组织建立鄂托克旗应急避难场所公众号小程序，使居民了解应急避难场所的位置、信息，灾时路线等情况，为群众灾时避难提供有力保障。</w:t>
      </w:r>
    </w:p>
    <w:p w14:paraId="6BBE75FE">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日常管理协同。</w:t>
      </w:r>
      <w:r>
        <w:rPr>
          <w:rFonts w:hint="eastAsia" w:ascii="方正书宋简体" w:hAnsi="方正书宋简体" w:eastAsia="方正书宋简体" w:cs="方正书宋简体"/>
          <w:snapToGrid/>
          <w:color w:val="auto"/>
          <w:kern w:val="2"/>
          <w:sz w:val="21"/>
          <w:szCs w:val="21"/>
          <w:highlight w:val="none"/>
          <w:lang w:val="en-US" w:eastAsia="zh-CN"/>
        </w:rPr>
        <w:t>加强鄂托克旗与周边盟市、旗区在日常管理和维护方面的协同，建立鄂托克旗、乌海市、乌审旗、鄂托克前旗、杭锦旗、阿拉善盟“六位一体”应急管理区域协同体系。建立健全由各级政府预案、政府部门预案、基层组织预案、企事业单位预案等组成的覆盖苏木镇、嘎查村（社区）的地震应急预案体系。</w:t>
      </w:r>
    </w:p>
    <w:p w14:paraId="055C3A23">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协同行动计划。</w:t>
      </w:r>
      <w:r>
        <w:rPr>
          <w:rFonts w:hint="eastAsia" w:ascii="方正书宋简体" w:hAnsi="方正书宋简体" w:eastAsia="方正书宋简体" w:cs="方正书宋简体"/>
          <w:snapToGrid/>
          <w:color w:val="auto"/>
          <w:kern w:val="2"/>
          <w:sz w:val="21"/>
          <w:szCs w:val="21"/>
          <w:highlight w:val="none"/>
          <w:lang w:val="en-US" w:eastAsia="zh-CN"/>
        </w:rPr>
        <w:t>定期组织跨区域的应急培训和演练，提高各方对应急避难工作的熟悉程度和协同能力。同时通过合作机制，可以合理分配和利用区域疏散资源，避免资源浪费。</w:t>
      </w:r>
    </w:p>
    <w:p w14:paraId="7BA3E43D">
      <w:pPr>
        <w:pStyle w:val="2"/>
        <w:keepNext/>
        <w:keepLines/>
        <w:pageBreakBefore w:val="0"/>
        <w:widowControl w:val="0"/>
        <w:numPr>
          <w:ilvl w:val="0"/>
          <w:numId w:val="3"/>
        </w:numPr>
        <w:kinsoku/>
        <w:wordWrap/>
        <w:overflowPunct/>
        <w:topLinePunct w:val="0"/>
        <w:autoSpaceDE/>
        <w:autoSpaceDN/>
        <w:bidi w:val="0"/>
        <w:adjustRightInd w:val="0"/>
        <w:snapToGrid w:val="0"/>
        <w:spacing w:before="0" w:beforeLines="100" w:beforeAutospacing="0" w:after="0" w:afterLines="100" w:afterAutospacing="0" w:line="310" w:lineRule="exact"/>
        <w:ind w:left="0" w:firstLine="0" w:firstLineChars="0"/>
        <w:jc w:val="center"/>
        <w:textAlignment w:val="auto"/>
        <w:rPr>
          <w:rFonts w:hint="eastAsia" w:ascii="方正书宋简体" w:hAnsi="方正书宋简体" w:eastAsia="方正书宋简体" w:cs="方正书宋简体"/>
          <w:b w:val="0"/>
          <w:bCs/>
          <w:snapToGrid/>
          <w:color w:val="auto"/>
          <w:sz w:val="21"/>
          <w:szCs w:val="21"/>
          <w:highlight w:val="none"/>
          <w:lang w:eastAsia="zh-CN"/>
        </w:rPr>
        <w:sectPr>
          <w:type w:val="continuous"/>
          <w:pgSz w:w="11906" w:h="16838"/>
          <w:pgMar w:top="1701" w:right="1247" w:bottom="1701" w:left="1247" w:header="850" w:footer="1109" w:gutter="0"/>
          <w:pgNumType w:fmt="decimal"/>
          <w:cols w:equalWidth="0" w:num="2">
            <w:col w:w="4493" w:space="425"/>
            <w:col w:w="4493"/>
          </w:cols>
        </w:sectPr>
      </w:pPr>
      <w:bookmarkStart w:id="263" w:name="_Toc19652"/>
      <w:bookmarkStart w:id="264" w:name="_Toc7536"/>
      <w:bookmarkStart w:id="265" w:name="_Toc15055"/>
      <w:bookmarkStart w:id="266" w:name="_Toc20812"/>
      <w:bookmarkStart w:id="267" w:name="_Toc32191"/>
      <w:bookmarkStart w:id="268" w:name="_Toc16955"/>
      <w:bookmarkStart w:id="269" w:name="_Toc19260"/>
      <w:bookmarkStart w:id="270" w:name="_Toc11149"/>
    </w:p>
    <w:p w14:paraId="6E2821A2">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100" w:beforeAutospacing="0" w:after="0" w:afterLines="100" w:afterAutospacing="0" w:line="310" w:lineRule="exact"/>
        <w:ind w:left="0" w:leftChars="0" w:firstLine="0" w:firstLineChars="0"/>
        <w:jc w:val="center"/>
        <w:textAlignment w:val="auto"/>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pPr>
    </w:p>
    <w:p w14:paraId="0B31C9B7">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100" w:beforeAutospacing="0" w:after="0" w:afterLines="100" w:afterAutospacing="0" w:line="310" w:lineRule="exact"/>
        <w:ind w:left="0" w:leftChars="0" w:firstLine="0" w:firstLineChars="0"/>
        <w:jc w:val="center"/>
        <w:textAlignment w:val="auto"/>
        <w:rPr>
          <w:rFonts w:hint="eastAsia" w:ascii="方正书宋简体" w:hAnsi="方正书宋简体" w:eastAsia="方正书宋简体" w:cs="方正书宋简体"/>
          <w:b/>
          <w:bCs/>
          <w:snapToGrid/>
          <w:color w:val="auto"/>
          <w:sz w:val="21"/>
          <w:szCs w:val="21"/>
          <w:highlight w:val="none"/>
          <w:lang w:eastAsia="zh-CN"/>
        </w:rPr>
      </w:pPr>
      <w:r>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第五章       </w:t>
      </w:r>
      <w:r>
        <w:rPr>
          <w:rFonts w:hint="eastAsia" w:ascii="方正书宋简体" w:hAnsi="方正书宋简体" w:eastAsia="方正书宋简体" w:cs="方正书宋简体"/>
          <w:b/>
          <w:bCs/>
          <w:snapToGrid/>
          <w:color w:val="auto"/>
          <w:sz w:val="21"/>
          <w:szCs w:val="21"/>
          <w:highlight w:val="none"/>
          <w:lang w:eastAsia="zh-CN"/>
        </w:rPr>
        <w:t>应急避难场所设计要求指引</w:t>
      </w:r>
      <w:bookmarkEnd w:id="263"/>
      <w:bookmarkEnd w:id="264"/>
      <w:bookmarkEnd w:id="265"/>
      <w:bookmarkEnd w:id="266"/>
      <w:bookmarkEnd w:id="267"/>
      <w:bookmarkEnd w:id="268"/>
      <w:bookmarkEnd w:id="269"/>
      <w:bookmarkEnd w:id="270"/>
    </w:p>
    <w:p w14:paraId="2CC22759">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pPr>
      <w:bookmarkStart w:id="271" w:name="bookmark40"/>
      <w:bookmarkEnd w:id="271"/>
      <w:bookmarkStart w:id="272" w:name="_Toc18363"/>
      <w:bookmarkStart w:id="273" w:name="_Toc17552"/>
      <w:bookmarkStart w:id="274" w:name="_Toc25651"/>
      <w:bookmarkStart w:id="275" w:name="_Toc30808"/>
      <w:bookmarkStart w:id="276" w:name="_Toc5817"/>
      <w:bookmarkStart w:id="277" w:name="_Toc1748"/>
      <w:bookmarkStart w:id="278" w:name="_Toc26736"/>
      <w:bookmarkStart w:id="279" w:name="_Toc6753"/>
      <w:r>
        <w:rPr>
          <w:rFonts w:hint="eastAsia" w:ascii="方正书宋简体" w:hAnsi="方正书宋简体" w:eastAsia="方正书宋简体" w:cs="方正书宋简体"/>
          <w:b/>
          <w:bCs/>
          <w:snapToGrid/>
          <w:color w:val="auto"/>
          <w:kern w:val="2"/>
          <w:sz w:val="21"/>
          <w:szCs w:val="21"/>
          <w:lang w:val="en-US" w:eastAsia="zh-CN" w:bidi="ar-SA"/>
        </w:rPr>
        <w:t>第一节</w:t>
      </w:r>
      <w:r>
        <w:rPr>
          <w:rFonts w:hint="eastAsia" w:ascii="方正书宋简体" w:hAnsi="方正书宋简体" w:eastAsia="方正书宋简体" w:cs="方正书宋简体"/>
          <w:b w:val="0"/>
          <w:snapToGrid/>
          <w:color w:val="auto"/>
          <w:kern w:val="2"/>
          <w:sz w:val="21"/>
          <w:szCs w:val="21"/>
          <w:lang w:val="en-US" w:eastAsia="zh-CN" w:bidi="ar-SA"/>
        </w:rPr>
        <w:t>　</w:t>
      </w:r>
      <w:r>
        <w:rPr>
          <w:rFonts w:hint="eastAsia" w:ascii="方正书宋简体" w:hAnsi="方正书宋简体" w:eastAsia="方正书宋简体" w:cs="方正书宋简体"/>
          <w:b/>
          <w:bCs/>
          <w:snapToGrid/>
          <w:color w:val="auto"/>
          <w:kern w:val="2"/>
          <w:sz w:val="21"/>
          <w:szCs w:val="21"/>
          <w:highlight w:val="none"/>
          <w:lang w:val="en-US" w:eastAsia="zh-CN"/>
        </w:rPr>
        <w:t>场地建筑条件</w:t>
      </w:r>
      <w:bookmarkEnd w:id="272"/>
      <w:bookmarkEnd w:id="273"/>
      <w:bookmarkEnd w:id="274"/>
      <w:bookmarkEnd w:id="275"/>
      <w:bookmarkEnd w:id="276"/>
      <w:bookmarkEnd w:id="277"/>
      <w:bookmarkEnd w:id="278"/>
      <w:bookmarkEnd w:id="279"/>
    </w:p>
    <w:p w14:paraId="12FC8EEA">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p>
    <w:p w14:paraId="692BEBBE">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第26条 </w:t>
      </w:r>
      <w:r>
        <w:rPr>
          <w:rFonts w:hint="eastAsia" w:ascii="方正书宋简体" w:hAnsi="方正书宋简体" w:eastAsia="方正书宋简体" w:cs="方正书宋简体"/>
          <w:b/>
          <w:bCs/>
          <w:snapToGrid/>
          <w:color w:val="auto"/>
          <w:kern w:val="2"/>
          <w:sz w:val="21"/>
          <w:szCs w:val="21"/>
          <w:highlight w:val="none"/>
          <w:lang w:val="en-US" w:eastAsia="zh-CN"/>
        </w:rPr>
        <w:t>避难场所场地条件</w:t>
      </w:r>
    </w:p>
    <w:p w14:paraId="761A5D1D">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优先选择场地地形较平坦、地势较高、有利于排水、空气流通、具备一定基础设施的公共建筑与公共设施。选择在交通便利，有可靠交通连接，易于伤员转运和物资运送的地区。应避开地震断裂带，以及可能发生滑坡、泥石流等危险地段；应避开行洪区、指定的分洪口、洪水期间进洪或退洪主流区和山洪威胁区；应避开高压线走廊区域、周围建（构）筑物倒塌影响范围；应避开易燃、易爆、有毒危险物品存放点、严重污染源以及其他易发生次生灾害的区域；用于应急避难的建（构）筑物及周边配套设施，应符合现行国家标准《建筑抗震设计规范》《城市抗震防灾规划标准》的有关规定。</w:t>
      </w:r>
    </w:p>
    <w:p w14:paraId="42D2B8E1">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第27条 </w:t>
      </w:r>
      <w:r>
        <w:rPr>
          <w:rFonts w:hint="eastAsia" w:ascii="方正书宋简体" w:hAnsi="方正书宋简体" w:eastAsia="方正书宋简体" w:cs="方正书宋简体"/>
          <w:b/>
          <w:bCs/>
          <w:snapToGrid/>
          <w:color w:val="auto"/>
          <w:kern w:val="2"/>
          <w:sz w:val="21"/>
          <w:szCs w:val="21"/>
          <w:highlight w:val="none"/>
          <w:lang w:val="en-US" w:eastAsia="zh-CN"/>
        </w:rPr>
        <w:t>避难建筑场地条件</w:t>
      </w:r>
    </w:p>
    <w:p w14:paraId="1BEB5E7A">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避开地震断裂带，且避让距离不应小于避震断裂的两侧各200m。不应将未经处理的液化土层作为天然地基持力层；所采取的地基液化沉陷处理措施应使处理后的地基液化指数不大于5。避难建筑周边场地应设置不少于2个安全疏散出入口，出入口处应设置与避难人数相应的集散空间。避难建筑不应受其他建筑物的倒塌或破坏影响。除防洪避难建筑外，其他避难建筑宜为单层建筑，采用多层避难建筑时，避难人员宿住功能不应设在三层以上的楼层。</w:t>
      </w:r>
    </w:p>
    <w:p w14:paraId="376EC9C0">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pPr>
      <w:bookmarkStart w:id="280" w:name="bookmark27"/>
      <w:bookmarkEnd w:id="280"/>
    </w:p>
    <w:p w14:paraId="6678313E">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val="0"/>
          <w:i w:val="0"/>
          <w:snapToGrid/>
          <w:color w:val="auto"/>
          <w:kern w:val="2"/>
          <w:sz w:val="21"/>
          <w:szCs w:val="21"/>
          <w:lang w:val="en-US" w:eastAsia="zh-CN" w:bidi="ar-SA"/>
        </w:rPr>
        <w:sectPr>
          <w:type w:val="continuous"/>
          <w:pgSz w:w="11906" w:h="16838"/>
          <w:pgMar w:top="1701" w:right="1247" w:bottom="1701" w:left="1247" w:header="1134" w:footer="1109" w:gutter="0"/>
          <w:pgNumType w:fmt="decimal"/>
          <w:cols w:equalWidth="0" w:num="2">
            <w:col w:w="4493" w:space="425"/>
            <w:col w:w="4493"/>
          </w:cols>
        </w:sectPr>
      </w:pPr>
    </w:p>
    <w:p w14:paraId="125F7B08">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0" w:firstLineChars="200"/>
        <w:jc w:val="center"/>
        <w:textAlignment w:val="auto"/>
        <w:outlineLvl w:val="2"/>
        <w:rPr>
          <w:rFonts w:hint="eastAsia" w:ascii="方正书宋简体" w:hAnsi="方正书宋简体" w:eastAsia="方正书宋简体" w:cs="方正书宋简体"/>
          <w:b w:val="0"/>
          <w:snapToGrid/>
          <w:color w:val="auto"/>
          <w:kern w:val="2"/>
          <w:sz w:val="21"/>
          <w:szCs w:val="21"/>
          <w:lang w:val="en-US" w:eastAsia="zh-CN" w:bidi="ar-SA"/>
        </w:rPr>
      </w:pPr>
      <w:bookmarkStart w:id="281" w:name="_Toc2862"/>
      <w:bookmarkStart w:id="282" w:name="_Toc27498"/>
      <w:bookmarkStart w:id="283" w:name="_Toc20000"/>
      <w:bookmarkStart w:id="284" w:name="_Toc22878"/>
      <w:bookmarkStart w:id="285" w:name="_Toc14538"/>
      <w:bookmarkStart w:id="286" w:name="_Toc27764"/>
      <w:bookmarkStart w:id="287" w:name="_Toc26553"/>
      <w:bookmarkStart w:id="288" w:name="_Toc15086"/>
    </w:p>
    <w:p w14:paraId="3897A14A">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center"/>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lang w:val="en-US" w:eastAsia="zh-CN" w:bidi="ar-SA"/>
        </w:rPr>
        <w:t>第二节　</w:t>
      </w:r>
      <w:r>
        <w:rPr>
          <w:rFonts w:hint="eastAsia" w:ascii="方正书宋简体" w:hAnsi="方正书宋简体" w:eastAsia="方正书宋简体" w:cs="方正书宋简体"/>
          <w:b/>
          <w:bCs/>
          <w:snapToGrid/>
          <w:color w:val="auto"/>
          <w:kern w:val="2"/>
          <w:sz w:val="21"/>
          <w:szCs w:val="21"/>
          <w:highlight w:val="none"/>
          <w:lang w:val="en-US" w:eastAsia="zh-CN"/>
        </w:rPr>
        <w:t>服务范围</w:t>
      </w:r>
      <w:bookmarkEnd w:id="281"/>
      <w:bookmarkEnd w:id="282"/>
      <w:bookmarkEnd w:id="283"/>
      <w:bookmarkEnd w:id="284"/>
      <w:bookmarkEnd w:id="285"/>
      <w:bookmarkEnd w:id="286"/>
      <w:bookmarkEnd w:id="287"/>
      <w:bookmarkEnd w:id="288"/>
    </w:p>
    <w:p w14:paraId="6B4E3DB9">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val="0"/>
          <w:i w:val="0"/>
          <w:snapToGrid/>
          <w:color w:val="auto"/>
          <w:kern w:val="2"/>
          <w:sz w:val="21"/>
          <w:szCs w:val="21"/>
          <w:lang w:val="en-US" w:eastAsia="zh-CN" w:bidi="ar-SA"/>
        </w:rPr>
        <w:sectPr>
          <w:type w:val="continuous"/>
          <w:pgSz w:w="11906" w:h="16838"/>
          <w:pgMar w:top="1701" w:right="1247" w:bottom="1701" w:left="1247" w:header="1134" w:footer="1109" w:gutter="0"/>
          <w:pgNumType w:fmt="decimal"/>
          <w:cols w:space="425" w:num="1"/>
        </w:sectPr>
      </w:pPr>
    </w:p>
    <w:p w14:paraId="7457F8F1">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第28条 </w:t>
      </w:r>
      <w:r>
        <w:rPr>
          <w:rFonts w:hint="eastAsia" w:ascii="方正书宋简体" w:hAnsi="方正书宋简体" w:eastAsia="方正书宋简体" w:cs="方正书宋简体"/>
          <w:b/>
          <w:bCs/>
          <w:snapToGrid/>
          <w:color w:val="auto"/>
          <w:kern w:val="2"/>
          <w:sz w:val="21"/>
          <w:szCs w:val="21"/>
          <w:highlight w:val="none"/>
          <w:lang w:val="en-US" w:eastAsia="zh-CN"/>
        </w:rPr>
        <w:t>紧急避难场所</w:t>
      </w:r>
    </w:p>
    <w:p w14:paraId="2DADC8F4">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紧急避难场所用于向服务半径内应急避难人员提供紧急避险，并具备符合应急避难功能基本配置要求的应急设施设备和物资的避难场所，也是应急避难人员集合并转移到其他类型避难场所的过渡性场所。服务半径在1km以内，步行10min～15min可达。</w:t>
      </w:r>
    </w:p>
    <w:p w14:paraId="30A1271F">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第29条 </w:t>
      </w:r>
      <w:r>
        <w:rPr>
          <w:rFonts w:hint="eastAsia" w:ascii="方正书宋简体" w:hAnsi="方正书宋简体" w:eastAsia="方正书宋简体" w:cs="方正书宋简体"/>
          <w:b/>
          <w:bCs/>
          <w:snapToGrid/>
          <w:color w:val="auto"/>
          <w:kern w:val="2"/>
          <w:sz w:val="21"/>
          <w:szCs w:val="21"/>
          <w:highlight w:val="none"/>
          <w:lang w:val="en-US" w:eastAsia="zh-CN"/>
        </w:rPr>
        <w:t>短期避难场所</w:t>
      </w:r>
    </w:p>
    <w:p w14:paraId="73CAEA11">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短期避难场所用于向服务半径内应急避难人员提供紧急避险和短时间避难安置及集中救助，并具备符合应急避难功能配置要求的应急设施设备和物资的避难场所，服务半径在2.5km以内，步行30min～40min可达。</w:t>
      </w:r>
    </w:p>
    <w:p w14:paraId="531DDCB0">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第30条 </w:t>
      </w:r>
      <w:r>
        <w:rPr>
          <w:rFonts w:hint="eastAsia" w:ascii="方正书宋简体" w:hAnsi="方正书宋简体" w:eastAsia="方正书宋简体" w:cs="方正书宋简体"/>
          <w:b/>
          <w:bCs/>
          <w:snapToGrid/>
          <w:color w:val="auto"/>
          <w:kern w:val="2"/>
          <w:sz w:val="21"/>
          <w:szCs w:val="21"/>
          <w:highlight w:val="none"/>
          <w:lang w:val="en-US" w:eastAsia="zh-CN"/>
        </w:rPr>
        <w:t>长期避难场所</w:t>
      </w:r>
    </w:p>
    <w:p w14:paraId="481C17F6">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长期避难场所用于向服务半径内应急避难人员提供紧急避险和长时间避难安置及集中救助，并具备符合应急避难功能配置要求的应急设施设备和物资的避难场所，服务半径在5km以内，步行70min～90min可达。</w:t>
      </w:r>
    </w:p>
    <w:p w14:paraId="6D2A2D7A">
      <w:pPr>
        <w:pStyle w:val="3"/>
        <w:keepNext w:val="0"/>
        <w:pageBreakBefore w:val="0"/>
        <w:widowControl w:val="0"/>
        <w:numPr>
          <w:ilvl w:val="1"/>
          <w:numId w:val="5"/>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firstLine="403"/>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equalWidth="0" w:num="2">
            <w:col w:w="4493" w:space="425"/>
            <w:col w:w="4493"/>
          </w:cols>
        </w:sectPr>
      </w:pPr>
      <w:bookmarkStart w:id="289" w:name="bookmark28"/>
      <w:bookmarkEnd w:id="289"/>
      <w:bookmarkStart w:id="290" w:name="_Toc23364"/>
      <w:bookmarkStart w:id="291" w:name="_Toc516"/>
      <w:bookmarkStart w:id="292" w:name="_Toc7832"/>
      <w:bookmarkStart w:id="293" w:name="_Toc14384"/>
      <w:bookmarkStart w:id="294" w:name="_Toc17811"/>
      <w:bookmarkStart w:id="295" w:name="_Toc26433"/>
      <w:bookmarkStart w:id="296" w:name="_Toc2886"/>
      <w:bookmarkStart w:id="297" w:name="_Toc24318"/>
    </w:p>
    <w:p w14:paraId="5180C65F">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val="0"/>
          <w:snapToGrid/>
          <w:color w:val="auto"/>
          <w:kern w:val="2"/>
          <w:sz w:val="21"/>
          <w:szCs w:val="21"/>
          <w:lang w:val="en-US" w:eastAsia="zh-CN" w:bidi="ar-SA"/>
        </w:rPr>
      </w:pPr>
    </w:p>
    <w:p w14:paraId="642469D8">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lang w:val="en-US" w:eastAsia="zh-CN" w:bidi="ar-SA"/>
        </w:rPr>
        <w:t>第三节　</w:t>
      </w:r>
      <w:r>
        <w:rPr>
          <w:rFonts w:hint="eastAsia" w:ascii="方正书宋简体" w:hAnsi="方正书宋简体" w:eastAsia="方正书宋简体" w:cs="方正书宋简体"/>
          <w:b/>
          <w:bCs/>
          <w:snapToGrid/>
          <w:color w:val="auto"/>
          <w:kern w:val="2"/>
          <w:sz w:val="21"/>
          <w:szCs w:val="21"/>
          <w:highlight w:val="none"/>
          <w:lang w:val="en-US" w:eastAsia="zh-CN"/>
        </w:rPr>
        <w:t>功能区</w:t>
      </w:r>
      <w:bookmarkEnd w:id="290"/>
      <w:bookmarkEnd w:id="291"/>
      <w:bookmarkEnd w:id="292"/>
      <w:bookmarkEnd w:id="293"/>
      <w:bookmarkEnd w:id="294"/>
      <w:bookmarkEnd w:id="295"/>
      <w:bookmarkEnd w:id="296"/>
      <w:bookmarkEnd w:id="297"/>
    </w:p>
    <w:p w14:paraId="7AC53EB0">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p>
    <w:p w14:paraId="536B7D01">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急避难场所管理单位或者产权单位应当根据应急避难场所规划与建设的需要科学划分功能区域。应急避难场所按功能分为指挥管理区、医疗救治区、物资储备区、应急集散区、应急宿住区、清洁盥洗区、垃圾储运区、应急停车区、防疫隔离区、餐饮服务区、文体活动区、临时教学区、公共服务区、直升机起降区等。</w:t>
      </w:r>
    </w:p>
    <w:p w14:paraId="677E93AC">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第31条 </w:t>
      </w:r>
      <w:r>
        <w:rPr>
          <w:rFonts w:hint="eastAsia" w:ascii="方正书宋简体" w:hAnsi="方正书宋简体" w:eastAsia="方正书宋简体" w:cs="方正书宋简体"/>
          <w:b/>
          <w:bCs/>
          <w:snapToGrid/>
          <w:color w:val="auto"/>
          <w:kern w:val="2"/>
          <w:sz w:val="21"/>
          <w:szCs w:val="21"/>
          <w:highlight w:val="none"/>
          <w:lang w:val="en-US" w:eastAsia="zh-CN"/>
        </w:rPr>
        <w:t>紧急避难场所</w:t>
      </w:r>
    </w:p>
    <w:p w14:paraId="31E6654D">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紧急避难场所应设置应急集散区、指挥管理区、医疗救治区、物资储备区、清洁盥洗区、垃圾储运区、应急停车区等功能区。</w:t>
      </w:r>
    </w:p>
    <w:p w14:paraId="041BA4CE">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第32条 </w:t>
      </w:r>
      <w:r>
        <w:rPr>
          <w:rFonts w:hint="eastAsia" w:ascii="方正书宋简体" w:hAnsi="方正书宋简体" w:eastAsia="方正书宋简体" w:cs="方正书宋简体"/>
          <w:b/>
          <w:bCs/>
          <w:snapToGrid/>
          <w:color w:val="auto"/>
          <w:kern w:val="2"/>
          <w:sz w:val="21"/>
          <w:szCs w:val="21"/>
          <w:highlight w:val="none"/>
          <w:lang w:val="en-US" w:eastAsia="zh-CN"/>
        </w:rPr>
        <w:t>短期避难场所</w:t>
      </w:r>
    </w:p>
    <w:p w14:paraId="27EDFD67">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在紧急避难场所功能区设置的基础上，增设应急宿住区、防疫隔离区、餐饮服务区等功能区。</w:t>
      </w:r>
    </w:p>
    <w:p w14:paraId="66355D27">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第33条 </w:t>
      </w:r>
      <w:r>
        <w:rPr>
          <w:rFonts w:hint="eastAsia" w:ascii="方正书宋简体" w:hAnsi="方正书宋简体" w:eastAsia="方正书宋简体" w:cs="方正书宋简体"/>
          <w:b/>
          <w:bCs/>
          <w:snapToGrid/>
          <w:color w:val="auto"/>
          <w:kern w:val="2"/>
          <w:sz w:val="21"/>
          <w:szCs w:val="21"/>
          <w:highlight w:val="none"/>
          <w:lang w:val="en-US" w:eastAsia="zh-CN"/>
        </w:rPr>
        <w:t>长期避难场所</w:t>
      </w:r>
    </w:p>
    <w:p w14:paraId="7AF93F7F">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在短期避难场所功能区设置的基础上，增设文体活动区、临时教学区、公共服务区、直升机起降区等功能区。</w:t>
      </w:r>
    </w:p>
    <w:p w14:paraId="190CFAC1">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各类应急避难场所的功能分区设置参考《应急避难场所设施设备及物资配置》（YJ/T26-2024）。</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r>
        <w:rPr>
          <w:rFonts w:hint="eastAsia" w:ascii="方正书宋简体" w:hAnsi="方正书宋简体" w:eastAsia="方正书宋简体" w:cs="方正书宋简体"/>
          <w:snapToGrid/>
          <w:color w:val="auto"/>
          <w:kern w:val="2"/>
          <w:sz w:val="21"/>
          <w:szCs w:val="21"/>
          <w:highlight w:val="none"/>
          <w:lang w:val="en-US" w:eastAsia="zh-CN"/>
        </w:rPr>
        <w:t>详见附表7</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r>
        <w:rPr>
          <w:rFonts w:hint="eastAsia" w:ascii="方正书宋简体" w:hAnsi="方正书宋简体" w:eastAsia="方正书宋简体" w:cs="方正书宋简体"/>
          <w:snapToGrid/>
          <w:color w:val="auto"/>
          <w:kern w:val="2"/>
          <w:sz w:val="21"/>
          <w:szCs w:val="21"/>
          <w:highlight w:val="none"/>
          <w:lang w:val="en-US" w:eastAsia="zh-CN"/>
        </w:rPr>
        <w:t>。</w:t>
      </w:r>
    </w:p>
    <w:p w14:paraId="5D9C1898">
      <w:pPr>
        <w:pStyle w:val="3"/>
        <w:keepNext w:val="0"/>
        <w:pageBreakBefore w:val="0"/>
        <w:widowControl w:val="0"/>
        <w:numPr>
          <w:ilvl w:val="1"/>
          <w:numId w:val="5"/>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firstLine="403"/>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equalWidth="0" w:num="2">
            <w:col w:w="4493" w:space="425"/>
            <w:col w:w="4493"/>
          </w:cols>
        </w:sectPr>
      </w:pPr>
      <w:bookmarkStart w:id="298" w:name="_Toc7382"/>
      <w:bookmarkStart w:id="299" w:name="_Toc22161"/>
      <w:bookmarkStart w:id="300" w:name="_Toc31062"/>
      <w:bookmarkStart w:id="301" w:name="_Toc6559"/>
      <w:bookmarkStart w:id="302" w:name="_Toc30970"/>
      <w:bookmarkStart w:id="303" w:name="_Toc27505"/>
      <w:bookmarkStart w:id="304" w:name="_Toc29092"/>
      <w:bookmarkStart w:id="305" w:name="_Toc32355"/>
    </w:p>
    <w:p w14:paraId="3C679995">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bCs/>
          <w:snapToGrid/>
          <w:color w:val="auto"/>
          <w:kern w:val="2"/>
          <w:sz w:val="21"/>
          <w:szCs w:val="21"/>
          <w:lang w:val="en-US" w:eastAsia="zh-CN" w:bidi="ar-SA"/>
        </w:rPr>
      </w:pPr>
    </w:p>
    <w:p w14:paraId="1FF19587">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lang w:val="en-US" w:eastAsia="zh-CN" w:bidi="ar-SA"/>
        </w:rPr>
        <w:t>第四节　</w:t>
      </w:r>
      <w:r>
        <w:rPr>
          <w:rFonts w:hint="eastAsia" w:ascii="方正书宋简体" w:hAnsi="方正书宋简体" w:eastAsia="方正书宋简体" w:cs="方正书宋简体"/>
          <w:b/>
          <w:bCs/>
          <w:snapToGrid/>
          <w:color w:val="auto"/>
          <w:kern w:val="2"/>
          <w:sz w:val="21"/>
          <w:szCs w:val="21"/>
          <w:highlight w:val="none"/>
          <w:lang w:val="en-US" w:eastAsia="zh-CN"/>
        </w:rPr>
        <w:t>设施设备</w:t>
      </w:r>
      <w:bookmarkEnd w:id="298"/>
      <w:bookmarkEnd w:id="299"/>
      <w:bookmarkEnd w:id="300"/>
      <w:bookmarkEnd w:id="301"/>
      <w:bookmarkEnd w:id="302"/>
      <w:bookmarkEnd w:id="303"/>
      <w:bookmarkEnd w:id="304"/>
      <w:bookmarkEnd w:id="305"/>
    </w:p>
    <w:p w14:paraId="66EDA7CA">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p>
    <w:p w14:paraId="79CAED3F">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第34条 </w:t>
      </w:r>
      <w:r>
        <w:rPr>
          <w:rFonts w:hint="eastAsia" w:ascii="方正书宋简体" w:hAnsi="方正书宋简体" w:eastAsia="方正书宋简体" w:cs="方正书宋简体"/>
          <w:b/>
          <w:bCs/>
          <w:snapToGrid/>
          <w:color w:val="auto"/>
          <w:kern w:val="2"/>
          <w:sz w:val="21"/>
          <w:szCs w:val="21"/>
          <w:highlight w:val="none"/>
          <w:lang w:val="en-US" w:eastAsia="zh-CN"/>
        </w:rPr>
        <w:t>紧急避难场所</w:t>
      </w:r>
    </w:p>
    <w:p w14:paraId="53470C2B">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紧急避难场所应配置保障其功能区基本功能的设施和应急供电、应急供水、应急消防、应急通风、应急供暖、应急通道、抢修抢建、无障碍、标志标识等需要的设施设备及物资。</w:t>
      </w:r>
    </w:p>
    <w:p w14:paraId="57CC04C6">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第35条 </w:t>
      </w:r>
      <w:r>
        <w:rPr>
          <w:rFonts w:hint="eastAsia" w:ascii="方正书宋简体" w:hAnsi="方正书宋简体" w:eastAsia="方正书宋简体" w:cs="方正书宋简体"/>
          <w:b/>
          <w:bCs/>
          <w:snapToGrid/>
          <w:color w:val="auto"/>
          <w:kern w:val="2"/>
          <w:sz w:val="21"/>
          <w:szCs w:val="21"/>
          <w:highlight w:val="none"/>
          <w:lang w:val="en-US" w:eastAsia="zh-CN"/>
        </w:rPr>
        <w:t>短期避难场所</w:t>
      </w:r>
    </w:p>
    <w:p w14:paraId="49D71C45">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在紧急避难场所功能区设置的基础上，根据新增功能区，增配保障功能区基本功能的设施和应急排污、安全保卫等需要的设施设备及物资。</w:t>
      </w:r>
    </w:p>
    <w:p w14:paraId="31292486">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第36条 </w:t>
      </w:r>
      <w:r>
        <w:rPr>
          <w:rFonts w:hint="eastAsia" w:ascii="方正书宋简体" w:hAnsi="方正书宋简体" w:eastAsia="方正书宋简体" w:cs="方正书宋简体"/>
          <w:b/>
          <w:bCs/>
          <w:snapToGrid/>
          <w:color w:val="auto"/>
          <w:kern w:val="2"/>
          <w:sz w:val="21"/>
          <w:szCs w:val="21"/>
          <w:highlight w:val="none"/>
          <w:lang w:val="en-US" w:eastAsia="zh-CN"/>
        </w:rPr>
        <w:t>长期避难场所</w:t>
      </w:r>
    </w:p>
    <w:p w14:paraId="58506047">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在短期避难场所功能区设置的基础上，根据新增功能区，增配保障功能区基本功能需要的设施设备及物资。</w:t>
      </w:r>
    </w:p>
    <w:p w14:paraId="4A4332FE">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各类场所设施设备配置参考《应急避难场所设施设备及物资配置》（YJ/T26-2024）。</w:t>
      </w:r>
    </w:p>
    <w:p w14:paraId="247897AA">
      <w:pPr>
        <w:pStyle w:val="3"/>
        <w:keepNext w:val="0"/>
        <w:pageBreakBefore w:val="0"/>
        <w:widowControl w:val="0"/>
        <w:numPr>
          <w:ilvl w:val="1"/>
          <w:numId w:val="5"/>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firstLine="403"/>
        <w:jc w:val="center"/>
        <w:textAlignment w:val="auto"/>
        <w:rPr>
          <w:rFonts w:hint="eastAsia" w:ascii="方正书宋简体" w:hAnsi="方正书宋简体" w:eastAsia="方正书宋简体" w:cs="方正书宋简体"/>
          <w:b w:val="0"/>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equalWidth="0" w:num="2">
            <w:col w:w="4493" w:space="425"/>
            <w:col w:w="4493"/>
          </w:cols>
        </w:sectPr>
      </w:pPr>
      <w:bookmarkStart w:id="306" w:name="bookmark30"/>
      <w:bookmarkEnd w:id="306"/>
      <w:bookmarkStart w:id="307" w:name="_Toc11528"/>
      <w:bookmarkStart w:id="308" w:name="_Toc14295"/>
      <w:bookmarkStart w:id="309" w:name="_Toc8427"/>
      <w:bookmarkStart w:id="310" w:name="_Toc31450"/>
      <w:bookmarkStart w:id="311" w:name="_Toc10988"/>
      <w:bookmarkStart w:id="312" w:name="_Toc27557"/>
      <w:bookmarkStart w:id="313" w:name="_Toc17231"/>
      <w:bookmarkStart w:id="314" w:name="_Toc30684"/>
    </w:p>
    <w:p w14:paraId="06859F5A">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val="0"/>
          <w:snapToGrid/>
          <w:color w:val="auto"/>
          <w:kern w:val="2"/>
          <w:sz w:val="21"/>
          <w:szCs w:val="21"/>
          <w:lang w:val="en-US" w:eastAsia="zh-CN" w:bidi="ar-SA"/>
        </w:rPr>
      </w:pPr>
    </w:p>
    <w:p w14:paraId="4044E5CA">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lang w:val="en-US" w:eastAsia="zh-CN" w:bidi="ar-SA"/>
        </w:rPr>
        <w:t>第五节　</w:t>
      </w:r>
      <w:r>
        <w:rPr>
          <w:rFonts w:hint="eastAsia" w:ascii="方正书宋简体" w:hAnsi="方正书宋简体" w:eastAsia="方正书宋简体" w:cs="方正书宋简体"/>
          <w:b/>
          <w:bCs/>
          <w:snapToGrid/>
          <w:color w:val="auto"/>
          <w:kern w:val="2"/>
          <w:sz w:val="21"/>
          <w:szCs w:val="21"/>
          <w:highlight w:val="none"/>
          <w:lang w:val="en-US" w:eastAsia="zh-CN"/>
        </w:rPr>
        <w:t>物资储备</w:t>
      </w:r>
      <w:bookmarkEnd w:id="307"/>
      <w:bookmarkEnd w:id="308"/>
      <w:bookmarkEnd w:id="309"/>
      <w:bookmarkEnd w:id="310"/>
      <w:bookmarkEnd w:id="311"/>
      <w:bookmarkEnd w:id="312"/>
      <w:bookmarkEnd w:id="313"/>
      <w:bookmarkEnd w:id="314"/>
    </w:p>
    <w:p w14:paraId="25BBC654">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p>
    <w:p w14:paraId="615D6EBA">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r>
        <w:rPr>
          <w:rFonts w:hint="eastAsia" w:ascii="方正书宋简体" w:hAnsi="方正书宋简体" w:eastAsia="方正书宋简体" w:cs="方正书宋简体"/>
          <w:snapToGrid/>
          <w:color w:val="auto"/>
          <w:kern w:val="2"/>
          <w:sz w:val="21"/>
          <w:szCs w:val="21"/>
          <w:highlight w:val="none"/>
          <w:lang w:val="en-US" w:eastAsia="zh-CN"/>
        </w:rPr>
        <w:t>各类场所物资配备要求与各类场所功能区及设施设备配置相协调，具体物资配置参考《应急避难场所设施设备及物资配置》（YJ/T26-2024）。</w:t>
      </w:r>
    </w:p>
    <w:p w14:paraId="13E2D53A">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p>
    <w:p w14:paraId="6956A60C">
      <w:pPr>
        <w:pStyle w:val="10"/>
        <w:pageBreakBefore w:val="0"/>
        <w:wordWrap/>
        <w:overflowPunct/>
        <w:topLinePunct w:val="0"/>
        <w:bidi w:val="0"/>
        <w:spacing w:line="310" w:lineRule="exact"/>
        <w:rPr>
          <w:rFonts w:hint="eastAsia" w:ascii="方正书宋简体" w:hAnsi="方正书宋简体" w:eastAsia="方正书宋简体" w:cs="方正书宋简体"/>
          <w:color w:val="auto"/>
          <w:sz w:val="21"/>
          <w:szCs w:val="21"/>
          <w:highlight w:val="none"/>
        </w:rPr>
      </w:pPr>
    </w:p>
    <w:p w14:paraId="5C80AC16">
      <w:pPr>
        <w:pStyle w:val="3"/>
        <w:keepNext w:val="0"/>
        <w:pageBreakBefore w:val="0"/>
        <w:widowControl w:val="0"/>
        <w:numPr>
          <w:ilvl w:val="1"/>
          <w:numId w:val="0"/>
        </w:numPr>
        <w:tabs>
          <w:tab w:val="left" w:pos="0"/>
          <w:tab w:val="left" w:pos="420"/>
          <w:tab w:val="left" w:pos="567"/>
          <w:tab w:val="left" w:pos="1134"/>
          <w:tab w:val="left" w:pos="1701"/>
          <w:tab w:val="left" w:pos="2835"/>
        </w:tabs>
        <w:kinsoku/>
        <w:wordWrap/>
        <w:overflowPunct/>
        <w:topLinePunct w:val="0"/>
        <w:autoSpaceDE/>
        <w:autoSpaceDN/>
        <w:bidi w:val="0"/>
        <w:adjustRightInd/>
        <w:snapToGrid/>
        <w:spacing w:before="156" w:beforeLines="50" w:beforeAutospacing="0" w:after="156" w:afterLines="50" w:afterAutospacing="0" w:line="310" w:lineRule="exact"/>
        <w:ind w:left="0" w:leftChars="0" w:firstLine="403" w:firstLineChars="0"/>
        <w:jc w:val="center"/>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bookmarkStart w:id="315" w:name="bookmark31"/>
      <w:bookmarkEnd w:id="315"/>
      <w:bookmarkStart w:id="316" w:name="_Toc22488"/>
      <w:bookmarkStart w:id="317" w:name="_Toc4096"/>
      <w:bookmarkStart w:id="318" w:name="_Toc4890"/>
      <w:bookmarkStart w:id="319" w:name="_Toc12006"/>
      <w:bookmarkStart w:id="320" w:name="_Toc24362"/>
      <w:bookmarkStart w:id="321" w:name="_Toc25376"/>
      <w:bookmarkStart w:id="322" w:name="_Toc16434"/>
      <w:bookmarkStart w:id="323" w:name="_Toc32000"/>
      <w:r>
        <w:rPr>
          <w:rFonts w:hint="eastAsia" w:ascii="方正书宋简体" w:hAnsi="方正书宋简体" w:eastAsia="方正书宋简体" w:cs="方正书宋简体"/>
          <w:b/>
          <w:bCs/>
          <w:snapToGrid/>
          <w:color w:val="auto"/>
          <w:kern w:val="2"/>
          <w:sz w:val="21"/>
          <w:szCs w:val="21"/>
          <w:lang w:val="en-US" w:eastAsia="zh-CN" w:bidi="ar-SA"/>
        </w:rPr>
        <w:t>第六节　</w:t>
      </w:r>
      <w:r>
        <w:rPr>
          <w:rFonts w:hint="eastAsia" w:ascii="方正书宋简体" w:hAnsi="方正书宋简体" w:eastAsia="方正书宋简体" w:cs="方正书宋简体"/>
          <w:b/>
          <w:bCs/>
          <w:snapToGrid/>
          <w:color w:val="auto"/>
          <w:kern w:val="2"/>
          <w:sz w:val="21"/>
          <w:szCs w:val="21"/>
          <w:highlight w:val="none"/>
          <w:lang w:val="en-US" w:eastAsia="zh-CN"/>
        </w:rPr>
        <w:t>信息系统</w:t>
      </w:r>
      <w:bookmarkEnd w:id="316"/>
      <w:bookmarkEnd w:id="317"/>
      <w:bookmarkEnd w:id="318"/>
      <w:bookmarkEnd w:id="319"/>
      <w:bookmarkEnd w:id="320"/>
      <w:bookmarkEnd w:id="321"/>
      <w:bookmarkEnd w:id="322"/>
      <w:bookmarkEnd w:id="323"/>
    </w:p>
    <w:p w14:paraId="76D637A7">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p>
    <w:p w14:paraId="737663A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r>
        <w:rPr>
          <w:rFonts w:hint="eastAsia" w:ascii="方正书宋简体" w:hAnsi="方正书宋简体" w:eastAsia="方正书宋简体" w:cs="方正书宋简体"/>
          <w:snapToGrid/>
          <w:color w:val="auto"/>
          <w:kern w:val="2"/>
          <w:sz w:val="21"/>
          <w:szCs w:val="21"/>
          <w:highlight w:val="none"/>
          <w:lang w:val="en-US" w:eastAsia="zh-CN"/>
        </w:rPr>
        <w:t>建立健全鄂托克旗应急指挥数字化系统。应急指挥数字化系统包括监测预警系统、应急指挥系统、辅助决策系统等功能。</w:t>
      </w:r>
    </w:p>
    <w:p w14:paraId="5B6DB831">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p>
    <w:p w14:paraId="061B94C4">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p>
    <w:p w14:paraId="3B1DAEDF">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第37条 </w:t>
      </w:r>
      <w:r>
        <w:rPr>
          <w:rFonts w:hint="eastAsia" w:ascii="方正书宋简体" w:hAnsi="方正书宋简体" w:eastAsia="方正书宋简体" w:cs="方正书宋简体"/>
          <w:b/>
          <w:bCs/>
          <w:snapToGrid/>
          <w:color w:val="auto"/>
          <w:kern w:val="2"/>
          <w:sz w:val="21"/>
          <w:szCs w:val="21"/>
          <w:highlight w:val="none"/>
          <w:lang w:val="en-US" w:eastAsia="zh-CN"/>
        </w:rPr>
        <w:t>监测预警系统</w:t>
      </w:r>
    </w:p>
    <w:p w14:paraId="26B930BA">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借助应急基础信息数据库，通过全旗风险隐患分布、安全生产、安全生活、安全生态、救援力量、救援物资、基础设施（路、网、水、电等）数据，针对安全生产、卫生健康、自然灾害等各领域数据资源，进行自动汇聚、识别、关联、融合、大数据分析，找准监测重点，加强对重点行业领域安全风险排查，提高实时监测、动态分析、提升多灾种和灾害链综合监测、风险识别和预报预警，提升应急监测预警能力。</w:t>
      </w:r>
    </w:p>
    <w:p w14:paraId="25F49C84">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第38条 </w:t>
      </w:r>
      <w:r>
        <w:rPr>
          <w:rFonts w:hint="eastAsia" w:ascii="方正书宋简体" w:hAnsi="方正书宋简体" w:eastAsia="方正书宋简体" w:cs="方正书宋简体"/>
          <w:b/>
          <w:bCs/>
          <w:snapToGrid/>
          <w:color w:val="auto"/>
          <w:kern w:val="2"/>
          <w:sz w:val="21"/>
          <w:szCs w:val="21"/>
          <w:highlight w:val="none"/>
          <w:lang w:val="en-US" w:eastAsia="zh-CN"/>
        </w:rPr>
        <w:t>应急指挥系统</w:t>
      </w:r>
    </w:p>
    <w:p w14:paraId="41167E63">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完善鄂托克旗安全生产视频指挥调度和信息系统，通过数据库分析和应急数字平台预警，对应急事件做出初步救援指令，借助视频、数据、APP实时指挥救援行动，安排救援力量，调配救援物资。</w:t>
      </w:r>
    </w:p>
    <w:p w14:paraId="40698E96">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第39条 </w:t>
      </w:r>
      <w:r>
        <w:rPr>
          <w:rFonts w:hint="eastAsia" w:ascii="方正书宋简体" w:hAnsi="方正书宋简体" w:eastAsia="方正书宋简体" w:cs="方正书宋简体"/>
          <w:b/>
          <w:bCs/>
          <w:snapToGrid/>
          <w:color w:val="auto"/>
          <w:kern w:val="2"/>
          <w:sz w:val="21"/>
          <w:szCs w:val="21"/>
          <w:highlight w:val="none"/>
          <w:lang w:val="en-US" w:eastAsia="zh-CN"/>
        </w:rPr>
        <w:t>辅助决策系统</w:t>
      </w:r>
    </w:p>
    <w:p w14:paraId="67BCE98B">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应急管理指挥部借助应急综合数据库、现场数据、监测信息、救助信息等，通过数字应急平台，随时智能化预警预报，有效动员和调度各种资源，帮助决策应急救援行动。</w:t>
      </w:r>
    </w:p>
    <w:p w14:paraId="03DA7895">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第40条 </w:t>
      </w:r>
      <w:r>
        <w:rPr>
          <w:rFonts w:hint="eastAsia" w:ascii="方正书宋简体" w:hAnsi="方正书宋简体" w:eastAsia="方正书宋简体" w:cs="方正书宋简体"/>
          <w:b/>
          <w:bCs/>
          <w:snapToGrid/>
          <w:color w:val="auto"/>
          <w:kern w:val="2"/>
          <w:sz w:val="21"/>
          <w:szCs w:val="21"/>
          <w:highlight w:val="none"/>
          <w:lang w:val="en-US" w:eastAsia="zh-CN"/>
        </w:rPr>
        <w:t>场所信息管理系统</w:t>
      </w:r>
    </w:p>
    <w:p w14:paraId="14DB4B2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实现对全旗范围内所有应急避难场所的信息化管理。通过地图定位、数据录入等方式，准确记录每个避难场所的位置、容量、设施设备等关键信息，并实时更新场所状态，确保信息的准确性和时效性，为应对突发事件提供便利。</w:t>
      </w:r>
    </w:p>
    <w:p w14:paraId="7A91B320">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依托应急指挥数字系统框架，以应急指挥中心为核心，形成覆盖全旗各苏木镇和相关企业的信息化集中监测中心，实现对全旗突发事件分析、鉴别、应急方案模型，建立仿真与模拟网络，进行演习与培训。建成包括实时监测、科学预测、及时发布和动态反馈评估功能的层次结构群体决策体系。通过信息化、智能化管理，使全旗范围内突发事件得到及时控制与处理。</w:t>
      </w:r>
    </w:p>
    <w:p w14:paraId="0B0A23DF">
      <w:pPr>
        <w:pStyle w:val="2"/>
        <w:keepNext/>
        <w:keepLines/>
        <w:pageBreakBefore w:val="0"/>
        <w:widowControl w:val="0"/>
        <w:numPr>
          <w:ilvl w:val="0"/>
          <w:numId w:val="3"/>
        </w:numPr>
        <w:kinsoku/>
        <w:wordWrap/>
        <w:overflowPunct/>
        <w:topLinePunct w:val="0"/>
        <w:autoSpaceDE/>
        <w:autoSpaceDN/>
        <w:bidi w:val="0"/>
        <w:adjustRightInd w:val="0"/>
        <w:snapToGrid w:val="0"/>
        <w:spacing w:before="0" w:beforeLines="100" w:beforeAutospacing="0" w:after="0" w:afterLines="100" w:afterAutospacing="0" w:line="310" w:lineRule="exact"/>
        <w:ind w:left="0" w:firstLine="0" w:firstLineChars="0"/>
        <w:jc w:val="center"/>
        <w:textAlignment w:val="auto"/>
        <w:rPr>
          <w:rFonts w:hint="eastAsia" w:ascii="方正书宋简体" w:hAnsi="方正书宋简体" w:eastAsia="方正书宋简体" w:cs="方正书宋简体"/>
          <w:b w:val="0"/>
          <w:bCs/>
          <w:snapToGrid/>
          <w:color w:val="auto"/>
          <w:sz w:val="21"/>
          <w:szCs w:val="21"/>
          <w:highlight w:val="none"/>
          <w:lang w:eastAsia="zh-CN"/>
        </w:rPr>
        <w:sectPr>
          <w:type w:val="continuous"/>
          <w:pgSz w:w="11906" w:h="16838"/>
          <w:pgMar w:top="1701" w:right="1247" w:bottom="1701" w:left="1247" w:header="850" w:footer="1109" w:gutter="0"/>
          <w:pgNumType w:fmt="decimal"/>
          <w:cols w:equalWidth="0" w:num="2">
            <w:col w:w="4493" w:space="425"/>
            <w:col w:w="4493"/>
          </w:cols>
        </w:sectPr>
      </w:pPr>
      <w:bookmarkStart w:id="324" w:name="bookmark33"/>
      <w:bookmarkEnd w:id="324"/>
      <w:bookmarkStart w:id="325" w:name="bookmark32"/>
      <w:bookmarkEnd w:id="325"/>
      <w:bookmarkStart w:id="326" w:name="_Toc6310"/>
      <w:bookmarkStart w:id="327" w:name="_Toc19000"/>
      <w:bookmarkStart w:id="328" w:name="_Toc14643"/>
      <w:bookmarkStart w:id="329" w:name="_Toc25705"/>
      <w:bookmarkStart w:id="330" w:name="_Toc22188"/>
      <w:bookmarkStart w:id="331" w:name="_Toc6966"/>
      <w:bookmarkStart w:id="332" w:name="_Toc30767"/>
      <w:bookmarkStart w:id="333" w:name="_Toc28849"/>
    </w:p>
    <w:p w14:paraId="2F7B5C5D">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100" w:beforeAutospacing="0" w:after="0" w:afterLines="100" w:afterAutospacing="0" w:line="310" w:lineRule="exact"/>
        <w:ind w:left="0" w:leftChars="0" w:firstLine="0" w:firstLineChars="0"/>
        <w:jc w:val="center"/>
        <w:textAlignment w:val="auto"/>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pPr>
    </w:p>
    <w:p w14:paraId="47AEC8A6">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100" w:beforeAutospacing="0" w:after="0" w:afterLines="100" w:afterAutospacing="0" w:line="310" w:lineRule="exact"/>
        <w:ind w:left="0" w:leftChars="0" w:firstLine="0" w:firstLineChars="0"/>
        <w:jc w:val="center"/>
        <w:textAlignment w:val="auto"/>
        <w:rPr>
          <w:rFonts w:hint="eastAsia" w:ascii="方正书宋简体" w:hAnsi="方正书宋简体" w:eastAsia="方正书宋简体" w:cs="方正书宋简体"/>
          <w:b/>
          <w:bCs/>
          <w:snapToGrid/>
          <w:color w:val="auto"/>
          <w:sz w:val="21"/>
          <w:szCs w:val="21"/>
          <w:highlight w:val="none"/>
          <w:lang w:eastAsia="zh-CN"/>
        </w:rPr>
      </w:pPr>
      <w:r>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第六章      </w:t>
      </w:r>
      <w:r>
        <w:rPr>
          <w:rFonts w:hint="eastAsia" w:ascii="方正书宋简体" w:hAnsi="方正书宋简体" w:eastAsia="方正书宋简体" w:cs="方正书宋简体"/>
          <w:b/>
          <w:bCs/>
          <w:snapToGrid/>
          <w:color w:val="auto"/>
          <w:sz w:val="21"/>
          <w:szCs w:val="21"/>
          <w:highlight w:val="none"/>
          <w:lang w:eastAsia="zh-CN"/>
        </w:rPr>
        <w:t>实施安排</w:t>
      </w:r>
      <w:bookmarkEnd w:id="326"/>
      <w:bookmarkEnd w:id="327"/>
      <w:bookmarkEnd w:id="328"/>
      <w:bookmarkEnd w:id="329"/>
      <w:bookmarkEnd w:id="330"/>
      <w:bookmarkEnd w:id="331"/>
      <w:bookmarkEnd w:id="332"/>
      <w:bookmarkEnd w:id="333"/>
    </w:p>
    <w:p w14:paraId="68423D40">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bookmarkStart w:id="334" w:name="bookmark41"/>
      <w:bookmarkEnd w:id="334"/>
      <w:bookmarkStart w:id="335" w:name="_Toc11561"/>
      <w:bookmarkStart w:id="336" w:name="_Toc25166"/>
      <w:bookmarkStart w:id="337" w:name="_Toc18896"/>
      <w:bookmarkStart w:id="338" w:name="_Toc17253"/>
    </w:p>
    <w:p w14:paraId="2EB1580D">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第41条 </w:t>
      </w:r>
      <w:r>
        <w:rPr>
          <w:rFonts w:hint="eastAsia" w:ascii="方正书宋简体" w:hAnsi="方正书宋简体" w:eastAsia="方正书宋简体" w:cs="方正书宋简体"/>
          <w:b/>
          <w:bCs/>
          <w:snapToGrid/>
          <w:color w:val="auto"/>
          <w:kern w:val="2"/>
          <w:sz w:val="21"/>
          <w:szCs w:val="21"/>
          <w:highlight w:val="none"/>
          <w:lang w:val="en-US" w:eastAsia="zh-CN"/>
        </w:rPr>
        <w:t>重点任务</w:t>
      </w:r>
      <w:bookmarkEnd w:id="335"/>
      <w:bookmarkEnd w:id="336"/>
      <w:bookmarkEnd w:id="337"/>
      <w:bookmarkEnd w:id="338"/>
    </w:p>
    <w:p w14:paraId="3F1942AE">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按照远期避难场所规模预测，结合各区域现有应急避难场所分布特征，规划近期重点解决应急避难场所分布不均匀、应急避难服务与人口居住地不匹配、中心城区人均应急避难面积偏低等问题，优先在中心城区区域新增布局应急避难场所。规划近期重点项目以现有避难场所提升改造为主。完善现有应急避难场所功能，配备简易活动房屋、医疗救护、应急供水供电、应急厕所排污垃圾储运、应急通道及应急标志等设施。</w:t>
      </w:r>
    </w:p>
    <w:p w14:paraId="374846CC">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第42条 </w:t>
      </w:r>
      <w:r>
        <w:rPr>
          <w:rFonts w:hint="eastAsia" w:ascii="方正书宋简体" w:hAnsi="方正书宋简体" w:eastAsia="方正书宋简体" w:cs="方正书宋简体"/>
          <w:b/>
          <w:bCs/>
          <w:snapToGrid/>
          <w:color w:val="auto"/>
          <w:kern w:val="2"/>
          <w:sz w:val="21"/>
          <w:szCs w:val="21"/>
          <w:highlight w:val="none"/>
          <w:lang w:val="en-US" w:eastAsia="zh-CN"/>
        </w:rPr>
        <w:t>规划原则</w:t>
      </w:r>
    </w:p>
    <w:p w14:paraId="7C5E9187">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应急避难场所近期建设以现状中心城区、棋盘井中心镇区建成区为重点区域，同时保证其他苏木镇至少建成一个标准化应急避难场所，近期主要解决现状应急避难场所数量不够、分布不均等问题。</w:t>
      </w:r>
    </w:p>
    <w:p w14:paraId="44417E27">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将用地条件好、配套设施全的潜在资源作为应急避难场所近期建设的首选之地。</w:t>
      </w:r>
    </w:p>
    <w:p w14:paraId="1B418A1E">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优先安排居住区、学校、商场等人口密集地区周边的应急避难场所建设。</w:t>
      </w:r>
    </w:p>
    <w:p w14:paraId="72D66997">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加强投资少、配套设施少的嘎查村（社区）级应急避难场所建设。</w:t>
      </w:r>
    </w:p>
    <w:p w14:paraId="12C3F6E2">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339" w:name="_Toc10503"/>
      <w:bookmarkStart w:id="340" w:name="_Toc6623"/>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第43条 </w:t>
      </w:r>
      <w:r>
        <w:rPr>
          <w:rFonts w:hint="eastAsia" w:ascii="方正书宋简体" w:hAnsi="方正书宋简体" w:eastAsia="方正书宋简体" w:cs="方正书宋简体"/>
          <w:b/>
          <w:bCs/>
          <w:snapToGrid/>
          <w:color w:val="auto"/>
          <w:kern w:val="2"/>
          <w:sz w:val="21"/>
          <w:szCs w:val="21"/>
          <w:highlight w:val="none"/>
          <w:lang w:val="en-US" w:eastAsia="zh-CN"/>
        </w:rPr>
        <w:t>实施进度</w:t>
      </w:r>
      <w:bookmarkEnd w:id="339"/>
      <w:bookmarkEnd w:id="340"/>
    </w:p>
    <w:p w14:paraId="58289E6F">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近期实施计划。</w:t>
      </w:r>
      <w:r>
        <w:rPr>
          <w:rFonts w:hint="eastAsia" w:ascii="方正书宋简体" w:hAnsi="方正书宋简体" w:eastAsia="方正书宋简体" w:cs="方正书宋简体"/>
          <w:snapToGrid/>
          <w:color w:val="auto"/>
          <w:kern w:val="2"/>
          <w:sz w:val="21"/>
          <w:szCs w:val="21"/>
          <w:highlight w:val="none"/>
          <w:lang w:val="en-US" w:eastAsia="zh-CN"/>
        </w:rPr>
        <w:t>近期主要针对现状27处场所根据调整完善或标准化改造进行场所标准化建设，其余场所根据现状服务半径需求和经济发展情况利用现有设施改造新增21处。规划2030年前共计完成应急避难场所建设48处，</w:t>
      </w:r>
      <w:r>
        <w:rPr>
          <w:rFonts w:hint="eastAsia" w:ascii="方正书宋简体" w:hAnsi="方正书宋简体" w:eastAsia="方正书宋简体" w:cs="方正书宋简体"/>
          <w:b w:val="0"/>
          <w:bCs w:val="0"/>
          <w:snapToGrid/>
          <w:color w:val="auto"/>
          <w:kern w:val="2"/>
          <w:sz w:val="21"/>
          <w:szCs w:val="21"/>
          <w:highlight w:val="none"/>
          <w:lang w:val="en-US" w:eastAsia="zh-CN"/>
        </w:rPr>
        <w:t>有效应急避难面积28.60公顷，可容纳人口规模13.37万人，综合性应急避难场所可满足全旗所有需避难总人口，人均有效避难面积2.14㎡。具体建设计划详见附表9。</w:t>
      </w:r>
    </w:p>
    <w:p w14:paraId="6632573F">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远期实施计划。</w:t>
      </w:r>
      <w:r>
        <w:rPr>
          <w:rFonts w:hint="eastAsia" w:ascii="方正书宋简体" w:hAnsi="方正书宋简体" w:eastAsia="方正书宋简体" w:cs="方正书宋简体"/>
          <w:snapToGrid/>
          <w:color w:val="auto"/>
          <w:kern w:val="2"/>
          <w:sz w:val="21"/>
          <w:szCs w:val="21"/>
          <w:highlight w:val="none"/>
          <w:lang w:val="en-US" w:eastAsia="zh-CN"/>
        </w:rPr>
        <w:t>远期根据社会经济发展及嘎查村（社区）常住人口分布情况，优先选择嘎查村委会进行应急避难场所改造建设，保证至2035年底前每个嘎查村（社区）有一处标准化应急避难场所。规划远期在2035年前建设的基础上全面完成本次规划179处应急避难场所建设，较近期新增应急避难场所131处，总场所有效应急避难面积达到72.69公顷，可容纳避难人口规模35.73万人，人均有效避难面积2.03㎡。</w:t>
      </w:r>
      <w:bookmarkStart w:id="341" w:name="_Toc6432"/>
      <w:bookmarkStart w:id="342" w:name="_Toc19300"/>
      <w:bookmarkStart w:id="343" w:name="_Toc8512"/>
    </w:p>
    <w:p w14:paraId="79A8428D">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第44条 </w:t>
      </w:r>
      <w:r>
        <w:rPr>
          <w:rFonts w:hint="eastAsia" w:ascii="方正书宋简体" w:hAnsi="方正书宋简体" w:eastAsia="方正书宋简体" w:cs="方正书宋简体"/>
          <w:b/>
          <w:bCs/>
          <w:snapToGrid/>
          <w:color w:val="auto"/>
          <w:kern w:val="2"/>
          <w:sz w:val="21"/>
          <w:szCs w:val="21"/>
          <w:highlight w:val="none"/>
          <w:lang w:val="en-US" w:eastAsia="zh-CN"/>
        </w:rPr>
        <w:t>近期建设具体实施步骤</w:t>
      </w:r>
    </w:p>
    <w:p w14:paraId="33B6F4B9">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在推进近期建设目标落地过程中，场所建设与运维成本是关键实施要素。依据《应急避难场所设施设备及物资配置》（YJ/T26-2024）测算，并结合区域人口分布及公共设施承载能力（按500人规模为基准），紧急应急避难场所聚焦灾害初期1～2天临时避险需求，仅保留应急集散、简易清洁盥洗等核心功能，建设费用为5.5万—7.7万元/处；在此基础上，短期应急避难场所叠加应急宿住、医疗救治等4类功能区，满足灾害持续2—14天过渡保障，建设费用为19.8万—25.3万元/处；长期应急避难场所进一步新增应急指挥管理、固定供水供电等系统及设施，以支撑灾后15天以上持续支持，建设费用为56.1万—64.9万元/处，整体呈现“核心功能→基础保障→完善支持”的层级递加逻辑。</w:t>
      </w:r>
    </w:p>
    <w:p w14:paraId="6959788F">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完成建设后，运维管理需持续跟进。单处500人规模短期应急避难场所，年度运维费用约3万—3.8万元（含设备保养、物资管理、日常台账等）；紧急应急避难场所聚焦核心功能运维，费用为0.8万—1.2万元/年・处；长期应急避难场所因功能复杂，运维费为8.4万—9.7万元/年・处。</w:t>
      </w:r>
    </w:p>
    <w:p w14:paraId="5FE6086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sectPr>
          <w:type w:val="continuous"/>
          <w:pgSz w:w="11906" w:h="16838"/>
          <w:pgMar w:top="1701" w:right="1247" w:bottom="1701" w:left="1247" w:header="850" w:footer="1109" w:gutter="0"/>
          <w:pgNumType w:fmt="decimal"/>
          <w:cols w:equalWidth="0" w:num="2">
            <w:col w:w="4493" w:space="425"/>
            <w:col w:w="4493"/>
          </w:cols>
        </w:sectPr>
      </w:pPr>
      <w:r>
        <w:rPr>
          <w:rFonts w:hint="eastAsia" w:ascii="方正书宋简体" w:hAnsi="方正书宋简体" w:eastAsia="方正书宋简体" w:cs="方正书宋简体"/>
          <w:snapToGrid/>
          <w:color w:val="auto"/>
          <w:kern w:val="2"/>
          <w:sz w:val="21"/>
          <w:szCs w:val="21"/>
          <w:highlight w:val="none"/>
          <w:lang w:val="en-US" w:eastAsia="zh-CN"/>
        </w:rPr>
        <w:t>结合鄂托克旗实际，各场所根据自身功能定位与规模，在对应费用区间内确定具体金额。全旗应急避难场所整体建设费用合计948万元（万元/500人），运维管理投入（万元/500人）合计134.6万元，后续将依此推进建设与运维工作，切实提升区域应急保障能力。下一步，需依据上述标准进一步精准编制资金预算，纳入财政年度计划，统筹推进场所建设及设施配备，严格明确各运维单位职责边界，建立常态化考核机制，确保应急避难体系持续稳定运行，全面提升全域应急避难保障能力。</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r>
        <w:rPr>
          <w:rFonts w:hint="eastAsia" w:ascii="方正书宋简体" w:hAnsi="方正书宋简体" w:eastAsia="方正书宋简体" w:cs="方正书宋简体"/>
          <w:snapToGrid/>
          <w:color w:val="auto"/>
          <w:kern w:val="2"/>
          <w:sz w:val="21"/>
          <w:szCs w:val="21"/>
          <w:highlight w:val="none"/>
          <w:lang w:val="en-US" w:eastAsia="zh-CN"/>
        </w:rPr>
        <w:t>详见附表9</w:t>
      </w:r>
      <w:r>
        <w:rPr>
          <w:rFonts w:hint="eastAsia" w:ascii="方正书宋简体" w:hAnsi="方正书宋简体" w:eastAsia="方正书宋简体" w:cs="方正书宋简体"/>
          <w:snapToGrid/>
          <w:color w:val="000000" w:themeColor="text1"/>
          <w:kern w:val="2"/>
          <w:sz w:val="21"/>
          <w:szCs w:val="21"/>
          <w:highlight w:val="none"/>
          <w:lang w:val="en-US" w:eastAsia="zh-CN"/>
          <w14:textFill>
            <w14:solidFill>
              <w14:schemeClr w14:val="tx1"/>
            </w14:solidFill>
          </w14:textFill>
        </w:rPr>
        <w:t>）</w:t>
      </w:r>
      <w:r>
        <w:rPr>
          <w:rFonts w:hint="eastAsia" w:ascii="方正书宋简体" w:hAnsi="方正书宋简体" w:eastAsia="方正书宋简体" w:cs="方正书宋简体"/>
          <w:snapToGrid/>
          <w:color w:val="auto"/>
          <w:kern w:val="2"/>
          <w:sz w:val="21"/>
          <w:szCs w:val="21"/>
          <w:highlight w:val="none"/>
          <w:lang w:val="en-US" w:eastAsia="zh-CN"/>
        </w:rPr>
        <w:t>。</w:t>
      </w:r>
    </w:p>
    <w:p w14:paraId="3689B5A5">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p>
    <w:p w14:paraId="60D70001">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100" w:beforeAutospacing="0" w:after="0" w:afterLines="100" w:afterAutospacing="0" w:line="310" w:lineRule="exact"/>
        <w:ind w:left="0" w:leftChars="0" w:firstLine="0" w:firstLineChars="0"/>
        <w:jc w:val="center"/>
        <w:textAlignment w:val="auto"/>
        <w:rPr>
          <w:rFonts w:hint="eastAsia" w:ascii="方正书宋简体" w:hAnsi="方正书宋简体" w:eastAsia="方正书宋简体" w:cs="方正书宋简体"/>
          <w:b/>
          <w:bCs/>
          <w:snapToGrid/>
          <w:color w:val="auto"/>
          <w:sz w:val="21"/>
          <w:szCs w:val="21"/>
          <w:highlight w:val="none"/>
          <w:lang w:val="en-US" w:eastAsia="zh-CN"/>
        </w:rPr>
      </w:pPr>
      <w:bookmarkStart w:id="344" w:name="_Toc24244"/>
      <w:bookmarkStart w:id="345" w:name="_Toc9597"/>
      <w:bookmarkStart w:id="346" w:name="_Toc30019"/>
      <w:bookmarkStart w:id="347" w:name="_Toc3509"/>
      <w:r>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第七章       </w:t>
      </w:r>
      <w:r>
        <w:rPr>
          <w:rFonts w:hint="eastAsia" w:ascii="方正书宋简体" w:hAnsi="方正书宋简体" w:eastAsia="方正书宋简体" w:cs="方正书宋简体"/>
          <w:b/>
          <w:bCs/>
          <w:snapToGrid/>
          <w:color w:val="auto"/>
          <w:sz w:val="21"/>
          <w:szCs w:val="21"/>
          <w:highlight w:val="none"/>
          <w:lang w:val="en-US" w:eastAsia="zh-CN"/>
        </w:rPr>
        <w:t>保障措施</w:t>
      </w:r>
      <w:bookmarkEnd w:id="341"/>
      <w:bookmarkEnd w:id="342"/>
      <w:bookmarkEnd w:id="343"/>
      <w:bookmarkEnd w:id="344"/>
      <w:bookmarkEnd w:id="345"/>
      <w:bookmarkEnd w:id="346"/>
      <w:bookmarkEnd w:id="347"/>
    </w:p>
    <w:p w14:paraId="6D42C6A9">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bookmarkStart w:id="348" w:name="_Toc26392"/>
      <w:bookmarkStart w:id="349" w:name="_Toc9278"/>
    </w:p>
    <w:p w14:paraId="6B55D3FF">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第45条 </w:t>
      </w:r>
      <w:r>
        <w:rPr>
          <w:rFonts w:hint="eastAsia" w:ascii="方正书宋简体" w:hAnsi="方正书宋简体" w:eastAsia="方正书宋简体" w:cs="方正书宋简体"/>
          <w:b/>
          <w:bCs/>
          <w:snapToGrid/>
          <w:color w:val="auto"/>
          <w:kern w:val="2"/>
          <w:sz w:val="21"/>
          <w:szCs w:val="21"/>
          <w:highlight w:val="none"/>
          <w:lang w:val="en-US" w:eastAsia="zh-CN"/>
        </w:rPr>
        <w:t>加强组织领导</w:t>
      </w:r>
      <w:bookmarkEnd w:id="348"/>
      <w:bookmarkEnd w:id="349"/>
    </w:p>
    <w:p w14:paraId="4A974D3F">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坚持党委领导、政府主导、社会共同参与的应急管理工作格局，进一步明确职责，加强制度建设，逐步推进应急管理工作的规范化、制度化、法治化进程。各级各部门要不断增强危机意识和责任意识，按照“党政同责、一岗双责、失职追责”的要求，建立健全统一领导、分类管理、分级负责、条块结合、属地为主的应急管理责任体系，确保应急管理工作有序开展。</w:t>
      </w:r>
    </w:p>
    <w:p w14:paraId="5A4E321C">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制定应急避难场所建设管理办法，明确各部门在应急避难场所整合、建设和管理中的职责分工，理顺体制机制。由应急管理部门牵头，整合公安、消防、卫生急救、气象、交通、人防、安全生产、城管、林业等管理平台，打造无缝衔接的应急避难场所管理平台，统筹各部门救灾资源，便于统一管理、统一使用。应急管理部门要建立健全规划监督机制，明确规划实施责任，组织有关部门对规划实施情况进行督查，确保规划建设目标任务全面完成。</w:t>
      </w:r>
    </w:p>
    <w:p w14:paraId="5A4A258C">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350" w:name="_Toc17970"/>
      <w:bookmarkStart w:id="351" w:name="_Toc6242"/>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第46条 </w:t>
      </w:r>
      <w:r>
        <w:rPr>
          <w:rFonts w:hint="eastAsia" w:ascii="方正书宋简体" w:hAnsi="方正书宋简体" w:eastAsia="方正书宋简体" w:cs="方正书宋简体"/>
          <w:b/>
          <w:bCs/>
          <w:snapToGrid/>
          <w:color w:val="auto"/>
          <w:kern w:val="2"/>
          <w:sz w:val="21"/>
          <w:szCs w:val="21"/>
          <w:highlight w:val="none"/>
          <w:lang w:val="en-US" w:eastAsia="zh-CN"/>
        </w:rPr>
        <w:t>确保资金投入</w:t>
      </w:r>
      <w:bookmarkEnd w:id="350"/>
      <w:bookmarkEnd w:id="351"/>
    </w:p>
    <w:p w14:paraId="0D4251FA">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完善应急避难场所资金投入机制，按照财政事权和支出责任相适应的原则，建立与经济社会发展、公共安全需求相协调的应急避难场所建设投入机制，旗人民政府根据实际需要和财力情况对应急避难场所建设予以必要、合理、适度保障。同时拓宽资金筹资渠道，建立健全多元化资金投入机制，积极争取中央预算内投资和专项规划建设资金投入，大力引导社会资本合理合规投入应急避难场所建设和管理，探索完善风险分担机制，鼓励公民、法人和其他组织提供资金或捐赠，加强资金监管和绩效管理，切实提高资金使用效益。</w:t>
      </w:r>
    </w:p>
    <w:p w14:paraId="7A50E990">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建立健全政府、企业、社会各方面相结合的应急保障资金投入机制，适应应急队伍、装备、交通、通信、物资储备等方面建设与更新维护资金要求。把突发公共事件应急工作纳入国民经济和社会发展计划，做好年度预算，合理安排应急资金，保障足额到位。各苏木镇、旗直各部门在编制本级预算时，要充分考虑应急体系建设的资金需求，把应急管理经费及应急体系建设经费纳入年度预算予以保障。</w:t>
      </w:r>
    </w:p>
    <w:p w14:paraId="6CE9187F">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352" w:name="_Toc6713"/>
      <w:bookmarkStart w:id="353" w:name="_Toc30660"/>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第47条 </w:t>
      </w:r>
      <w:r>
        <w:rPr>
          <w:rFonts w:hint="eastAsia" w:ascii="方正书宋简体" w:hAnsi="方正书宋简体" w:eastAsia="方正书宋简体" w:cs="方正书宋简体"/>
          <w:b/>
          <w:bCs/>
          <w:snapToGrid/>
          <w:color w:val="auto"/>
          <w:kern w:val="2"/>
          <w:sz w:val="21"/>
          <w:szCs w:val="21"/>
          <w:highlight w:val="none"/>
          <w:lang w:val="en-US" w:eastAsia="zh-CN"/>
        </w:rPr>
        <w:t>加大宣传力度</w:t>
      </w:r>
      <w:bookmarkEnd w:id="352"/>
      <w:bookmarkEnd w:id="353"/>
    </w:p>
    <w:p w14:paraId="09D905CE">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推进应急避难知识普及，加强应急避难场所宣传。绘制应急避难场所地图和电子导航地图，供广大居民使用。宣传教育要面向社会，采用普及教育和专业教育相结合的方式，通过多种形式进行防灾知识的宣传教育和人员防护技能训练。通过报刊、电视、广播、网络、展览、讲座等方式对广大居民进行应急避难知识的广泛宣传，并在此基础上开展相关培训和定期演练工作，以苏木镇、嘎查村（社区）为单位每年开展两次应急避难疏散演习演练，每次演习演练设置不同的灾种。</w:t>
      </w:r>
    </w:p>
    <w:p w14:paraId="01BCE6C5">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全面推进防灾减灾救灾人才战略实施，建立防灾减灾救灾专家队伍，完善和扩充专业救援队伍。开展防灾减灾救灾社会工作人才队伍建设试点工作，建立健全志愿者队伍等社会组织管理机制，全面提高社会组织的防灾减灾技能和水平。</w:t>
      </w:r>
    </w:p>
    <w:p w14:paraId="394BBC8C">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354" w:name="_Toc108"/>
      <w:bookmarkStart w:id="355" w:name="_Toc16015"/>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第48条 </w:t>
      </w:r>
      <w:r>
        <w:rPr>
          <w:rFonts w:hint="eastAsia" w:ascii="方正书宋简体" w:hAnsi="方正书宋简体" w:eastAsia="方正书宋简体" w:cs="方正书宋简体"/>
          <w:b/>
          <w:bCs/>
          <w:snapToGrid/>
          <w:color w:val="auto"/>
          <w:kern w:val="2"/>
          <w:sz w:val="21"/>
          <w:szCs w:val="21"/>
          <w:highlight w:val="none"/>
          <w:lang w:val="en-US" w:eastAsia="zh-CN"/>
        </w:rPr>
        <w:t>强化监督评估</w:t>
      </w:r>
      <w:bookmarkEnd w:id="354"/>
      <w:bookmarkEnd w:id="355"/>
    </w:p>
    <w:p w14:paraId="6567BBA9">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健全各级减灾委员会成员单位信息通报、研判会商、协调联动等制度机制，统筹协调、监督指导各成员单位落实职责，加大监督力度，形成规划实施合力。旗应急管理部门定期对各成员单位规划目标指标、主要任务的进展情况进行监测调度，并在规划期间对本规划执行情况进行中期评估和总结评估。</w:t>
      </w:r>
    </w:p>
    <w:p w14:paraId="3CA07C45">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bookmarkStart w:id="356" w:name="_Toc26173"/>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第49条 </w:t>
      </w:r>
      <w:r>
        <w:rPr>
          <w:rFonts w:hint="eastAsia" w:ascii="方正书宋简体" w:hAnsi="方正书宋简体" w:eastAsia="方正书宋简体" w:cs="方正书宋简体"/>
          <w:b/>
          <w:bCs/>
          <w:snapToGrid/>
          <w:color w:val="auto"/>
          <w:kern w:val="2"/>
          <w:sz w:val="21"/>
          <w:szCs w:val="21"/>
          <w:highlight w:val="none"/>
          <w:lang w:val="en-US" w:eastAsia="zh-CN"/>
        </w:rPr>
        <w:t>用地保障与落地实施策略</w:t>
      </w:r>
      <w:bookmarkEnd w:id="356"/>
    </w:p>
    <w:p w14:paraId="045C2094">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为保障应急避难场所规划的科学性与可行性，采取以下策略，确保用地落实、规划落地。</w:t>
      </w:r>
    </w:p>
    <w:p w14:paraId="23006EFD">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精准对接国土空间规划，锁定用地空间。</w:t>
      </w:r>
      <w:r>
        <w:rPr>
          <w:rFonts w:hint="eastAsia" w:ascii="方正书宋简体" w:hAnsi="方正书宋简体" w:eastAsia="方正书宋简体" w:cs="方正书宋简体"/>
          <w:snapToGrid/>
          <w:color w:val="auto"/>
          <w:kern w:val="2"/>
          <w:sz w:val="21"/>
          <w:szCs w:val="21"/>
          <w:highlight w:val="none"/>
          <w:lang w:val="en-US" w:eastAsia="zh-CN"/>
        </w:rPr>
        <w:t>将规划确定的旗、苏木镇、嘎查村（社区）三级应急避难场所的规模和布局，精准纳入《鄂托克旗国土空间总体规划（2021—2035年）》《乌兰镇控制性详细规划修编及重点片区城市设计》，在规划“一张图”中明确其空间位置和边界，作为强制性内容进行管控，确保远期用地不被侵占。</w:t>
      </w:r>
    </w:p>
    <w:p w14:paraId="6C2B938A">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用地性质刚性管控。</w:t>
      </w:r>
      <w:r>
        <w:rPr>
          <w:rFonts w:hint="eastAsia" w:ascii="方正书宋简体" w:hAnsi="方正书宋简体" w:eastAsia="方正书宋简体" w:cs="方正书宋简体"/>
          <w:snapToGrid/>
          <w:color w:val="auto"/>
          <w:kern w:val="2"/>
          <w:sz w:val="21"/>
          <w:szCs w:val="21"/>
          <w:highlight w:val="none"/>
          <w:lang w:val="en-US" w:eastAsia="zh-CN"/>
        </w:rPr>
        <w:t>将应急避难场所及其配套通道、基础设施的用地，明确规划为“防护绿地”“广场用地”等公益性用地性质，从源头上保障其合法性。在国土空间详细规划中，在公园设施项目允许建设的建筑类型中将应急避险设施规定为应设，并纳入相关地块建筑容量管控中，建筑占地比例建议如下：综合性公园、专类公园（如动物园、植物园）不宜大于5%；社区公园、游园不宜大于3%。用地使用要符合《公园设计规范》GB51192-2016，全面发挥公园的游憩功能、生态功能、景观功能、文化传承功能、科普教育功能、应急避险功能及其经济、社会、环境效益。</w:t>
      </w:r>
    </w:p>
    <w:p w14:paraId="1FF62D99">
      <w:pPr>
        <w:pStyle w:val="25"/>
        <w:pageBreakBefore w:val="0"/>
        <w:widowControl w:val="0"/>
        <w:kinsoku/>
        <w:wordWrap/>
        <w:overflowPunct/>
        <w:topLinePunct w:val="0"/>
        <w:autoSpaceDE/>
        <w:autoSpaceDN/>
        <w:bidi w:val="0"/>
        <w:spacing w:line="310" w:lineRule="exact"/>
        <w:ind w:firstLine="422" w:firstLineChars="200"/>
        <w:jc w:val="both"/>
        <w:textAlignment w:val="auto"/>
        <w:rPr>
          <w:rFonts w:hint="eastAsia" w:ascii="方正书宋简体" w:hAnsi="方正书宋简体" w:eastAsia="方正书宋简体" w:cs="方正书宋简体"/>
          <w:b w:val="0"/>
          <w:bCs/>
          <w:snapToGrid/>
          <w:color w:val="auto"/>
          <w:sz w:val="21"/>
          <w:szCs w:val="21"/>
          <w:highlight w:val="none"/>
          <w:lang w:val="en-US" w:eastAsia="zh-CN"/>
        </w:rPr>
        <w:sectPr>
          <w:type w:val="continuous"/>
          <w:pgSz w:w="11906" w:h="16838"/>
          <w:pgMar w:top="1701" w:right="1247" w:bottom="1701" w:left="1247" w:header="850" w:footer="1109" w:gutter="0"/>
          <w:pgNumType w:fmt="decimal"/>
          <w:cols w:equalWidth="0" w:num="2">
            <w:col w:w="4493" w:space="425"/>
            <w:col w:w="4493"/>
          </w:cols>
        </w:sectPr>
      </w:pPr>
      <w:r>
        <w:rPr>
          <w:rFonts w:hint="eastAsia" w:ascii="方正书宋简体" w:hAnsi="方正书宋简体" w:eastAsia="方正书宋简体" w:cs="方正书宋简体"/>
          <w:b/>
          <w:bCs/>
          <w:snapToGrid/>
          <w:color w:val="auto"/>
          <w:kern w:val="2"/>
          <w:sz w:val="21"/>
          <w:szCs w:val="21"/>
          <w:highlight w:val="none"/>
          <w:lang w:val="en-US" w:eastAsia="zh-CN"/>
        </w:rPr>
        <w:t>建立实施保障机制，确保规划可操作。</w:t>
      </w:r>
      <w:r>
        <w:rPr>
          <w:rFonts w:hint="eastAsia" w:ascii="方正书宋简体" w:hAnsi="方正书宋简体" w:eastAsia="方正书宋简体" w:cs="方正书宋简体"/>
          <w:snapToGrid/>
          <w:color w:val="auto"/>
          <w:kern w:val="2"/>
          <w:sz w:val="21"/>
          <w:szCs w:val="21"/>
          <w:highlight w:val="none"/>
          <w:lang w:val="en-US" w:eastAsia="zh-CN"/>
        </w:rPr>
        <w:t>纳入近期建设计划，将应急避难场所的建设任务分解到年度政府投资计划和各苏木镇的城镇建设计划中，明确责任单位、资金渠道和完成时限，确保规划从“蓝图”走向“施工图”。制定用地保障政策，探索建立建设用地指标倾斜、简化审批流程等支持政策，对于确需新增用地的公益性避难场所项目，开辟“绿色通道”</w:t>
      </w:r>
      <w:bookmarkStart w:id="357" w:name="_Toc17482"/>
    </w:p>
    <w:p w14:paraId="42D4287F">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100" w:beforeAutospacing="0" w:after="0" w:afterLines="100" w:afterAutospacing="0" w:line="310" w:lineRule="exact"/>
        <w:ind w:left="0" w:leftChars="0" w:firstLine="0" w:firstLineChars="0"/>
        <w:jc w:val="center"/>
        <w:textAlignment w:val="auto"/>
        <w:rPr>
          <w:rFonts w:hint="eastAsia" w:ascii="方正书宋简体" w:hAnsi="方正书宋简体" w:eastAsia="方正书宋简体" w:cs="方正书宋简体"/>
          <w:b/>
          <w:bCs/>
          <w:snapToGrid/>
          <w:color w:val="auto"/>
          <w:sz w:val="21"/>
          <w:szCs w:val="21"/>
          <w:highlight w:val="none"/>
          <w:lang w:val="en-US" w:eastAsia="zh-CN"/>
        </w:rPr>
      </w:pPr>
      <w:r>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第八章  </w:t>
      </w:r>
      <w:r>
        <w:rPr>
          <w:rFonts w:hint="eastAsia" w:ascii="方正书宋简体" w:hAnsi="方正书宋简体" w:eastAsia="方正书宋简体" w:cs="方正书宋简体"/>
          <w:b w:val="0"/>
          <w:bCs w:val="0"/>
          <w:i w:val="0"/>
          <w:iCs w:val="0"/>
          <w:caps w:val="0"/>
          <w:smallCaps w:val="0"/>
          <w:strike w:val="0"/>
          <w:dstrike w:val="0"/>
          <w:outline w:val="0"/>
          <w:shadow w:val="0"/>
          <w:emboss w:val="0"/>
          <w:imprint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  </w:t>
      </w:r>
      <w:r>
        <w:rPr>
          <w:rFonts w:hint="eastAsia" w:ascii="方正书宋简体" w:hAnsi="方正书宋简体" w:eastAsia="方正书宋简体" w:cs="方正书宋简体"/>
          <w:b/>
          <w:bCs/>
          <w:i w:val="0"/>
          <w:iCs w:val="0"/>
          <w:caps w:val="0"/>
          <w:smallCaps w:val="0"/>
          <w:strike w:val="0"/>
          <w:dstrike w:val="0"/>
          <w:outline w:val="0"/>
          <w:shadow w:val="0"/>
          <w:emboss w:val="0"/>
          <w:imprint w:val="0"/>
          <w:snapToGrid/>
          <w:vanish w:val="0"/>
          <w:color w:val="auto"/>
          <w:spacing w:val="0"/>
          <w:kern w:val="44"/>
          <w:position w:val="0"/>
          <w:sz w:val="21"/>
          <w:szCs w:val="21"/>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   </w:t>
      </w:r>
      <w:r>
        <w:rPr>
          <w:rFonts w:hint="eastAsia" w:ascii="方正书宋简体" w:hAnsi="方正书宋简体" w:eastAsia="方正书宋简体" w:cs="方正书宋简体"/>
          <w:b/>
          <w:bCs/>
          <w:snapToGrid/>
          <w:color w:val="auto"/>
          <w:sz w:val="21"/>
          <w:szCs w:val="21"/>
          <w:highlight w:val="none"/>
          <w:lang w:val="en-US" w:eastAsia="zh-CN"/>
        </w:rPr>
        <w:t>附则</w:t>
      </w:r>
      <w:bookmarkEnd w:id="357"/>
    </w:p>
    <w:p w14:paraId="307418B0">
      <w:pPr>
        <w:keepNext/>
        <w:keepLines/>
        <w:pageBreakBefore w:val="0"/>
        <w:widowControl w:val="0"/>
        <w:numPr>
          <w:ilvl w:val="0"/>
          <w:numId w:val="2"/>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sectPr>
          <w:type w:val="continuous"/>
          <w:pgSz w:w="11906" w:h="16838"/>
          <w:pgMar w:top="1701" w:right="1247" w:bottom="1701" w:left="1247" w:header="1134" w:footer="1109" w:gutter="0"/>
          <w:pgNumType w:fmt="decimal"/>
          <w:cols w:space="425" w:num="1"/>
        </w:sectPr>
      </w:pPr>
    </w:p>
    <w:p w14:paraId="47B40569">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第50条 </w:t>
      </w:r>
      <w:r>
        <w:rPr>
          <w:rFonts w:hint="eastAsia" w:ascii="方正书宋简体" w:hAnsi="方正书宋简体" w:eastAsia="方正书宋简体" w:cs="方正书宋简体"/>
          <w:b/>
          <w:bCs/>
          <w:snapToGrid/>
          <w:color w:val="auto"/>
          <w:kern w:val="2"/>
          <w:sz w:val="21"/>
          <w:szCs w:val="21"/>
          <w:highlight w:val="none"/>
          <w:lang w:val="en-US" w:eastAsia="zh-CN"/>
        </w:rPr>
        <w:t>规划成果</w:t>
      </w:r>
    </w:p>
    <w:p w14:paraId="0F923307">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包括规划文本、规划图集、规划说明和相关数据库。涉及向社会公开的规划文本、图件等，符合国家保密管理和地图管理等有关规定。</w:t>
      </w:r>
    </w:p>
    <w:p w14:paraId="19C00710">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第51条 </w:t>
      </w:r>
      <w:r>
        <w:rPr>
          <w:rFonts w:hint="eastAsia" w:ascii="方正书宋简体" w:hAnsi="方正书宋简体" w:eastAsia="方正书宋简体" w:cs="方正书宋简体"/>
          <w:b/>
          <w:bCs/>
          <w:snapToGrid/>
          <w:color w:val="auto"/>
          <w:kern w:val="2"/>
          <w:sz w:val="21"/>
          <w:szCs w:val="21"/>
          <w:highlight w:val="none"/>
          <w:lang w:val="en-US" w:eastAsia="zh-CN"/>
        </w:rPr>
        <w:t>强制性内容规定</w:t>
      </w:r>
    </w:p>
    <w:p w14:paraId="582ACAAF">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上述条文中字体加粗且有下划线的部分为强制性内容，违反本规划强制性内容进行建设的，按照严重影响城市规划的行为，依法进行查处。</w:t>
      </w:r>
    </w:p>
    <w:p w14:paraId="73C63721">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第52条 </w:t>
      </w:r>
      <w:r>
        <w:rPr>
          <w:rFonts w:hint="eastAsia" w:ascii="方正书宋简体" w:hAnsi="方正书宋简体" w:eastAsia="方正书宋简体" w:cs="方正书宋简体"/>
          <w:b/>
          <w:bCs/>
          <w:snapToGrid/>
          <w:color w:val="auto"/>
          <w:kern w:val="2"/>
          <w:sz w:val="21"/>
          <w:szCs w:val="21"/>
          <w:highlight w:val="none"/>
          <w:lang w:val="en-US" w:eastAsia="zh-CN"/>
        </w:rPr>
        <w:t>规划编制</w:t>
      </w:r>
    </w:p>
    <w:p w14:paraId="1FF48390">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鄂托克旗应急管理局根据《关于加强应急避难场所建设的指导意见》（应急〔2023〕76号）的要求，组织编制鄂托克旗应急避难场所专项规划（2025年—2035年）。</w:t>
      </w:r>
    </w:p>
    <w:p w14:paraId="6BAEB67C">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第53条 </w:t>
      </w:r>
      <w:r>
        <w:rPr>
          <w:rFonts w:hint="eastAsia" w:ascii="方正书宋简体" w:hAnsi="方正书宋简体" w:eastAsia="方正书宋简体" w:cs="方正书宋简体"/>
          <w:b/>
          <w:bCs/>
          <w:snapToGrid/>
          <w:color w:val="auto"/>
          <w:kern w:val="2"/>
          <w:sz w:val="21"/>
          <w:szCs w:val="21"/>
          <w:highlight w:val="none"/>
          <w:lang w:val="en-US" w:eastAsia="zh-CN"/>
        </w:rPr>
        <w:t>规划审批</w:t>
      </w:r>
    </w:p>
    <w:p w14:paraId="34C24C78">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本规划按规定程序报鄂托克旗人民政府批准。</w:t>
      </w:r>
    </w:p>
    <w:p w14:paraId="7180EE21">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第54条 </w:t>
      </w:r>
      <w:r>
        <w:rPr>
          <w:rFonts w:hint="eastAsia" w:ascii="方正书宋简体" w:hAnsi="方正书宋简体" w:eastAsia="方正书宋简体" w:cs="方正书宋简体"/>
          <w:b/>
          <w:bCs/>
          <w:snapToGrid/>
          <w:color w:val="auto"/>
          <w:kern w:val="2"/>
          <w:sz w:val="21"/>
          <w:szCs w:val="21"/>
          <w:highlight w:val="none"/>
          <w:lang w:val="en-US" w:eastAsia="zh-CN"/>
        </w:rPr>
        <w:t>规划权威性</w:t>
      </w:r>
    </w:p>
    <w:p w14:paraId="4C6A9B3D">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本规划经批准后，由旗人民政府统一组织实施，各相关部门、苏木镇必须统一思想，充分认识应急避难场所专项规划的重要性，维护本规划的严肃性、权威性，切实保障本规划对全旗应急避难场所的指导和调控作用。</w:t>
      </w:r>
    </w:p>
    <w:p w14:paraId="736F0387">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第55条 </w:t>
      </w:r>
      <w:r>
        <w:rPr>
          <w:rFonts w:hint="eastAsia" w:ascii="方正书宋简体" w:hAnsi="方正书宋简体" w:eastAsia="方正书宋简体" w:cs="方正书宋简体"/>
          <w:b/>
          <w:bCs/>
          <w:snapToGrid/>
          <w:color w:val="auto"/>
          <w:kern w:val="2"/>
          <w:sz w:val="21"/>
          <w:szCs w:val="21"/>
          <w:highlight w:val="none"/>
          <w:lang w:val="en-US" w:eastAsia="zh-CN"/>
        </w:rPr>
        <w:t>规划解释权</w:t>
      </w:r>
    </w:p>
    <w:p w14:paraId="0992E553">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本规划的解释权属鄂托克旗应急管理局。</w:t>
      </w:r>
    </w:p>
    <w:p w14:paraId="72675880">
      <w:pPr>
        <w:keepNext/>
        <w:keepLines/>
        <w:pageBreakBefore w:val="0"/>
        <w:widowControl w:val="0"/>
        <w:numPr>
          <w:ilvl w:val="0"/>
          <w:numId w:val="0"/>
        </w:numPr>
        <w:tabs>
          <w:tab w:val="left" w:pos="420"/>
        </w:tabs>
        <w:kinsoku/>
        <w:wordWrap/>
        <w:overflowPunct/>
        <w:topLinePunct w:val="0"/>
        <w:autoSpaceDE/>
        <w:autoSpaceDN/>
        <w:bidi w:val="0"/>
        <w:adjustRightInd/>
        <w:snapToGrid/>
        <w:spacing w:before="157" w:beforeLines="50" w:after="157" w:afterLines="50" w:line="310" w:lineRule="exact"/>
        <w:ind w:left="0" w:leftChars="0" w:firstLine="422" w:firstLineChars="200"/>
        <w:jc w:val="both"/>
        <w:textAlignment w:val="auto"/>
        <w:outlineLvl w:val="2"/>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val="0"/>
          <w:i w:val="0"/>
          <w:snapToGrid/>
          <w:color w:val="auto"/>
          <w:kern w:val="2"/>
          <w:sz w:val="21"/>
          <w:szCs w:val="21"/>
          <w:lang w:val="en-US" w:eastAsia="zh-CN" w:bidi="ar-SA"/>
        </w:rPr>
        <w:t xml:space="preserve">第56条 </w:t>
      </w:r>
      <w:r>
        <w:rPr>
          <w:rFonts w:hint="eastAsia" w:ascii="方正书宋简体" w:hAnsi="方正书宋简体" w:eastAsia="方正书宋简体" w:cs="方正书宋简体"/>
          <w:b/>
          <w:bCs/>
          <w:snapToGrid/>
          <w:color w:val="auto"/>
          <w:kern w:val="2"/>
          <w:sz w:val="21"/>
          <w:szCs w:val="21"/>
          <w:highlight w:val="none"/>
          <w:lang w:val="en-US" w:eastAsia="zh-CN"/>
        </w:rPr>
        <w:t>规划生效</w:t>
      </w:r>
    </w:p>
    <w:p w14:paraId="5A4729C2">
      <w:pPr>
        <w:pStyle w:val="25"/>
        <w:pageBreakBefore w:val="0"/>
        <w:widowControl w:val="0"/>
        <w:kinsoku/>
        <w:wordWrap/>
        <w:overflowPunct/>
        <w:topLinePunct w:val="0"/>
        <w:autoSpaceDE/>
        <w:autoSpaceDN/>
        <w:bidi w:val="0"/>
        <w:spacing w:line="310" w:lineRule="exact"/>
        <w:ind w:firstLine="420" w:firstLineChars="200"/>
        <w:jc w:val="both"/>
        <w:textAlignment w:val="auto"/>
        <w:rPr>
          <w:rFonts w:hint="eastAsia" w:ascii="方正书宋简体" w:hAnsi="方正书宋简体" w:eastAsia="方正书宋简体" w:cs="方正书宋简体"/>
          <w:b w:val="0"/>
          <w:bCs/>
          <w:snapToGrid/>
          <w:color w:val="auto"/>
          <w:sz w:val="21"/>
          <w:szCs w:val="21"/>
          <w:highlight w:val="none"/>
          <w:lang w:val="en-US" w:eastAsia="zh-CN"/>
        </w:rPr>
        <w:sectPr>
          <w:type w:val="continuous"/>
          <w:pgSz w:w="11906" w:h="16838"/>
          <w:pgMar w:top="1701" w:right="1247" w:bottom="1701" w:left="1247" w:header="850" w:footer="1109" w:gutter="0"/>
          <w:pgNumType w:fmt="decimal"/>
          <w:cols w:equalWidth="0" w:num="2">
            <w:col w:w="4493" w:space="425"/>
            <w:col w:w="4493"/>
          </w:cols>
        </w:sectPr>
      </w:pPr>
      <w:r>
        <w:rPr>
          <w:rFonts w:hint="eastAsia" w:ascii="方正书宋简体" w:hAnsi="方正书宋简体" w:eastAsia="方正书宋简体" w:cs="方正书宋简体"/>
          <w:snapToGrid/>
          <w:color w:val="auto"/>
          <w:kern w:val="2"/>
          <w:sz w:val="21"/>
          <w:szCs w:val="21"/>
          <w:highlight w:val="none"/>
          <w:lang w:val="en-US" w:eastAsia="zh-CN"/>
        </w:rPr>
        <w:t>本规划自批准之日起生效。</w:t>
      </w:r>
    </w:p>
    <w:p w14:paraId="0B9A296A">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53BE7B72">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4B2053C6">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3A9A6852">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37151769">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363257C6">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36F85717">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576AA02C">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779D8F92">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5D249097">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1104328C">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25B9D808">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2DCB00A5">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163F1264">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202DC3EC">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3F33FB59">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p w14:paraId="7CF77DD4">
      <w:pPr>
        <w:rPr>
          <w:rFonts w:hint="eastAsia" w:eastAsia="方正小标宋_GBK" w:asciiTheme="minorHAnsi" w:hAnsiTheme="minorHAnsi" w:cstheme="minorBidi"/>
          <w:b w:val="0"/>
          <w:bCs/>
          <w:snapToGrid/>
          <w:color w:val="auto"/>
          <w:sz w:val="36"/>
          <w:szCs w:val="44"/>
          <w:highlight w:val="none"/>
          <w:lang w:val="en-US" w:eastAsia="zh-CN"/>
        </w:rPr>
        <w:sectPr>
          <w:type w:val="continuous"/>
          <w:pgSz w:w="11906" w:h="16838"/>
          <w:pgMar w:top="1800" w:right="1440" w:bottom="1800" w:left="1440" w:header="1134" w:footer="1109" w:gutter="0"/>
          <w:pgNumType w:fmt="decimal" w:start="1"/>
          <w:cols w:space="425" w:num="1"/>
        </w:sectPr>
      </w:pPr>
    </w:p>
    <w:p w14:paraId="186F9976">
      <w:pPr>
        <w:pStyle w:val="3"/>
        <w:numPr>
          <w:ilvl w:val="0"/>
          <w:numId w:val="0"/>
        </w:numPr>
        <w:tabs>
          <w:tab w:val="left" w:pos="1419"/>
        </w:tabs>
        <w:spacing w:before="163" w:after="163" w:line="240" w:lineRule="auto"/>
        <w:jc w:val="center"/>
        <w:rPr>
          <w:rFonts w:hint="eastAsia" w:ascii="仿宋_GB2312" w:hAnsi="仿宋_GB2312" w:eastAsia="仿宋_GB2312" w:cs="仿宋_GB2312"/>
          <w:color w:val="auto"/>
          <w:sz w:val="36"/>
          <w:szCs w:val="36"/>
          <w:highlight w:val="none"/>
          <w:lang w:val="en-US" w:eastAsia="zh-CN"/>
        </w:rPr>
      </w:pPr>
      <w:bookmarkStart w:id="358" w:name="_Toc12614"/>
      <w:r>
        <w:rPr>
          <w:rFonts w:hint="eastAsia" w:ascii="仿宋_GB2312" w:hAnsi="仿宋_GB2312" w:eastAsia="仿宋_GB2312" w:cs="仿宋_GB2312"/>
          <w:color w:val="auto"/>
          <w:sz w:val="36"/>
          <w:szCs w:val="36"/>
          <w:highlight w:val="none"/>
          <w:lang w:val="en-US" w:eastAsia="zh-CN"/>
        </w:rPr>
        <w:t>附表1  鄂托克现状应急避难场所一览表</w:t>
      </w:r>
      <w:bookmarkEnd w:id="358"/>
    </w:p>
    <w:tbl>
      <w:tblPr>
        <w:tblStyle w:val="20"/>
        <w:tblW w:w="499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499"/>
        <w:gridCol w:w="3004"/>
        <w:gridCol w:w="684"/>
        <w:gridCol w:w="1127"/>
        <w:gridCol w:w="943"/>
        <w:gridCol w:w="641"/>
        <w:gridCol w:w="1475"/>
        <w:gridCol w:w="1165"/>
        <w:gridCol w:w="1312"/>
        <w:gridCol w:w="1122"/>
        <w:gridCol w:w="1381"/>
      </w:tblGrid>
      <w:tr w14:paraId="6F08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815" w:hRule="atLeast"/>
          <w:jc w:val="center"/>
        </w:trPr>
        <w:tc>
          <w:tcPr>
            <w:tcW w:w="187"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C7583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序号</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858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场所名称</w:t>
            </w:r>
          </w:p>
        </w:tc>
        <w:tc>
          <w:tcPr>
            <w:tcW w:w="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D84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行政区</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B6FA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场所级别</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A830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功能定位分类</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B40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场所类型</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E7DA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空间类型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F3F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建设类型</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0CB9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占地面积（㎡）</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ABB2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有效避难面积（平方米）</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CBE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容纳人数（人）</w:t>
            </w:r>
          </w:p>
        </w:tc>
      </w:tr>
      <w:tr w14:paraId="5ED69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465"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209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967D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阿尔巴斯苏木查布全民健身广场</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E98A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538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F8DF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3909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A19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0859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FDD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14118</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EBC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7059</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A9DE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2567</w:t>
            </w:r>
          </w:p>
        </w:tc>
      </w:tr>
      <w:tr w14:paraId="7AEC1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4FB7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57F8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阿尔巴斯苏木赛音乌素广场</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66F1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16B8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4F1E2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C394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3F8E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BACF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155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29434</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AB4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14717</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F68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9811</w:t>
            </w:r>
          </w:p>
        </w:tc>
      </w:tr>
      <w:tr w14:paraId="3B01C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88"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03B02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B282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阿尔巴斯苏木新昭广场</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056A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D462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7BF0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CB77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5D6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420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D8B5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20597</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740B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16478</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74BB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10985</w:t>
            </w:r>
          </w:p>
        </w:tc>
      </w:tr>
      <w:tr w14:paraId="3E34F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248" w:hRule="atLeast"/>
          <w:jc w:val="center"/>
        </w:trPr>
        <w:tc>
          <w:tcPr>
            <w:tcW w:w="3571"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1FD28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合计</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6EEE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64149</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41D0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38254</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009B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12378</w:t>
            </w:r>
          </w:p>
        </w:tc>
      </w:tr>
      <w:tr w14:paraId="5B94B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823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34FD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苏米图苏木苏里格嘎查文化广场</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3F28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1DB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2E9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35D9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9A44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E19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B176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9521</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576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7617</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5C46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5078</w:t>
            </w:r>
          </w:p>
        </w:tc>
      </w:tr>
      <w:tr w14:paraId="7F3BB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9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C0BD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D3F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苏米图苏木开发区、苏木政府所在地南100米</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F871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4CFB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00ED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FBCF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EBE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C9C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空地类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17EE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8474</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CAE6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6780</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EEBC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4520</w:t>
            </w:r>
          </w:p>
        </w:tc>
      </w:tr>
      <w:tr w14:paraId="5F875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237" w:hRule="atLeast"/>
          <w:jc w:val="center"/>
        </w:trPr>
        <w:tc>
          <w:tcPr>
            <w:tcW w:w="3571"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21CF0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合计</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A574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17995</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4A6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14397</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137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9598</w:t>
            </w:r>
          </w:p>
        </w:tc>
      </w:tr>
      <w:tr w14:paraId="71B0D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52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F25E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02C0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木凯淖尔镇人民政府广场</w:t>
            </w:r>
          </w:p>
        </w:tc>
        <w:tc>
          <w:tcPr>
            <w:tcW w:w="2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2A87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2038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C67C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2A7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FF6A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969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51E3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35813</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B38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12770</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BA64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5108</w:t>
            </w:r>
          </w:p>
        </w:tc>
      </w:tr>
      <w:tr w14:paraId="37999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77" w:hRule="atLeast"/>
          <w:jc w:val="center"/>
        </w:trPr>
        <w:tc>
          <w:tcPr>
            <w:tcW w:w="3571"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C51B8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合计</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0CEE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35813</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F75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12770</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02D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5180</w:t>
            </w:r>
          </w:p>
        </w:tc>
      </w:tr>
      <w:tr w14:paraId="0D69A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228A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C8A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乌兰宫广场</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AA47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71D6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县（旗）级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E7F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15FC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07F2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E159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F84D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21365</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42A5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8132</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E8F8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4066</w:t>
            </w:r>
          </w:p>
        </w:tc>
      </w:tr>
      <w:tr w14:paraId="0F8F3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1794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6FD4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圣火广场</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BE52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76AD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县（旗）级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0E57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683C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7C40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C41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655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32372</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E10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20695</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76C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8278</w:t>
            </w:r>
          </w:p>
        </w:tc>
      </w:tr>
      <w:tr w14:paraId="554A4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0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FC9C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78B2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西鄂尔多斯文化主题公园</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EC12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10C6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县（旗）级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6DC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7378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特殊</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234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F42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公园（绿地）类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F9DB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209779</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2E3F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46602</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CD5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18641</w:t>
            </w:r>
          </w:p>
        </w:tc>
      </w:tr>
      <w:tr w14:paraId="4C083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247" w:hRule="atLeast"/>
          <w:jc w:val="center"/>
        </w:trPr>
        <w:tc>
          <w:tcPr>
            <w:tcW w:w="3571"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16BEF1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合计</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F9E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263517</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5F6E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75429</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E944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30985</w:t>
            </w:r>
          </w:p>
        </w:tc>
      </w:tr>
      <w:tr w14:paraId="51100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BC8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075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金海广场</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81A7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CFCB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D9E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FD4E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CA9F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4F6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4D9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68536</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74A7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54829</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2EC8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21931</w:t>
            </w:r>
          </w:p>
        </w:tc>
      </w:tr>
      <w:tr w14:paraId="5BAC9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974F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083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棋盘井镇三维广场</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1878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2111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A152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A637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64E1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4EBC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115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11669</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BA12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9335</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B2F4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3734</w:t>
            </w:r>
          </w:p>
        </w:tc>
      </w:tr>
      <w:tr w14:paraId="4338F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8F1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C777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棋盘井镇职工文化中心</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575F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D847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2C16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AA9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94F3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14C7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E28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21268</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BE3C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12761</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E2C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5104</w:t>
            </w:r>
          </w:p>
        </w:tc>
      </w:tr>
      <w:tr w14:paraId="09928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FFF2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3DF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棋盘井第四小学</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A6BE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D56EA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131A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622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E52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F173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学校类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9D3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107410</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3BD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8848</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278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3644</w:t>
            </w:r>
          </w:p>
        </w:tc>
      </w:tr>
      <w:tr w14:paraId="3D804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FBCE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BD5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祺祥社区门前小广场</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A8FA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31A0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EC2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ED24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C25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48E9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E239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4816</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EECE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3852</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2BE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2568</w:t>
            </w:r>
          </w:p>
        </w:tc>
      </w:tr>
      <w:tr w14:paraId="64FAF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DFF6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D15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固业社区泰祥国际北广场</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602F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E7C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B1B0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C1CA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1313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04A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5570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35158</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E3BE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28127</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E7AB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18751</w:t>
            </w:r>
          </w:p>
        </w:tc>
      </w:tr>
      <w:tr w14:paraId="5F36C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4BEB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A89B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艾力社区宏达A区广场</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ECD7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71F6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422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64FB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3A21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BCD7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8A60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31177</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C0B3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24942</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5DAA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12471</w:t>
            </w:r>
          </w:p>
        </w:tc>
      </w:tr>
      <w:tr w14:paraId="5B4CE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A211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E00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棋盘井第二小学</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D0CE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B47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06C0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492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ABE9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A7AD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学校类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E93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101269</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40DD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11349</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DC9B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4892</w:t>
            </w:r>
          </w:p>
        </w:tc>
      </w:tr>
      <w:tr w14:paraId="64771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37F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64B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靖安社区民族幼儿园</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BD71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81C5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E9BD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900F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D7A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53E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学校类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334A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2402</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B0CB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2332</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114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1401</w:t>
            </w:r>
          </w:p>
        </w:tc>
      </w:tr>
      <w:tr w14:paraId="49886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8841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1474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新欣社区棋盘井第三小学</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F35A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AE2A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970D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368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924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B7CD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学校类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3C11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92260</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0B0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12877</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A23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5503</w:t>
            </w:r>
          </w:p>
        </w:tc>
      </w:tr>
      <w:tr w14:paraId="26DE6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A8CA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C2EA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棋盘社区棋盘井中学</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C152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0466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C60B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C0C2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870B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FBA6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学校类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82C8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82921</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49F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15369</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B5DC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6520</w:t>
            </w:r>
          </w:p>
        </w:tc>
      </w:tr>
      <w:tr w14:paraId="25849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E42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1CE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棋盘井第一小学</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C2C9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478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2B4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65A8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E8C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426E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学校类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54D5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59755</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048F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10693</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671E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4546</w:t>
            </w:r>
          </w:p>
        </w:tc>
      </w:tr>
      <w:tr w14:paraId="66436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4B7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3071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棋盘井第一幼儿园</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0685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B4B0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83552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0659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FB2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E1C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学校类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3961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20701</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7ED2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13055</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334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8358</w:t>
            </w:r>
          </w:p>
        </w:tc>
      </w:tr>
      <w:tr w14:paraId="6DC85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461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80D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梦翔社区新区幼儿园</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EFEB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D51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27C7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CDF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F4A2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764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学校类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75A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16004</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28E7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16863</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C47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10725</w:t>
            </w:r>
          </w:p>
        </w:tc>
      </w:tr>
      <w:tr w14:paraId="3EB6B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360B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979CA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天誉天城黑马广场</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BC66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1E5A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DDA0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393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A75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DD35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F5F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6433</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D728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5147</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2C43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3431</w:t>
            </w:r>
          </w:p>
        </w:tc>
      </w:tr>
      <w:tr w14:paraId="7C779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571"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A2554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合计</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D77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661779</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A82E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230379</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46FB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113579</w:t>
            </w:r>
          </w:p>
        </w:tc>
      </w:tr>
      <w:tr w14:paraId="1B6D8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2FC2D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BFF2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蒙西学校操场</w:t>
            </w:r>
          </w:p>
        </w:tc>
        <w:tc>
          <w:tcPr>
            <w:tcW w:w="25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966C7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w:t>
            </w: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18B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792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7FB8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420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6CAD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学校类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1F2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106102</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1C97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46111</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2C9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19872</w:t>
            </w:r>
          </w:p>
        </w:tc>
      </w:tr>
      <w:tr w14:paraId="47C7E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185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EE73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兵团广场</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EFD6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E2F6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3923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16A5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F17C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5F2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广场类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0E77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17239</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5F9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8619</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1DD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5746</w:t>
            </w:r>
          </w:p>
        </w:tc>
      </w:tr>
      <w:tr w14:paraId="63289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84739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27</w:t>
            </w:r>
          </w:p>
        </w:tc>
        <w:tc>
          <w:tcPr>
            <w:tcW w:w="11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6481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碱柜村小学操场</w:t>
            </w:r>
          </w:p>
        </w:tc>
        <w:tc>
          <w:tcPr>
            <w:tcW w:w="25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ED53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BA42B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81B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综合型</w:t>
            </w:r>
          </w:p>
        </w:tc>
        <w:tc>
          <w:tcPr>
            <w:tcW w:w="24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AA16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w:t>
            </w:r>
          </w:p>
        </w:tc>
        <w:tc>
          <w:tcPr>
            <w:tcW w:w="5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32A1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w:t>
            </w:r>
          </w:p>
        </w:tc>
        <w:tc>
          <w:tcPr>
            <w:tcW w:w="4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369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学校类</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A709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41659</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7FBC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23428</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070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14948</w:t>
            </w:r>
          </w:p>
        </w:tc>
      </w:tr>
      <w:tr w14:paraId="0B676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3571"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F074F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合计</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4CA1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165000</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F60D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78158</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C2C5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40566</w:t>
            </w:r>
          </w:p>
        </w:tc>
      </w:tr>
      <w:tr w14:paraId="0CB41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729" w:hRule="atLeast"/>
          <w:jc w:val="center"/>
        </w:trPr>
        <w:tc>
          <w:tcPr>
            <w:tcW w:w="3571"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150F5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总计</w:t>
            </w:r>
          </w:p>
        </w:tc>
        <w:tc>
          <w:tcPr>
            <w:tcW w:w="4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437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1208253</w:t>
            </w:r>
          </w:p>
        </w:tc>
        <w:tc>
          <w:tcPr>
            <w:tcW w:w="42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3B77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449387</w:t>
            </w:r>
          </w:p>
        </w:tc>
        <w:tc>
          <w:tcPr>
            <w:tcW w:w="5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DE8C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212286</w:t>
            </w:r>
          </w:p>
        </w:tc>
      </w:tr>
    </w:tbl>
    <w:p w14:paraId="6F3305E4">
      <w:pPr>
        <w:pStyle w:val="3"/>
        <w:keepNext/>
        <w:keepLines/>
        <w:pageBreakBefore w:val="0"/>
        <w:widowControl/>
        <w:numPr>
          <w:ilvl w:val="0"/>
          <w:numId w:val="0"/>
        </w:numPr>
        <w:tabs>
          <w:tab w:val="left" w:pos="1419"/>
        </w:tabs>
        <w:kinsoku w:val="0"/>
        <w:wordWrap/>
        <w:overflowPunct/>
        <w:topLinePunct w:val="0"/>
        <w:autoSpaceDE w:val="0"/>
        <w:autoSpaceDN w:val="0"/>
        <w:bidi w:val="0"/>
        <w:adjustRightInd w:val="0"/>
        <w:snapToGrid w:val="0"/>
        <w:spacing w:before="163" w:after="163" w:line="560" w:lineRule="exact"/>
        <w:jc w:val="center"/>
        <w:textAlignment w:val="baseline"/>
        <w:rPr>
          <w:rFonts w:hint="eastAsia" w:ascii="仿宋_GB2312" w:hAnsi="仿宋_GB2312" w:eastAsia="仿宋_GB2312" w:cs="仿宋_GB2312"/>
          <w:color w:val="auto"/>
          <w:sz w:val="36"/>
          <w:szCs w:val="36"/>
          <w:highlight w:val="none"/>
          <w:lang w:val="en-US" w:eastAsia="zh-CN"/>
        </w:rPr>
      </w:pPr>
      <w:bookmarkStart w:id="359" w:name="_Toc10844"/>
      <w:r>
        <w:rPr>
          <w:rFonts w:hint="eastAsia" w:ascii="仿宋_GB2312" w:hAnsi="仿宋_GB2312" w:eastAsia="仿宋_GB2312" w:cs="仿宋_GB2312"/>
          <w:color w:val="auto"/>
          <w:sz w:val="36"/>
          <w:szCs w:val="36"/>
          <w:highlight w:val="none"/>
          <w:lang w:val="en-US" w:eastAsia="zh-CN"/>
        </w:rPr>
        <w:t>附表2  中心城区现状应急避难场所应急通道统计表</w:t>
      </w:r>
      <w:bookmarkEnd w:id="359"/>
    </w:p>
    <w:tbl>
      <w:tblPr>
        <w:tblStyle w:val="20"/>
        <w:tblW w:w="503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60"/>
        <w:gridCol w:w="1494"/>
        <w:gridCol w:w="3286"/>
        <w:gridCol w:w="2454"/>
        <w:gridCol w:w="1443"/>
        <w:gridCol w:w="1732"/>
        <w:gridCol w:w="1966"/>
      </w:tblGrid>
      <w:tr w14:paraId="3897A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E00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序号</w:t>
            </w:r>
          </w:p>
        </w:tc>
        <w:tc>
          <w:tcPr>
            <w:tcW w:w="5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B39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行政区</w:t>
            </w:r>
          </w:p>
        </w:tc>
        <w:tc>
          <w:tcPr>
            <w:tcW w:w="12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98A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场所名称</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3CA2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周边疏散道路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9A9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道路级别</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A1E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道路</w:t>
            </w:r>
          </w:p>
          <w:p w14:paraId="6D405E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宽度（米）</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2C7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lang w:val="en-US" w:eastAsia="zh-CN"/>
              </w:rPr>
            </w:pPr>
            <w:r>
              <w:rPr>
                <w:rFonts w:hint="eastAsia" w:ascii="方正书宋简体" w:hAnsi="方正书宋简体" w:eastAsia="方正书宋简体" w:cs="方正书宋简体"/>
                <w:b/>
                <w:bCs/>
                <w:i w:val="0"/>
                <w:iCs w:val="0"/>
                <w:color w:val="auto"/>
                <w:sz w:val="21"/>
                <w:szCs w:val="21"/>
                <w:highlight w:val="none"/>
                <w:u w:val="none"/>
                <w:lang w:val="en-US" w:eastAsia="zh-CN"/>
              </w:rPr>
              <w:t>建设方式</w:t>
            </w:r>
          </w:p>
        </w:tc>
      </w:tr>
      <w:tr w14:paraId="001F3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E8D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715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w:t>
            </w: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ECF6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乌兰宫广场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866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布日都路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D3B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E12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9F8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56AEE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91C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804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5D2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192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乌仁都西街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E4D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14E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3BB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45D42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00A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05B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C780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圣火广场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4C8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西鄂尔多斯路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44B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主干路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B6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3FF5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2CBB3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983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954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F2D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6CE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布日都路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6E5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09B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714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5ABDE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FCC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CF6F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9F9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4E8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E7C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主干路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AEC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7B3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0F715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383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FFF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4F6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A7B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布隆街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625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1BE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072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1907C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99F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F1E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D429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西鄂尔多斯文化主题公园</w:t>
            </w: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96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百眼井路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4A3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主干路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D2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302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37D1A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89D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FAF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0D0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99E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9AB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主干路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FC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7F3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31B65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23C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1B5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FB4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B4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西大街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53C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主干路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DDD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F992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4FB04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8BE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D0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w:t>
            </w: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9AB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棋盘井镇金海广场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D89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棋盘井西街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D9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主干路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B75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45B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5061A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58B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ED5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943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FD5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通宝路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DEE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972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64E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1BCAE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65A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DC3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CB6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2CC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金海路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A13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4F8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8E1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363E5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181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18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0F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5A2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934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8FB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F73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4A9D8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D12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77A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4AF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棋盘井镇三维广场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FA9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棋盘井东街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2A8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主干路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371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CC6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53CB6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A75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04E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B15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137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民生路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181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2FA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8927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25D12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83C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A1F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nil"/>
              <w:right w:val="single" w:color="000000" w:sz="4" w:space="0"/>
            </w:tcBorders>
            <w:shd w:val="clear" w:color="auto" w:fill="auto"/>
            <w:noWrap/>
            <w:vAlign w:val="center"/>
          </w:tcPr>
          <w:p w14:paraId="7C0E7C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棋盘井镇职工文化中心</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DD6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西鄂尔多斯街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86A0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443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058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51D84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358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29D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nil"/>
              <w:right w:val="single" w:color="000000" w:sz="4" w:space="0"/>
            </w:tcBorders>
            <w:shd w:val="clear" w:color="auto" w:fill="auto"/>
            <w:noWrap/>
            <w:vAlign w:val="center"/>
          </w:tcPr>
          <w:p w14:paraId="4441D2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481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金海路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306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46F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2A3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3E527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59F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CEA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780A8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5B2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隆昌路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2BF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5E0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42F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7C727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B90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208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CFE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棋盘井第四小学</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EAF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民生路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587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035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3A5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未硬化道路</w:t>
            </w:r>
          </w:p>
        </w:tc>
      </w:tr>
      <w:tr w14:paraId="159D3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B61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C94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06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41A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伊克达来街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57D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5E3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4B4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3B97A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622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44DD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E61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D48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利民街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12A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A9C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C27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规划道路</w:t>
            </w:r>
          </w:p>
        </w:tc>
      </w:tr>
      <w:tr w14:paraId="1BC77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40B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36E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215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祺祥社区门前小广场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00B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建五路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C1E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3AB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DE0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566EA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E2B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51A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5EF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073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七号街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8D3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465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A8B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6DBF5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C6C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F11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66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固业社区泰祥国际北广场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C41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棋盘井东街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892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主干路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D08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A238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2C0C2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085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E8E9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4D3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F42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生态园路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A29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0DF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871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2F382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F8A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7718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D61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艾力社区宏达A区广场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258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南环路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F8F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06C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877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0A86F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07E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27</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73D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3A0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C622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宏达路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BF5F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540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2EA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737BE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FA0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C5FA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8F1B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728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沙井路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216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913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094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5CB8A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A64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D06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92D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棋盘井第二小学</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0F3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阿尔巴斯东街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A27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主干路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2D98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1CA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34362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DAB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29B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782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582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希望路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0FA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7AF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FB7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55A49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1EA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B81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56A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2F2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83F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A86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0AD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规划道路</w:t>
            </w:r>
          </w:p>
        </w:tc>
      </w:tr>
      <w:tr w14:paraId="61296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109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32</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E87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90D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靖安社区民族幼儿园</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3CF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赛乌素路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52D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B5A0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33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0B0DF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718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71F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3DA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新欣社区棋盘井第三小学</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617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硅电大街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5C5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8D8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ABC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1A462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AB1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1F5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908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EB5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金海路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423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1CD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E43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120D9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694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A1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998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47E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百眼井大街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7A6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1E8D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C35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50D28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197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36</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742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84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7EB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通宝路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98B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BF0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1EC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366E3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513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37</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0F1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nil"/>
              <w:right w:val="single" w:color="000000" w:sz="4" w:space="0"/>
            </w:tcBorders>
            <w:shd w:val="clear" w:color="auto" w:fill="auto"/>
            <w:noWrap/>
            <w:vAlign w:val="center"/>
          </w:tcPr>
          <w:p w14:paraId="431979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棋盘社区棋盘井中学</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428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利民街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0B9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CD1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21D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26BA2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A8E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70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nil"/>
              <w:right w:val="single" w:color="000000" w:sz="4" w:space="0"/>
            </w:tcBorders>
            <w:shd w:val="clear" w:color="auto" w:fill="auto"/>
            <w:noWrap/>
            <w:vAlign w:val="center"/>
          </w:tcPr>
          <w:p w14:paraId="022A42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1FD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陶利路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14C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056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3A9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1A1DF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E0F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39</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484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8E9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棋盘井第一小学</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2CE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尔格图东街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2A6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A87B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EE0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5E57C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013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F1F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8A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D2A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芒格图路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99D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CCE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68E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规划道路</w:t>
            </w:r>
          </w:p>
        </w:tc>
      </w:tr>
      <w:tr w14:paraId="2AA77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503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6D58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20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棋盘井第一幼儿园</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F7C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哈马太路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00F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C263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5E49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7D19C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CC8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42</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7C7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ED4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FF5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石勒凯街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FAC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E9D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B8C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03C7F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331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43</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49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B3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梦翔社区新区幼儿园</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430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锦绣街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A9C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A30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C95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1A60C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824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44</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D0E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469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92F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阿尔寨路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EE48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415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AEA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2A22D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91D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EE0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350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1F7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通宝路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A8C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489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51D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25D1B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B4E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8D9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42C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天誉天城黑马广场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ED1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小区内</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2B8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0E3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02B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0AD46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226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47</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4CF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86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阿尔巴斯苏木查布全民健身广场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58D0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B45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0CF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781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66AFE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530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3A0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1C1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阿尔巴斯苏木赛音乌素广场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98B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赛乌苏巴特大街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A6F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42F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8F2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69302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9C4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49</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217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22A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A3F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扎查线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DE3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县道</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F84B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695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648C1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CD9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D3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6C2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036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A6E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主干路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D53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DC7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201AD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FD1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37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23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180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F0B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支路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1AB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DCD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41C24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300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AD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0C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阿尔巴斯苏木新昭广场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730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FD5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5C8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37D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414CF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DDA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53</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17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w:t>
            </w:r>
          </w:p>
        </w:tc>
        <w:tc>
          <w:tcPr>
            <w:tcW w:w="1214" w:type="pct"/>
            <w:vMerge w:val="restart"/>
            <w:tcBorders>
              <w:top w:val="single" w:color="000000" w:sz="4" w:space="0"/>
              <w:left w:val="single" w:color="000000" w:sz="4" w:space="0"/>
              <w:right w:val="single" w:color="000000" w:sz="4" w:space="0"/>
            </w:tcBorders>
            <w:shd w:val="clear" w:color="auto" w:fill="auto"/>
            <w:noWrap/>
            <w:vAlign w:val="center"/>
          </w:tcPr>
          <w:p w14:paraId="0C1005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蒙西学校操场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6E4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阳光街</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F46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CC0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AC5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063DD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59F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54</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E8E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vMerge w:val="continue"/>
            <w:tcBorders>
              <w:left w:val="single" w:color="000000" w:sz="4" w:space="0"/>
              <w:bottom w:val="single" w:color="000000" w:sz="4" w:space="0"/>
              <w:right w:val="single" w:color="000000" w:sz="4" w:space="0"/>
            </w:tcBorders>
            <w:shd w:val="clear" w:color="auto" w:fill="auto"/>
            <w:noWrap/>
            <w:vAlign w:val="center"/>
          </w:tcPr>
          <w:p w14:paraId="596F13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569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园丁路</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372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次干路</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3C5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1A3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142D5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20B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55</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DBA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CA5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兵团广场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D51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078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CD0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181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74FE5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BE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56</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48C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A7D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碱柜村小学操场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2DF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京银线</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1E9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国道</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6A3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A8B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36FC8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DE7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57</w:t>
            </w:r>
          </w:p>
        </w:tc>
        <w:tc>
          <w:tcPr>
            <w:tcW w:w="55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BA6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86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苏米图苏木苏里格嘎查文化广场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17A4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504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E73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F7DB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64E2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7"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B72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w:t>
            </w:r>
          </w:p>
        </w:tc>
        <w:tc>
          <w:tcPr>
            <w:tcW w:w="55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A4F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43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苏米图苏木开发区、苏木政府所在地南100米</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35C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DC4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E93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D67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r w14:paraId="6F02A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A52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59</w:t>
            </w:r>
          </w:p>
        </w:tc>
        <w:tc>
          <w:tcPr>
            <w:tcW w:w="5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38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w:t>
            </w:r>
          </w:p>
        </w:tc>
        <w:tc>
          <w:tcPr>
            <w:tcW w:w="12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E1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木凯淖尔镇人民政府广场</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2F6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3D0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6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1A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w:t>
            </w:r>
          </w:p>
        </w:tc>
        <w:tc>
          <w:tcPr>
            <w:tcW w:w="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185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已建市政道路</w:t>
            </w:r>
          </w:p>
        </w:tc>
      </w:tr>
    </w:tbl>
    <w:p w14:paraId="7452F854">
      <w:pPr>
        <w:pStyle w:val="3"/>
        <w:keepNext/>
        <w:keepLines/>
        <w:pageBreakBefore w:val="0"/>
        <w:widowControl/>
        <w:numPr>
          <w:ilvl w:val="0"/>
          <w:numId w:val="0"/>
        </w:numPr>
        <w:tabs>
          <w:tab w:val="left" w:pos="1419"/>
        </w:tabs>
        <w:kinsoku w:val="0"/>
        <w:wordWrap/>
        <w:overflowPunct/>
        <w:topLinePunct w:val="0"/>
        <w:autoSpaceDE w:val="0"/>
        <w:autoSpaceDN w:val="0"/>
        <w:bidi w:val="0"/>
        <w:adjustRightInd w:val="0"/>
        <w:snapToGrid w:val="0"/>
        <w:spacing w:before="163" w:after="163" w:line="560" w:lineRule="exact"/>
        <w:jc w:val="center"/>
        <w:textAlignment w:val="baseline"/>
        <w:rPr>
          <w:rFonts w:hint="eastAsia" w:ascii="仿宋_GB2312" w:hAnsi="仿宋_GB2312" w:eastAsia="仿宋_GB2312" w:cs="仿宋_GB2312"/>
          <w:color w:val="auto"/>
          <w:sz w:val="36"/>
          <w:szCs w:val="36"/>
          <w:highlight w:val="none"/>
          <w:lang w:val="en-US" w:eastAsia="zh-CN"/>
        </w:rPr>
      </w:pPr>
      <w:bookmarkStart w:id="360" w:name="_Toc10764"/>
      <w:r>
        <w:rPr>
          <w:rFonts w:hint="eastAsia" w:ascii="仿宋_GB2312" w:hAnsi="仿宋_GB2312" w:eastAsia="仿宋_GB2312" w:cs="仿宋_GB2312"/>
          <w:color w:val="auto"/>
          <w:sz w:val="36"/>
          <w:szCs w:val="36"/>
          <w:highlight w:val="none"/>
          <w:lang w:val="en-US" w:eastAsia="zh-CN"/>
        </w:rPr>
        <w:t>附表3  规划指标表</w:t>
      </w:r>
      <w:bookmarkEnd w:id="360"/>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7"/>
        <w:gridCol w:w="4468"/>
        <w:gridCol w:w="1405"/>
        <w:gridCol w:w="2511"/>
        <w:gridCol w:w="2517"/>
        <w:gridCol w:w="1576"/>
      </w:tblGrid>
      <w:tr w14:paraId="2964C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C3F0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序号</w:t>
            </w:r>
          </w:p>
        </w:tc>
        <w:tc>
          <w:tcPr>
            <w:tcW w:w="16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E8D6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指标</w:t>
            </w:r>
          </w:p>
        </w:tc>
        <w:tc>
          <w:tcPr>
            <w:tcW w:w="5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F588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现状</w:t>
            </w:r>
          </w:p>
        </w:tc>
        <w:tc>
          <w:tcPr>
            <w:tcW w:w="186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4998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规划目标</w:t>
            </w:r>
          </w:p>
        </w:tc>
        <w:tc>
          <w:tcPr>
            <w:tcW w:w="5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4A33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属性</w:t>
            </w:r>
          </w:p>
        </w:tc>
      </w:tr>
      <w:tr w14:paraId="26484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D3F5A">
            <w:pPr>
              <w:keepNext w:val="0"/>
              <w:keepLines w:val="0"/>
              <w:pageBreakBefore w:val="0"/>
              <w:widowControl/>
              <w:wordWrap/>
              <w:overflowPunct/>
              <w:topLinePunct w:val="0"/>
              <w:bidi w:val="0"/>
              <w:adjustRightInd w:val="0"/>
              <w:snapToGrid w:val="0"/>
              <w:spacing w:line="310" w:lineRule="exact"/>
              <w:jc w:val="center"/>
              <w:rPr>
                <w:rFonts w:hint="eastAsia" w:ascii="方正书宋简体" w:hAnsi="方正书宋简体" w:eastAsia="方正书宋简体" w:cs="方正书宋简体"/>
                <w:b/>
                <w:bCs/>
                <w:i w:val="0"/>
                <w:iCs w:val="0"/>
                <w:color w:val="auto"/>
                <w:sz w:val="21"/>
                <w:szCs w:val="21"/>
                <w:highlight w:val="none"/>
                <w:u w:val="none"/>
              </w:rPr>
            </w:pPr>
          </w:p>
        </w:tc>
        <w:tc>
          <w:tcPr>
            <w:tcW w:w="16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F1281">
            <w:pPr>
              <w:keepNext w:val="0"/>
              <w:keepLines w:val="0"/>
              <w:pageBreakBefore w:val="0"/>
              <w:widowControl/>
              <w:wordWrap/>
              <w:overflowPunct/>
              <w:topLinePunct w:val="0"/>
              <w:bidi w:val="0"/>
              <w:adjustRightInd w:val="0"/>
              <w:snapToGrid w:val="0"/>
              <w:spacing w:line="310" w:lineRule="exact"/>
              <w:jc w:val="center"/>
              <w:rPr>
                <w:rFonts w:hint="eastAsia" w:ascii="方正书宋简体" w:hAnsi="方正书宋简体" w:eastAsia="方正书宋简体" w:cs="方正书宋简体"/>
                <w:b/>
                <w:bCs/>
                <w:i w:val="0"/>
                <w:iCs w:val="0"/>
                <w:color w:val="auto"/>
                <w:sz w:val="21"/>
                <w:szCs w:val="21"/>
                <w:highlight w:val="none"/>
                <w:u w:val="none"/>
              </w:rPr>
            </w:pPr>
          </w:p>
        </w:tc>
        <w:tc>
          <w:tcPr>
            <w:tcW w:w="5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29F8E">
            <w:pPr>
              <w:keepNext w:val="0"/>
              <w:keepLines w:val="0"/>
              <w:pageBreakBefore w:val="0"/>
              <w:widowControl/>
              <w:wordWrap/>
              <w:overflowPunct/>
              <w:topLinePunct w:val="0"/>
              <w:bidi w:val="0"/>
              <w:adjustRightInd w:val="0"/>
              <w:snapToGrid w:val="0"/>
              <w:spacing w:line="310" w:lineRule="exact"/>
              <w:jc w:val="center"/>
              <w:rPr>
                <w:rFonts w:hint="eastAsia" w:ascii="方正书宋简体" w:hAnsi="方正书宋简体" w:eastAsia="方正书宋简体" w:cs="方正书宋简体"/>
                <w:b/>
                <w:bCs/>
                <w:i w:val="0"/>
                <w:iCs w:val="0"/>
                <w:color w:val="auto"/>
                <w:sz w:val="21"/>
                <w:szCs w:val="21"/>
                <w:highlight w:val="none"/>
                <w:u w:val="none"/>
              </w:rPr>
            </w:pP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3D6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近期（2030年）</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E57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远期（2035年）</w:t>
            </w:r>
          </w:p>
        </w:tc>
        <w:tc>
          <w:tcPr>
            <w:tcW w:w="5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F5230">
            <w:pPr>
              <w:keepNext w:val="0"/>
              <w:keepLines w:val="0"/>
              <w:pageBreakBefore w:val="0"/>
              <w:widowControl/>
              <w:wordWrap/>
              <w:overflowPunct/>
              <w:topLinePunct w:val="0"/>
              <w:bidi w:val="0"/>
              <w:adjustRightInd w:val="0"/>
              <w:snapToGrid w:val="0"/>
              <w:spacing w:line="310" w:lineRule="exact"/>
              <w:jc w:val="center"/>
              <w:rPr>
                <w:rFonts w:hint="eastAsia" w:ascii="方正书宋简体" w:hAnsi="方正书宋简体" w:eastAsia="方正书宋简体" w:cs="方正书宋简体"/>
                <w:b/>
                <w:bCs/>
                <w:i w:val="0"/>
                <w:iCs w:val="0"/>
                <w:color w:val="auto"/>
                <w:sz w:val="21"/>
                <w:szCs w:val="21"/>
                <w:highlight w:val="none"/>
                <w:u w:val="none"/>
              </w:rPr>
            </w:pPr>
          </w:p>
        </w:tc>
      </w:tr>
      <w:tr w14:paraId="3FFD0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456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794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bCs/>
                <w:color w:val="auto"/>
                <w:kern w:val="0"/>
                <w:sz w:val="21"/>
                <w:szCs w:val="21"/>
                <w:highlight w:val="none"/>
              </w:rPr>
              <w:t>常住人口规模（万人）</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9FB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17.2</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F81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≥19.6</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A31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≥24.2</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1C2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1FF20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893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241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可满足避难人口规模（人）</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E3D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SA"/>
              </w:rPr>
              <w:t>8.60</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651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13.37</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DAF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≥24.2</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FCD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5BC0D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43D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62A9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应急避难场所个数（处）</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453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27</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AE5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48</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203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179</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6E7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0F3B2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D00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775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满足所需避难人口百分比（%）</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351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52.86</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ABF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81.03</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25C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100</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C04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65069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D60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D51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人均有效避难面积（平方米）</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16D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2.01</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8FA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2.14</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392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2.03</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DB6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07DBE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B60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6</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619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旗级应急避难场所比例（%）</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93CC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11.11</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061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31.25</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04F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18.44</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1A3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0C4B4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14F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7</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4C6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苏木镇级应急避难场所比例（%）</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E91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88.89</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983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54.17</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DE1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29.61</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921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68287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4DDB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8</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AAF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嘎查村（社区）级应急避难场所比例（%）</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5DE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CA0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14.58</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5D4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51.96</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E0E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5B67B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5F1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9</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BA8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长期避难场所比例（%）</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F17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B93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16.67</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446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6.15</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E99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3A815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18B7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10</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D0EB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短期避难场所比例（%）</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9CB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7.4</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210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31.25</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EDD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17.32</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DBA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33E8A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77FC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11</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D58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紧急避难场所比例（%）</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6C1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92.59</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E04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52.08</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F4E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76.54</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5BC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6F564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4E4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12</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475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室内避难场所比例（%）</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D51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751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41.67</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07B3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59.78</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378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r w14:paraId="3755F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7"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912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13</w:t>
            </w:r>
          </w:p>
        </w:tc>
        <w:tc>
          <w:tcPr>
            <w:tcW w:w="16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1F98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室外避难场所比例（%）</w:t>
            </w:r>
          </w:p>
        </w:tc>
        <w:tc>
          <w:tcPr>
            <w:tcW w:w="5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F7F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100</w:t>
            </w:r>
          </w:p>
        </w:tc>
        <w:tc>
          <w:tcPr>
            <w:tcW w:w="9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377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58.33</w:t>
            </w:r>
          </w:p>
        </w:tc>
        <w:tc>
          <w:tcPr>
            <w:tcW w:w="9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8D6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40.22</w:t>
            </w:r>
          </w:p>
        </w:tc>
        <w:tc>
          <w:tcPr>
            <w:tcW w:w="5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36E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预期性</w:t>
            </w:r>
          </w:p>
        </w:tc>
      </w:tr>
    </w:tbl>
    <w:p w14:paraId="01999570">
      <w:pPr>
        <w:pageBreakBefore w:val="0"/>
        <w:wordWrap/>
        <w:overflowPunct/>
        <w:topLinePunct w:val="0"/>
        <w:bidi w:val="0"/>
        <w:adjustRightInd w:val="0"/>
        <w:snapToGrid w:val="0"/>
        <w:spacing w:line="310" w:lineRule="exact"/>
        <w:rPr>
          <w:rFonts w:hint="eastAsia" w:ascii="方正书宋简体" w:hAnsi="方正书宋简体" w:eastAsia="方正书宋简体" w:cs="方正书宋简体"/>
          <w:color w:val="auto"/>
          <w:sz w:val="21"/>
          <w:szCs w:val="21"/>
          <w:highlight w:val="none"/>
          <w:lang w:val="en-US" w:eastAsia="zh-CN"/>
        </w:rPr>
      </w:pPr>
      <w:r>
        <w:rPr>
          <w:rFonts w:hint="eastAsia" w:ascii="方正书宋简体" w:hAnsi="方正书宋简体" w:eastAsia="方正书宋简体" w:cs="方正书宋简体"/>
          <w:color w:val="auto"/>
          <w:sz w:val="21"/>
          <w:szCs w:val="21"/>
          <w:highlight w:val="none"/>
          <w:lang w:val="en-US" w:eastAsia="zh-CN"/>
        </w:rPr>
        <w:br w:type="page"/>
      </w:r>
    </w:p>
    <w:p w14:paraId="5990F87D">
      <w:pPr>
        <w:pStyle w:val="3"/>
        <w:keepNext/>
        <w:keepLines/>
        <w:pageBreakBefore w:val="0"/>
        <w:widowControl/>
        <w:numPr>
          <w:ilvl w:val="0"/>
          <w:numId w:val="0"/>
        </w:numPr>
        <w:tabs>
          <w:tab w:val="left" w:pos="1419"/>
        </w:tabs>
        <w:kinsoku w:val="0"/>
        <w:wordWrap/>
        <w:overflowPunct/>
        <w:topLinePunct w:val="0"/>
        <w:autoSpaceDE w:val="0"/>
        <w:autoSpaceDN w:val="0"/>
        <w:bidi w:val="0"/>
        <w:adjustRightInd w:val="0"/>
        <w:snapToGrid w:val="0"/>
        <w:spacing w:before="163" w:after="163" w:line="560" w:lineRule="exact"/>
        <w:jc w:val="center"/>
        <w:textAlignment w:val="baseline"/>
        <w:rPr>
          <w:rFonts w:hint="eastAsia" w:ascii="仿宋_GB2312" w:hAnsi="仿宋_GB2312" w:eastAsia="仿宋_GB2312" w:cs="仿宋_GB2312"/>
          <w:color w:val="auto"/>
          <w:sz w:val="36"/>
          <w:szCs w:val="36"/>
          <w:highlight w:val="none"/>
          <w:lang w:val="en-US" w:eastAsia="zh-CN"/>
        </w:rPr>
      </w:pPr>
      <w:bookmarkStart w:id="361" w:name="_Toc16852"/>
      <w:r>
        <w:rPr>
          <w:rFonts w:hint="eastAsia" w:ascii="仿宋_GB2312" w:hAnsi="仿宋_GB2312" w:eastAsia="仿宋_GB2312" w:cs="仿宋_GB2312"/>
          <w:color w:val="auto"/>
          <w:sz w:val="36"/>
          <w:szCs w:val="36"/>
          <w:highlight w:val="none"/>
          <w:lang w:val="en-US" w:eastAsia="zh-CN"/>
        </w:rPr>
        <w:t>附表4  应急避难场所分类（避难时长）体系规划汇总表</w:t>
      </w:r>
      <w:bookmarkEnd w:id="361"/>
    </w:p>
    <w:tbl>
      <w:tblPr>
        <w:tblStyle w:val="20"/>
        <w:tblW w:w="505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55"/>
        <w:gridCol w:w="2193"/>
        <w:gridCol w:w="3253"/>
        <w:gridCol w:w="2656"/>
        <w:gridCol w:w="2656"/>
      </w:tblGrid>
      <w:tr w14:paraId="4E478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1" w:hRule="atLeast"/>
        </w:trPr>
        <w:tc>
          <w:tcPr>
            <w:tcW w:w="1048" w:type="pct"/>
            <w:tcBorders>
              <w:top w:val="single" w:color="000000" w:sz="4" w:space="0"/>
              <w:left w:val="single" w:color="000000" w:sz="4" w:space="0"/>
              <w:bottom w:val="nil"/>
              <w:right w:val="single" w:color="000000" w:sz="4" w:space="0"/>
            </w:tcBorders>
            <w:shd w:val="clear" w:color="auto" w:fill="auto"/>
            <w:vAlign w:val="center"/>
          </w:tcPr>
          <w:p w14:paraId="78B422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分类体系（避难时长）</w:t>
            </w:r>
          </w:p>
        </w:tc>
        <w:tc>
          <w:tcPr>
            <w:tcW w:w="805" w:type="pct"/>
            <w:tcBorders>
              <w:top w:val="single" w:color="000000" w:sz="4" w:space="0"/>
              <w:left w:val="single" w:color="000000" w:sz="4" w:space="0"/>
              <w:bottom w:val="nil"/>
              <w:right w:val="single" w:color="000000" w:sz="4" w:space="0"/>
            </w:tcBorders>
            <w:shd w:val="clear" w:color="auto" w:fill="auto"/>
            <w:vAlign w:val="center"/>
          </w:tcPr>
          <w:p w14:paraId="47DEA7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场所个数（处）</w:t>
            </w:r>
          </w:p>
        </w:tc>
        <w:tc>
          <w:tcPr>
            <w:tcW w:w="1194" w:type="pct"/>
            <w:tcBorders>
              <w:top w:val="single" w:color="000000" w:sz="4" w:space="0"/>
              <w:left w:val="single" w:color="000000" w:sz="4" w:space="0"/>
              <w:bottom w:val="nil"/>
              <w:right w:val="single" w:color="000000" w:sz="4" w:space="0"/>
            </w:tcBorders>
            <w:shd w:val="clear" w:color="auto" w:fill="auto"/>
            <w:vAlign w:val="center"/>
          </w:tcPr>
          <w:p w14:paraId="0EC10D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场所占比（%）</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588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有效应急避难面积（㎡）</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8D4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可容纳避难人口规模（人）</w:t>
            </w:r>
          </w:p>
        </w:tc>
      </w:tr>
      <w:tr w14:paraId="0FA95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trPr>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2A67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紧急避难场所</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21B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137</w:t>
            </w:r>
          </w:p>
        </w:tc>
        <w:tc>
          <w:tcPr>
            <w:tcW w:w="1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47E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76.54%</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CF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403688</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694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228351</w:t>
            </w:r>
          </w:p>
        </w:tc>
      </w:tr>
      <w:tr w14:paraId="5D334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D01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短期避难场所</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A39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31</w:t>
            </w:r>
          </w:p>
        </w:tc>
        <w:tc>
          <w:tcPr>
            <w:tcW w:w="1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02C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17.32%</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49C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211276</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19A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84510</w:t>
            </w:r>
          </w:p>
        </w:tc>
      </w:tr>
      <w:tr w14:paraId="236EF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344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长期避难场所</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F29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11</w:t>
            </w:r>
          </w:p>
        </w:tc>
        <w:tc>
          <w:tcPr>
            <w:tcW w:w="1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C05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6.15%</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958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111932</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D1C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44414</w:t>
            </w:r>
          </w:p>
        </w:tc>
      </w:tr>
      <w:tr w14:paraId="5BC34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trPr>
        <w:tc>
          <w:tcPr>
            <w:tcW w:w="10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200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合计</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2B2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179</w:t>
            </w:r>
          </w:p>
        </w:tc>
        <w:tc>
          <w:tcPr>
            <w:tcW w:w="11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E0D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100.00%</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812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726896</w:t>
            </w:r>
          </w:p>
        </w:tc>
        <w:tc>
          <w:tcPr>
            <w:tcW w:w="9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94E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357275</w:t>
            </w:r>
          </w:p>
        </w:tc>
      </w:tr>
    </w:tbl>
    <w:p w14:paraId="7154CA16">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仿宋_GB2312" w:hAnsi="仿宋_GB2312" w:eastAsia="仿宋_GB2312" w:cs="仿宋_GB2312"/>
          <w:color w:val="auto"/>
          <w:sz w:val="36"/>
          <w:szCs w:val="36"/>
          <w:highlight w:val="none"/>
          <w:lang w:val="en-US" w:eastAsia="zh-CN"/>
        </w:rPr>
      </w:pPr>
      <w:bookmarkStart w:id="362" w:name="_Toc28384"/>
    </w:p>
    <w:p w14:paraId="5E2B7265">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仿宋_GB2312" w:hAnsi="仿宋_GB2312" w:eastAsia="仿宋_GB2312" w:cs="仿宋_GB2312"/>
          <w:color w:val="auto"/>
          <w:sz w:val="36"/>
          <w:szCs w:val="36"/>
          <w:highlight w:val="none"/>
          <w:lang w:val="en-US" w:eastAsia="zh-CN"/>
        </w:rPr>
      </w:pPr>
      <w:r>
        <w:rPr>
          <w:rFonts w:hint="eastAsia" w:ascii="仿宋_GB2312" w:hAnsi="仿宋_GB2312" w:eastAsia="仿宋_GB2312" w:cs="仿宋_GB2312"/>
          <w:color w:val="auto"/>
          <w:sz w:val="36"/>
          <w:szCs w:val="36"/>
          <w:highlight w:val="none"/>
          <w:lang w:val="en-US" w:eastAsia="zh-CN"/>
        </w:rPr>
        <w:t>附表5  应急避难场所分类（空间类别）体系规划汇总表</w:t>
      </w:r>
      <w:bookmarkEnd w:id="362"/>
    </w:p>
    <w:tbl>
      <w:tblPr>
        <w:tblStyle w:val="20"/>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343"/>
        <w:gridCol w:w="1942"/>
        <w:gridCol w:w="2038"/>
        <w:gridCol w:w="3017"/>
        <w:gridCol w:w="3101"/>
      </w:tblGrid>
      <w:tr w14:paraId="506E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trPr>
        <w:tc>
          <w:tcPr>
            <w:tcW w:w="1243" w:type="pct"/>
            <w:tcBorders>
              <w:top w:val="single" w:color="000000" w:sz="4" w:space="0"/>
              <w:left w:val="single" w:color="000000" w:sz="4" w:space="0"/>
              <w:bottom w:val="nil"/>
              <w:right w:val="single" w:color="000000" w:sz="4" w:space="0"/>
            </w:tcBorders>
            <w:shd w:val="clear" w:color="auto" w:fill="auto"/>
            <w:vAlign w:val="center"/>
          </w:tcPr>
          <w:p w14:paraId="7D510C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分类体系（空间类别）</w:t>
            </w:r>
          </w:p>
        </w:tc>
        <w:tc>
          <w:tcPr>
            <w:tcW w:w="722" w:type="pct"/>
            <w:tcBorders>
              <w:top w:val="single" w:color="000000" w:sz="4" w:space="0"/>
              <w:left w:val="single" w:color="000000" w:sz="4" w:space="0"/>
              <w:bottom w:val="nil"/>
              <w:right w:val="single" w:color="000000" w:sz="4" w:space="0"/>
            </w:tcBorders>
            <w:shd w:val="clear" w:color="auto" w:fill="auto"/>
            <w:vAlign w:val="center"/>
          </w:tcPr>
          <w:p w14:paraId="02F1B9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场所个数（处）</w:t>
            </w:r>
          </w:p>
        </w:tc>
        <w:tc>
          <w:tcPr>
            <w:tcW w:w="758" w:type="pct"/>
            <w:tcBorders>
              <w:top w:val="single" w:color="000000" w:sz="4" w:space="0"/>
              <w:left w:val="single" w:color="000000" w:sz="4" w:space="0"/>
              <w:bottom w:val="nil"/>
              <w:right w:val="single" w:color="000000" w:sz="4" w:space="0"/>
            </w:tcBorders>
            <w:shd w:val="clear" w:color="auto" w:fill="auto"/>
            <w:vAlign w:val="center"/>
          </w:tcPr>
          <w:p w14:paraId="6EFAD4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场所占比（%）</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AE6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有效应急避难面积（㎡）</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2A2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可容纳避难人口规模（人）</w:t>
            </w:r>
          </w:p>
        </w:tc>
      </w:tr>
      <w:tr w14:paraId="6FB9B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 w:hRule="atLeast"/>
        </w:trPr>
        <w:tc>
          <w:tcPr>
            <w:tcW w:w="1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BD2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室内型（内外兼具型）</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13C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107</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4BF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59.78%</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24A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321001</w:t>
            </w:r>
          </w:p>
        </w:tc>
        <w:tc>
          <w:tcPr>
            <w:tcW w:w="11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3E4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147972</w:t>
            </w:r>
          </w:p>
        </w:tc>
      </w:tr>
      <w:tr w14:paraId="4E145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4" w:hRule="atLeast"/>
        </w:trPr>
        <w:tc>
          <w:tcPr>
            <w:tcW w:w="1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9E4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室外型</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776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72</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B1C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40.45%</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A88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405895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0AE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209303</w:t>
            </w:r>
          </w:p>
        </w:tc>
      </w:tr>
      <w:tr w14:paraId="60438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7" w:hRule="atLeast"/>
        </w:trPr>
        <w:tc>
          <w:tcPr>
            <w:tcW w:w="1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765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合计</w:t>
            </w:r>
          </w:p>
        </w:tc>
        <w:tc>
          <w:tcPr>
            <w:tcW w:w="7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DF7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179</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DDB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100.00%</w:t>
            </w:r>
          </w:p>
        </w:tc>
        <w:tc>
          <w:tcPr>
            <w:tcW w:w="11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805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726896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ED9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snapToGrid w:val="0"/>
                <w:color w:val="auto"/>
                <w:kern w:val="0"/>
                <w:sz w:val="21"/>
                <w:szCs w:val="21"/>
                <w:highlight w:val="none"/>
                <w:u w:val="none"/>
                <w:lang w:val="en-US" w:eastAsia="zh-CN" w:bidi="ar"/>
              </w:rPr>
              <w:t>357275</w:t>
            </w:r>
          </w:p>
        </w:tc>
      </w:tr>
    </w:tbl>
    <w:p w14:paraId="4CCB98BA">
      <w:pPr>
        <w:pStyle w:val="3"/>
        <w:keepNext/>
        <w:keepLines/>
        <w:pageBreakBefore w:val="0"/>
        <w:widowControl/>
        <w:numPr>
          <w:ilvl w:val="0"/>
          <w:numId w:val="0"/>
        </w:numPr>
        <w:tabs>
          <w:tab w:val="left" w:pos="1419"/>
        </w:tabs>
        <w:kinsoku w:val="0"/>
        <w:wordWrap/>
        <w:overflowPunct/>
        <w:topLinePunct w:val="0"/>
        <w:autoSpaceDE w:val="0"/>
        <w:autoSpaceDN w:val="0"/>
        <w:bidi w:val="0"/>
        <w:adjustRightInd w:val="0"/>
        <w:snapToGrid w:val="0"/>
        <w:spacing w:before="163" w:after="163" w:line="560" w:lineRule="exact"/>
        <w:jc w:val="center"/>
        <w:textAlignment w:val="baseline"/>
        <w:rPr>
          <w:rFonts w:hint="eastAsia" w:ascii="方正书宋简体" w:hAnsi="方正书宋简体" w:eastAsia="方正书宋简体" w:cs="方正书宋简体"/>
          <w:color w:val="auto"/>
          <w:sz w:val="21"/>
          <w:szCs w:val="21"/>
          <w:highlight w:val="none"/>
          <w:lang w:val="en-US" w:eastAsia="zh-CN"/>
        </w:rPr>
      </w:pPr>
      <w:bookmarkStart w:id="363" w:name="_Toc8129"/>
      <w:r>
        <w:rPr>
          <w:rFonts w:hint="eastAsia" w:ascii="仿宋_GB2312" w:hAnsi="仿宋_GB2312" w:eastAsia="仿宋_GB2312" w:cs="仿宋_GB2312"/>
          <w:color w:val="auto"/>
          <w:sz w:val="36"/>
          <w:szCs w:val="36"/>
          <w:highlight w:val="none"/>
          <w:lang w:val="en-US" w:eastAsia="zh-CN"/>
        </w:rPr>
        <w:t>附表6  应急避难场所分级体系规划汇总表</w:t>
      </w:r>
      <w:bookmarkEnd w:id="363"/>
    </w:p>
    <w:tbl>
      <w:tblPr>
        <w:tblStyle w:val="20"/>
        <w:tblW w:w="504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33"/>
        <w:gridCol w:w="1889"/>
        <w:gridCol w:w="3135"/>
        <w:gridCol w:w="2652"/>
        <w:gridCol w:w="2655"/>
      </w:tblGrid>
      <w:tr w14:paraId="69AA4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7" w:hRule="atLeast"/>
        </w:trPr>
        <w:tc>
          <w:tcPr>
            <w:tcW w:w="1191" w:type="pct"/>
            <w:tcBorders>
              <w:top w:val="single" w:color="000000" w:sz="4" w:space="0"/>
              <w:left w:val="single" w:color="000000" w:sz="4" w:space="0"/>
              <w:bottom w:val="nil"/>
              <w:right w:val="single" w:color="000000" w:sz="4" w:space="0"/>
            </w:tcBorders>
            <w:shd w:val="clear" w:color="auto" w:fill="auto"/>
            <w:vAlign w:val="center"/>
          </w:tcPr>
          <w:p w14:paraId="2F44AA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分级体系</w:t>
            </w:r>
          </w:p>
        </w:tc>
        <w:tc>
          <w:tcPr>
            <w:tcW w:w="696" w:type="pct"/>
            <w:tcBorders>
              <w:top w:val="single" w:color="000000" w:sz="4" w:space="0"/>
              <w:left w:val="single" w:color="000000" w:sz="4" w:space="0"/>
              <w:bottom w:val="nil"/>
              <w:right w:val="single" w:color="000000" w:sz="4" w:space="0"/>
            </w:tcBorders>
            <w:shd w:val="clear" w:color="auto" w:fill="auto"/>
            <w:vAlign w:val="center"/>
          </w:tcPr>
          <w:p w14:paraId="048317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场所个数（处）</w:t>
            </w:r>
          </w:p>
        </w:tc>
        <w:tc>
          <w:tcPr>
            <w:tcW w:w="1155" w:type="pct"/>
            <w:tcBorders>
              <w:top w:val="single" w:color="000000" w:sz="4" w:space="0"/>
              <w:left w:val="single" w:color="000000" w:sz="4" w:space="0"/>
              <w:bottom w:val="nil"/>
              <w:right w:val="single" w:color="000000" w:sz="4" w:space="0"/>
            </w:tcBorders>
            <w:shd w:val="clear" w:color="auto" w:fill="auto"/>
            <w:vAlign w:val="center"/>
          </w:tcPr>
          <w:p w14:paraId="2F6950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场所占比（%）</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2F2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有效应急避难面积（㎡）</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54D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可容纳避难人口规模（人）</w:t>
            </w:r>
          </w:p>
        </w:tc>
      </w:tr>
      <w:tr w14:paraId="6288B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3" w:hRule="atLeast"/>
        </w:trPr>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1D9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旗级</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B6D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33</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DE9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18.44%</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112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251378</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BA8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color w:val="auto"/>
                <w:sz w:val="21"/>
                <w:szCs w:val="21"/>
                <w:highlight w:val="none"/>
                <w:u w:val="none"/>
                <w:lang w:val="en-US" w:eastAsia="zh-CN"/>
              </w:rPr>
              <w:t>125486</w:t>
            </w:r>
          </w:p>
        </w:tc>
      </w:tr>
      <w:tr w14:paraId="011A7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52A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苏木镇级</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E83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53</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CD1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29.61%</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58F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275277</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C2C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color w:val="auto"/>
                <w:sz w:val="21"/>
                <w:szCs w:val="21"/>
                <w:highlight w:val="none"/>
                <w:u w:val="none"/>
                <w:lang w:val="en-US" w:eastAsia="zh-CN"/>
              </w:rPr>
              <w:t>133115</w:t>
            </w:r>
          </w:p>
        </w:tc>
      </w:tr>
      <w:tr w14:paraId="6B89B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6" w:hRule="atLeast"/>
        </w:trPr>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CAC2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嘎查村（社区）级</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069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93</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09E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51.96%</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B31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color w:val="auto"/>
                <w:sz w:val="21"/>
                <w:szCs w:val="21"/>
                <w:highlight w:val="none"/>
                <w:u w:val="none"/>
                <w:lang w:val="en-US" w:eastAsia="zh-CN"/>
              </w:rPr>
              <w:t>200240</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6CC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color w:val="auto"/>
                <w:sz w:val="21"/>
                <w:szCs w:val="21"/>
                <w:highlight w:val="none"/>
                <w:u w:val="none"/>
                <w:lang w:val="en-US" w:eastAsia="zh-CN"/>
              </w:rPr>
              <w:t>98674</w:t>
            </w:r>
          </w:p>
        </w:tc>
      </w:tr>
      <w:tr w14:paraId="12CD2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7" w:hRule="atLeast"/>
        </w:trPr>
        <w:tc>
          <w:tcPr>
            <w:tcW w:w="11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A6A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合计</w:t>
            </w:r>
          </w:p>
        </w:tc>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0BF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179</w:t>
            </w:r>
          </w:p>
        </w:tc>
        <w:tc>
          <w:tcPr>
            <w:tcW w:w="11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60C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rPr>
            </w:pPr>
            <w:r>
              <w:rPr>
                <w:rFonts w:hint="eastAsia" w:ascii="方正书宋简体" w:hAnsi="方正书宋简体" w:eastAsia="方正书宋简体" w:cs="方正书宋简体"/>
                <w:i w:val="0"/>
                <w:iCs w:val="0"/>
                <w:color w:val="auto"/>
                <w:sz w:val="21"/>
                <w:szCs w:val="21"/>
                <w:highlight w:val="none"/>
                <w:u w:val="none"/>
                <w:lang w:val="en-US" w:eastAsia="zh-CN"/>
              </w:rPr>
              <w:t>100.00%</w:t>
            </w:r>
          </w:p>
        </w:tc>
        <w:tc>
          <w:tcPr>
            <w:tcW w:w="9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2A4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color w:val="auto"/>
                <w:sz w:val="21"/>
                <w:szCs w:val="21"/>
                <w:highlight w:val="none"/>
                <w:u w:val="none"/>
                <w:lang w:val="en-US" w:eastAsia="zh-CN"/>
              </w:rPr>
              <w:t>726896</w:t>
            </w:r>
          </w:p>
        </w:tc>
        <w:tc>
          <w:tcPr>
            <w:tcW w:w="9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4B5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i w:val="0"/>
                <w:iCs w:val="0"/>
                <w:color w:val="auto"/>
                <w:sz w:val="21"/>
                <w:szCs w:val="21"/>
                <w:highlight w:val="none"/>
                <w:u w:val="none"/>
                <w:lang w:val="en-US"/>
              </w:rPr>
            </w:pPr>
            <w:r>
              <w:rPr>
                <w:rFonts w:hint="eastAsia" w:ascii="方正书宋简体" w:hAnsi="方正书宋简体" w:eastAsia="方正书宋简体" w:cs="方正书宋简体"/>
                <w:i w:val="0"/>
                <w:iCs w:val="0"/>
                <w:color w:val="auto"/>
                <w:sz w:val="21"/>
                <w:szCs w:val="21"/>
                <w:highlight w:val="none"/>
                <w:u w:val="none"/>
                <w:lang w:val="en-US" w:eastAsia="zh-CN"/>
              </w:rPr>
              <w:t>357275</w:t>
            </w:r>
          </w:p>
        </w:tc>
      </w:tr>
    </w:tbl>
    <w:p w14:paraId="32EB5145">
      <w:pPr>
        <w:pageBreakBefore w:val="0"/>
        <w:wordWrap/>
        <w:overflowPunct/>
        <w:topLinePunct w:val="0"/>
        <w:bidi w:val="0"/>
        <w:adjustRightInd w:val="0"/>
        <w:snapToGrid w:val="0"/>
        <w:spacing w:line="310" w:lineRule="exact"/>
        <w:rPr>
          <w:rFonts w:hint="eastAsia" w:ascii="方正书宋简体" w:hAnsi="方正书宋简体" w:eastAsia="方正书宋简体" w:cs="方正书宋简体"/>
          <w:color w:val="auto"/>
          <w:sz w:val="21"/>
          <w:szCs w:val="21"/>
          <w:highlight w:val="none"/>
          <w:lang w:val="en-US" w:eastAsia="zh-CN"/>
        </w:rPr>
      </w:pPr>
      <w:r>
        <w:rPr>
          <w:rFonts w:hint="eastAsia" w:ascii="方正书宋简体" w:hAnsi="方正书宋简体" w:eastAsia="方正书宋简体" w:cs="方正书宋简体"/>
          <w:color w:val="auto"/>
          <w:sz w:val="21"/>
          <w:szCs w:val="21"/>
          <w:highlight w:val="none"/>
          <w:lang w:val="en-US" w:eastAsia="zh-CN"/>
        </w:rPr>
        <w:br w:type="page"/>
      </w:r>
    </w:p>
    <w:p w14:paraId="3AAB6477">
      <w:pPr>
        <w:pStyle w:val="3"/>
        <w:keepNext/>
        <w:keepLines/>
        <w:pageBreakBefore w:val="0"/>
        <w:widowControl/>
        <w:numPr>
          <w:ilvl w:val="0"/>
          <w:numId w:val="0"/>
        </w:numPr>
        <w:tabs>
          <w:tab w:val="left" w:pos="1419"/>
        </w:tabs>
        <w:kinsoku w:val="0"/>
        <w:wordWrap/>
        <w:overflowPunct/>
        <w:topLinePunct w:val="0"/>
        <w:autoSpaceDE w:val="0"/>
        <w:autoSpaceDN w:val="0"/>
        <w:bidi w:val="0"/>
        <w:adjustRightInd w:val="0"/>
        <w:snapToGrid w:val="0"/>
        <w:spacing w:before="163" w:after="163" w:line="560" w:lineRule="exact"/>
        <w:jc w:val="center"/>
        <w:textAlignment w:val="baseline"/>
        <w:rPr>
          <w:rFonts w:hint="eastAsia" w:ascii="仿宋_GB2312" w:hAnsi="仿宋_GB2312" w:eastAsia="仿宋_GB2312" w:cs="仿宋_GB2312"/>
          <w:color w:val="auto"/>
          <w:sz w:val="36"/>
          <w:szCs w:val="36"/>
          <w:highlight w:val="none"/>
          <w:lang w:val="en-US" w:eastAsia="zh-CN"/>
        </w:rPr>
      </w:pPr>
      <w:bookmarkStart w:id="364" w:name="_Toc25982"/>
      <w:r>
        <w:rPr>
          <w:rFonts w:hint="eastAsia" w:ascii="仿宋_GB2312" w:hAnsi="仿宋_GB2312" w:eastAsia="仿宋_GB2312" w:cs="仿宋_GB2312"/>
          <w:color w:val="auto"/>
          <w:sz w:val="36"/>
          <w:szCs w:val="36"/>
          <w:highlight w:val="none"/>
          <w:lang w:val="en-US" w:eastAsia="zh-CN"/>
        </w:rPr>
        <w:t>附表7  应急避难场所总体布局规划汇总表</w:t>
      </w:r>
      <w:bookmarkEnd w:id="364"/>
    </w:p>
    <w:tbl>
      <w:tblPr>
        <w:tblStyle w:val="20"/>
        <w:tblW w:w="503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32"/>
        <w:gridCol w:w="1335"/>
        <w:gridCol w:w="2400"/>
        <w:gridCol w:w="2159"/>
        <w:gridCol w:w="3928"/>
      </w:tblGrid>
      <w:tr w14:paraId="7125C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1376" w:type="pct"/>
            <w:tcBorders>
              <w:top w:val="single" w:color="000000" w:sz="4" w:space="0"/>
              <w:left w:val="single" w:color="000000" w:sz="4" w:space="0"/>
              <w:bottom w:val="nil"/>
              <w:right w:val="single" w:color="000000" w:sz="4" w:space="0"/>
            </w:tcBorders>
            <w:shd w:val="clear" w:color="auto" w:fill="auto"/>
            <w:vAlign w:val="center"/>
          </w:tcPr>
          <w:p w14:paraId="4F300F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区域名称</w:t>
            </w:r>
          </w:p>
        </w:tc>
        <w:tc>
          <w:tcPr>
            <w:tcW w:w="492" w:type="pct"/>
            <w:tcBorders>
              <w:top w:val="single" w:color="000000" w:sz="4" w:space="0"/>
              <w:left w:val="single" w:color="000000" w:sz="4" w:space="0"/>
              <w:bottom w:val="nil"/>
              <w:right w:val="single" w:color="000000" w:sz="4" w:space="0"/>
            </w:tcBorders>
            <w:shd w:val="clear" w:color="auto" w:fill="auto"/>
            <w:vAlign w:val="center"/>
          </w:tcPr>
          <w:p w14:paraId="3F4201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场所个数（处）</w:t>
            </w:r>
          </w:p>
        </w:tc>
        <w:tc>
          <w:tcPr>
            <w:tcW w:w="885" w:type="pct"/>
            <w:tcBorders>
              <w:top w:val="single" w:color="000000" w:sz="4" w:space="0"/>
              <w:left w:val="nil"/>
              <w:bottom w:val="single" w:color="000000" w:sz="4" w:space="0"/>
              <w:right w:val="single" w:color="000000" w:sz="4" w:space="0"/>
            </w:tcBorders>
            <w:shd w:val="clear" w:color="auto" w:fill="auto"/>
            <w:vAlign w:val="center"/>
          </w:tcPr>
          <w:p w14:paraId="7E98B9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有效应急避难面积（</w:t>
            </w:r>
            <w:r>
              <w:rPr>
                <w:rStyle w:val="40"/>
                <w:rFonts w:hint="eastAsia" w:ascii="方正书宋简体" w:hAnsi="方正书宋简体" w:eastAsia="方正书宋简体" w:cs="方正书宋简体"/>
                <w:snapToGrid w:val="0"/>
                <w:color w:val="auto"/>
                <w:sz w:val="21"/>
                <w:szCs w:val="21"/>
                <w:highlight w:val="none"/>
                <w:lang w:val="en-US" w:eastAsia="zh-CN" w:bidi="ar"/>
              </w:rPr>
              <w:t>㎡</w:t>
            </w: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w:t>
            </w:r>
          </w:p>
        </w:tc>
        <w:tc>
          <w:tcPr>
            <w:tcW w:w="796" w:type="pct"/>
            <w:tcBorders>
              <w:top w:val="single" w:color="000000" w:sz="4" w:space="0"/>
              <w:left w:val="nil"/>
              <w:bottom w:val="single" w:color="000000" w:sz="4" w:space="0"/>
              <w:right w:val="single" w:color="000000" w:sz="4" w:space="0"/>
            </w:tcBorders>
            <w:shd w:val="clear" w:color="auto" w:fill="auto"/>
            <w:vAlign w:val="center"/>
          </w:tcPr>
          <w:p w14:paraId="23B3E2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可容纳避难人口规模（人）</w:t>
            </w:r>
          </w:p>
        </w:tc>
        <w:tc>
          <w:tcPr>
            <w:tcW w:w="1448" w:type="pct"/>
            <w:tcBorders>
              <w:top w:val="single" w:color="000000" w:sz="4" w:space="0"/>
              <w:left w:val="single" w:color="000000" w:sz="4" w:space="0"/>
              <w:bottom w:val="nil"/>
              <w:right w:val="single" w:color="000000" w:sz="4" w:space="0"/>
            </w:tcBorders>
            <w:shd w:val="clear" w:color="auto" w:fill="auto"/>
            <w:vAlign w:val="center"/>
          </w:tcPr>
          <w:p w14:paraId="655EDA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需避难人口规模（万人）</w:t>
            </w:r>
          </w:p>
        </w:tc>
      </w:tr>
      <w:tr w14:paraId="59813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trPr>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5C7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中心城区</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DF4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414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223003</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3B7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101028</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CB6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5.20</w:t>
            </w:r>
          </w:p>
        </w:tc>
      </w:tr>
      <w:tr w14:paraId="72897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AC6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6C6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226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58635</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7CE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28418</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BF5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1.35</w:t>
            </w:r>
          </w:p>
        </w:tc>
      </w:tr>
      <w:tr w14:paraId="3DF07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636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EDC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10A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60845</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BC0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28516</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9D3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3.15</w:t>
            </w:r>
          </w:p>
        </w:tc>
      </w:tr>
      <w:tr w14:paraId="3B564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 w:hRule="atLeast"/>
        </w:trPr>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F57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DA5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088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42399</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0CB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19768</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5B1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0.60</w:t>
            </w:r>
          </w:p>
        </w:tc>
      </w:tr>
      <w:tr w14:paraId="344B7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A03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鄂托克旗赛因乌素草籽场</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364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E21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19677</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B6A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8850</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25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0.19</w:t>
            </w:r>
          </w:p>
        </w:tc>
      </w:tr>
      <w:tr w14:paraId="30190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2" w:hRule="atLeast"/>
        </w:trPr>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978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内蒙古白绒山羊种养场</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BF2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E6D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2014</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DF5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1007</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294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0.03</w:t>
            </w:r>
          </w:p>
        </w:tc>
      </w:tr>
      <w:tr w14:paraId="705FA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trPr>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E50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39E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43</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DBF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202779</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222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102356</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9A8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12.70</w:t>
            </w:r>
          </w:p>
        </w:tc>
      </w:tr>
      <w:tr w14:paraId="1B580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6BF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21D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lang w:val="en-US"/>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E0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lang w:val="en-US"/>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39959</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E71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19777</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9CC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0.43</w:t>
            </w:r>
          </w:p>
        </w:tc>
      </w:tr>
      <w:tr w14:paraId="692F5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7" w:hRule="atLeast"/>
        </w:trPr>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7B3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乌兰镇（中心城区以外）</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B27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170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25010</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778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12505</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0F12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0.51</w:t>
            </w:r>
          </w:p>
        </w:tc>
      </w:tr>
      <w:tr w14:paraId="4A9C8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3" w:hRule="atLeast"/>
        </w:trPr>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877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7C2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FBA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52574</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DA7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35050</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1D6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开发区规划就业人口规模约为11万人。其中，棋盘井产业园规划就业人口规模为7万</w:t>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br w:type="textWrapping"/>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人，蒙西产业园规划就业人口规模约为4万人。</w:t>
            </w:r>
          </w:p>
        </w:tc>
      </w:tr>
      <w:tr w14:paraId="1D7EA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13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C84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合计</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1AD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178</w:t>
            </w:r>
          </w:p>
        </w:tc>
        <w:tc>
          <w:tcPr>
            <w:tcW w:w="8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F59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lang w:val="en-US"/>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726896</w:t>
            </w:r>
          </w:p>
        </w:tc>
        <w:tc>
          <w:tcPr>
            <w:tcW w:w="7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F24D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lang w:val="en-US"/>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357275</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0FD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lang w:val="en-US"/>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24.2</w:t>
            </w:r>
          </w:p>
        </w:tc>
      </w:tr>
    </w:tbl>
    <w:p w14:paraId="0C5AC454">
      <w:pPr>
        <w:pageBreakBefore w:val="0"/>
        <w:wordWrap/>
        <w:overflowPunct/>
        <w:topLinePunct w:val="0"/>
        <w:bidi w:val="0"/>
        <w:adjustRightInd w:val="0"/>
        <w:snapToGrid w:val="0"/>
        <w:spacing w:line="310" w:lineRule="exact"/>
        <w:rPr>
          <w:rFonts w:hint="eastAsia" w:ascii="方正书宋简体" w:hAnsi="方正书宋简体" w:eastAsia="方正书宋简体" w:cs="方正书宋简体"/>
          <w:color w:val="auto"/>
          <w:sz w:val="21"/>
          <w:szCs w:val="21"/>
          <w:highlight w:val="none"/>
          <w:lang w:val="en-US" w:eastAsia="zh-CN"/>
        </w:rPr>
      </w:pPr>
      <w:r>
        <w:rPr>
          <w:rFonts w:hint="eastAsia" w:ascii="方正书宋简体" w:hAnsi="方正书宋简体" w:eastAsia="方正书宋简体" w:cs="方正书宋简体"/>
          <w:color w:val="auto"/>
          <w:sz w:val="21"/>
          <w:szCs w:val="21"/>
          <w:highlight w:val="none"/>
          <w:lang w:val="en-US" w:eastAsia="zh-CN"/>
        </w:rPr>
        <w:br w:type="page"/>
      </w:r>
    </w:p>
    <w:p w14:paraId="2A81E632">
      <w:pPr>
        <w:pStyle w:val="3"/>
        <w:keepNext/>
        <w:keepLines/>
        <w:pageBreakBefore w:val="0"/>
        <w:widowControl/>
        <w:numPr>
          <w:ilvl w:val="0"/>
          <w:numId w:val="0"/>
        </w:numPr>
        <w:tabs>
          <w:tab w:val="left" w:pos="1419"/>
        </w:tabs>
        <w:kinsoku w:val="0"/>
        <w:wordWrap/>
        <w:overflowPunct/>
        <w:topLinePunct w:val="0"/>
        <w:autoSpaceDE w:val="0"/>
        <w:autoSpaceDN w:val="0"/>
        <w:bidi w:val="0"/>
        <w:adjustRightInd w:val="0"/>
        <w:snapToGrid w:val="0"/>
        <w:spacing w:before="163" w:after="163" w:line="560" w:lineRule="exact"/>
        <w:jc w:val="center"/>
        <w:textAlignment w:val="baseline"/>
        <w:rPr>
          <w:rFonts w:hint="eastAsia" w:ascii="仿宋_GB2312" w:hAnsi="仿宋_GB2312" w:eastAsia="仿宋_GB2312" w:cs="仿宋_GB2312"/>
          <w:color w:val="auto"/>
          <w:sz w:val="36"/>
          <w:szCs w:val="36"/>
          <w:highlight w:val="none"/>
          <w:lang w:val="en-US" w:eastAsia="zh-CN"/>
        </w:rPr>
      </w:pPr>
      <w:bookmarkStart w:id="365" w:name="_Toc18903"/>
      <w:r>
        <w:rPr>
          <w:rFonts w:hint="eastAsia" w:ascii="仿宋_GB2312" w:hAnsi="仿宋_GB2312" w:eastAsia="仿宋_GB2312" w:cs="仿宋_GB2312"/>
          <w:color w:val="auto"/>
          <w:sz w:val="36"/>
          <w:szCs w:val="36"/>
          <w:highlight w:val="none"/>
          <w:lang w:val="en-US" w:eastAsia="zh-CN"/>
        </w:rPr>
        <w:t>附表8  各类避难场所功能区设置规划表</w:t>
      </w:r>
      <w:bookmarkEnd w:id="365"/>
    </w:p>
    <w:tbl>
      <w:tblPr>
        <w:tblStyle w:val="26"/>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32" w:type="dxa"/>
          <w:left w:w="64" w:type="dxa"/>
          <w:bottom w:w="32" w:type="dxa"/>
          <w:right w:w="64" w:type="dxa"/>
        </w:tblCellMar>
      </w:tblPr>
      <w:tblGrid>
        <w:gridCol w:w="1202"/>
        <w:gridCol w:w="3032"/>
        <w:gridCol w:w="3043"/>
        <w:gridCol w:w="3043"/>
        <w:gridCol w:w="3043"/>
      </w:tblGrid>
      <w:tr w14:paraId="70DD6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574" w:hRule="atLeast"/>
          <w:tblHeader/>
          <w:jc w:val="center"/>
        </w:trPr>
        <w:tc>
          <w:tcPr>
            <w:tcW w:w="450" w:type="pct"/>
            <w:vAlign w:val="center"/>
          </w:tcPr>
          <w:p w14:paraId="3981AA6E">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序号</w:t>
            </w:r>
          </w:p>
        </w:tc>
        <w:tc>
          <w:tcPr>
            <w:tcW w:w="1134" w:type="pct"/>
            <w:vAlign w:val="center"/>
          </w:tcPr>
          <w:p w14:paraId="7C04261B">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功能分区</w:t>
            </w:r>
          </w:p>
        </w:tc>
        <w:tc>
          <w:tcPr>
            <w:tcW w:w="1138" w:type="pct"/>
            <w:vAlign w:val="center"/>
          </w:tcPr>
          <w:p w14:paraId="4DAB1C86">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紧急避难场所</w:t>
            </w:r>
          </w:p>
        </w:tc>
        <w:tc>
          <w:tcPr>
            <w:tcW w:w="1138" w:type="pct"/>
            <w:vAlign w:val="center"/>
          </w:tcPr>
          <w:p w14:paraId="58EAAD53">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短期避难场所</w:t>
            </w:r>
          </w:p>
        </w:tc>
        <w:tc>
          <w:tcPr>
            <w:tcW w:w="1138" w:type="pct"/>
            <w:vAlign w:val="center"/>
          </w:tcPr>
          <w:p w14:paraId="33803D9D">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b/>
                <w:bCs/>
                <w:snapToGrid/>
                <w:color w:val="auto"/>
                <w:kern w:val="2"/>
                <w:sz w:val="21"/>
                <w:szCs w:val="21"/>
                <w:highlight w:val="none"/>
                <w:lang w:val="en-US" w:eastAsia="zh-CN"/>
              </w:rPr>
            </w:pPr>
            <w:r>
              <w:rPr>
                <w:rFonts w:hint="eastAsia" w:ascii="方正书宋简体" w:hAnsi="方正书宋简体" w:eastAsia="方正书宋简体" w:cs="方正书宋简体"/>
                <w:b/>
                <w:bCs/>
                <w:snapToGrid/>
                <w:color w:val="auto"/>
                <w:kern w:val="2"/>
                <w:sz w:val="21"/>
                <w:szCs w:val="21"/>
                <w:highlight w:val="none"/>
                <w:lang w:val="en-US" w:eastAsia="zh-CN"/>
              </w:rPr>
              <w:t>长期避难场所</w:t>
            </w:r>
          </w:p>
        </w:tc>
      </w:tr>
      <w:tr w14:paraId="5E77D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723" w:hRule="atLeast"/>
          <w:jc w:val="center"/>
        </w:trPr>
        <w:tc>
          <w:tcPr>
            <w:tcW w:w="450" w:type="pct"/>
            <w:vAlign w:val="center"/>
          </w:tcPr>
          <w:p w14:paraId="66342198">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1</w:t>
            </w:r>
          </w:p>
        </w:tc>
        <w:tc>
          <w:tcPr>
            <w:tcW w:w="1134" w:type="pct"/>
            <w:vAlign w:val="center"/>
          </w:tcPr>
          <w:p w14:paraId="75ABA300">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指挥管理区</w:t>
            </w:r>
          </w:p>
        </w:tc>
        <w:tc>
          <w:tcPr>
            <w:tcW w:w="1138" w:type="pct"/>
            <w:vAlign w:val="center"/>
          </w:tcPr>
          <w:p w14:paraId="47756D5A">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5DDDDB99">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5A5DCD0F">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5A925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705" w:hRule="atLeast"/>
          <w:jc w:val="center"/>
        </w:trPr>
        <w:tc>
          <w:tcPr>
            <w:tcW w:w="450" w:type="pct"/>
            <w:vAlign w:val="center"/>
          </w:tcPr>
          <w:p w14:paraId="20699669">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2</w:t>
            </w:r>
          </w:p>
        </w:tc>
        <w:tc>
          <w:tcPr>
            <w:tcW w:w="1134" w:type="pct"/>
            <w:vAlign w:val="center"/>
          </w:tcPr>
          <w:p w14:paraId="6E5BEFD0">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医疗救治区</w:t>
            </w:r>
          </w:p>
        </w:tc>
        <w:tc>
          <w:tcPr>
            <w:tcW w:w="1138" w:type="pct"/>
            <w:vAlign w:val="center"/>
          </w:tcPr>
          <w:p w14:paraId="511AF8CA">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33157091">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7AD200AC">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1BC39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587" w:hRule="atLeast"/>
          <w:jc w:val="center"/>
        </w:trPr>
        <w:tc>
          <w:tcPr>
            <w:tcW w:w="450" w:type="pct"/>
            <w:vAlign w:val="center"/>
          </w:tcPr>
          <w:p w14:paraId="345D2996">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3</w:t>
            </w:r>
          </w:p>
        </w:tc>
        <w:tc>
          <w:tcPr>
            <w:tcW w:w="1134" w:type="pct"/>
            <w:vAlign w:val="center"/>
          </w:tcPr>
          <w:p w14:paraId="0A080143">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物资储备区</w:t>
            </w:r>
          </w:p>
        </w:tc>
        <w:tc>
          <w:tcPr>
            <w:tcW w:w="1138" w:type="pct"/>
            <w:vAlign w:val="center"/>
          </w:tcPr>
          <w:p w14:paraId="55166659">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576AFAD0">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516A7DC5">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43AF6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624" w:hRule="atLeast"/>
          <w:jc w:val="center"/>
        </w:trPr>
        <w:tc>
          <w:tcPr>
            <w:tcW w:w="450" w:type="pct"/>
            <w:vAlign w:val="center"/>
          </w:tcPr>
          <w:p w14:paraId="256E0239">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4</w:t>
            </w:r>
          </w:p>
        </w:tc>
        <w:tc>
          <w:tcPr>
            <w:tcW w:w="1134" w:type="pct"/>
            <w:vAlign w:val="center"/>
          </w:tcPr>
          <w:p w14:paraId="0A9FE2B5">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应急集散区</w:t>
            </w:r>
          </w:p>
        </w:tc>
        <w:tc>
          <w:tcPr>
            <w:tcW w:w="1138" w:type="pct"/>
            <w:vAlign w:val="center"/>
          </w:tcPr>
          <w:p w14:paraId="4D148807">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3D7598C9">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5D0F25C1">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52F7D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751" w:hRule="atLeast"/>
          <w:jc w:val="center"/>
        </w:trPr>
        <w:tc>
          <w:tcPr>
            <w:tcW w:w="450" w:type="pct"/>
            <w:vAlign w:val="center"/>
          </w:tcPr>
          <w:p w14:paraId="0ABD89F5">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5</w:t>
            </w:r>
          </w:p>
        </w:tc>
        <w:tc>
          <w:tcPr>
            <w:tcW w:w="1134" w:type="pct"/>
            <w:vAlign w:val="center"/>
          </w:tcPr>
          <w:p w14:paraId="2746153B">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应急宿住区</w:t>
            </w:r>
          </w:p>
        </w:tc>
        <w:tc>
          <w:tcPr>
            <w:tcW w:w="1138" w:type="pct"/>
            <w:vAlign w:val="center"/>
          </w:tcPr>
          <w:p w14:paraId="0DD6776C">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w:t>
            </w:r>
          </w:p>
        </w:tc>
        <w:tc>
          <w:tcPr>
            <w:tcW w:w="1138" w:type="pct"/>
            <w:vAlign w:val="center"/>
          </w:tcPr>
          <w:p w14:paraId="3D37AB08">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76C0C2A1">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768A2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778" w:hRule="atLeast"/>
          <w:jc w:val="center"/>
        </w:trPr>
        <w:tc>
          <w:tcPr>
            <w:tcW w:w="450" w:type="pct"/>
            <w:vAlign w:val="center"/>
          </w:tcPr>
          <w:p w14:paraId="7CF6FBB2">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6</w:t>
            </w:r>
          </w:p>
        </w:tc>
        <w:tc>
          <w:tcPr>
            <w:tcW w:w="1134" w:type="pct"/>
            <w:vAlign w:val="center"/>
          </w:tcPr>
          <w:p w14:paraId="64CA29E1">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清洁盥洗区</w:t>
            </w:r>
          </w:p>
        </w:tc>
        <w:tc>
          <w:tcPr>
            <w:tcW w:w="1138" w:type="pct"/>
            <w:vAlign w:val="center"/>
          </w:tcPr>
          <w:p w14:paraId="2D97E244">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732C0220">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2A00A21E">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5528C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90" w:hRule="atLeast"/>
          <w:jc w:val="center"/>
        </w:trPr>
        <w:tc>
          <w:tcPr>
            <w:tcW w:w="450" w:type="pct"/>
            <w:vAlign w:val="center"/>
          </w:tcPr>
          <w:p w14:paraId="7B5628D1">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7</w:t>
            </w:r>
          </w:p>
        </w:tc>
        <w:tc>
          <w:tcPr>
            <w:tcW w:w="1134" w:type="pct"/>
            <w:vAlign w:val="center"/>
          </w:tcPr>
          <w:p w14:paraId="0AA4FFE6">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垃圾储运区</w:t>
            </w:r>
          </w:p>
        </w:tc>
        <w:tc>
          <w:tcPr>
            <w:tcW w:w="1138" w:type="pct"/>
            <w:vAlign w:val="center"/>
          </w:tcPr>
          <w:p w14:paraId="1830D6D1">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50192527">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61513889">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38CC8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90" w:hRule="atLeast"/>
          <w:jc w:val="center"/>
        </w:trPr>
        <w:tc>
          <w:tcPr>
            <w:tcW w:w="450" w:type="pct"/>
            <w:vAlign w:val="center"/>
          </w:tcPr>
          <w:p w14:paraId="3F2E633D">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8</w:t>
            </w:r>
          </w:p>
        </w:tc>
        <w:tc>
          <w:tcPr>
            <w:tcW w:w="1134" w:type="pct"/>
            <w:vAlign w:val="center"/>
          </w:tcPr>
          <w:p w14:paraId="3F95D3BB">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应急停车区</w:t>
            </w:r>
          </w:p>
        </w:tc>
        <w:tc>
          <w:tcPr>
            <w:tcW w:w="1138" w:type="pct"/>
            <w:vAlign w:val="center"/>
          </w:tcPr>
          <w:p w14:paraId="03EFA236">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74CBA69C">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47736A0E">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61C91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90" w:hRule="atLeast"/>
          <w:jc w:val="center"/>
        </w:trPr>
        <w:tc>
          <w:tcPr>
            <w:tcW w:w="450" w:type="pct"/>
            <w:vAlign w:val="center"/>
          </w:tcPr>
          <w:p w14:paraId="2BB1C496">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9</w:t>
            </w:r>
          </w:p>
        </w:tc>
        <w:tc>
          <w:tcPr>
            <w:tcW w:w="1134" w:type="pct"/>
            <w:vAlign w:val="center"/>
          </w:tcPr>
          <w:p w14:paraId="57C5DB8F">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防疫隔离区</w:t>
            </w:r>
          </w:p>
        </w:tc>
        <w:tc>
          <w:tcPr>
            <w:tcW w:w="1138" w:type="pct"/>
            <w:vAlign w:val="center"/>
          </w:tcPr>
          <w:p w14:paraId="63777F34">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p>
        </w:tc>
        <w:tc>
          <w:tcPr>
            <w:tcW w:w="1138" w:type="pct"/>
            <w:vAlign w:val="center"/>
          </w:tcPr>
          <w:p w14:paraId="52ABB403">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7E8ED71E">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398DD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90" w:hRule="atLeast"/>
          <w:jc w:val="center"/>
        </w:trPr>
        <w:tc>
          <w:tcPr>
            <w:tcW w:w="450" w:type="pct"/>
            <w:vAlign w:val="center"/>
          </w:tcPr>
          <w:p w14:paraId="0796A3CA">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10</w:t>
            </w:r>
          </w:p>
        </w:tc>
        <w:tc>
          <w:tcPr>
            <w:tcW w:w="1134" w:type="pct"/>
            <w:vAlign w:val="center"/>
          </w:tcPr>
          <w:p w14:paraId="228C7040">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餐饮服务区</w:t>
            </w:r>
          </w:p>
        </w:tc>
        <w:tc>
          <w:tcPr>
            <w:tcW w:w="1138" w:type="pct"/>
            <w:vAlign w:val="center"/>
          </w:tcPr>
          <w:p w14:paraId="731D3F0A">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p>
        </w:tc>
        <w:tc>
          <w:tcPr>
            <w:tcW w:w="1138" w:type="pct"/>
            <w:vAlign w:val="center"/>
          </w:tcPr>
          <w:p w14:paraId="2F84CC0B">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c>
          <w:tcPr>
            <w:tcW w:w="1138" w:type="pct"/>
            <w:vAlign w:val="center"/>
          </w:tcPr>
          <w:p w14:paraId="1CC0E963">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18B82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90" w:hRule="atLeast"/>
          <w:jc w:val="center"/>
        </w:trPr>
        <w:tc>
          <w:tcPr>
            <w:tcW w:w="450" w:type="pct"/>
            <w:vAlign w:val="center"/>
          </w:tcPr>
          <w:p w14:paraId="6FD6D04D">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11</w:t>
            </w:r>
          </w:p>
        </w:tc>
        <w:tc>
          <w:tcPr>
            <w:tcW w:w="1134" w:type="pct"/>
            <w:vAlign w:val="center"/>
          </w:tcPr>
          <w:p w14:paraId="478C0012">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文体活动区</w:t>
            </w:r>
          </w:p>
        </w:tc>
        <w:tc>
          <w:tcPr>
            <w:tcW w:w="1138" w:type="pct"/>
            <w:vAlign w:val="center"/>
          </w:tcPr>
          <w:p w14:paraId="59121A39">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p>
        </w:tc>
        <w:tc>
          <w:tcPr>
            <w:tcW w:w="1138" w:type="pct"/>
            <w:vAlign w:val="center"/>
          </w:tcPr>
          <w:p w14:paraId="1D874072">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p>
        </w:tc>
        <w:tc>
          <w:tcPr>
            <w:tcW w:w="1138" w:type="pct"/>
            <w:vAlign w:val="center"/>
          </w:tcPr>
          <w:p w14:paraId="44ADEE5C">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0D511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90" w:hRule="atLeast"/>
          <w:jc w:val="center"/>
        </w:trPr>
        <w:tc>
          <w:tcPr>
            <w:tcW w:w="450" w:type="pct"/>
            <w:vAlign w:val="center"/>
          </w:tcPr>
          <w:p w14:paraId="07CA5CE0">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12</w:t>
            </w:r>
          </w:p>
        </w:tc>
        <w:tc>
          <w:tcPr>
            <w:tcW w:w="1134" w:type="pct"/>
            <w:vAlign w:val="center"/>
          </w:tcPr>
          <w:p w14:paraId="08183E05">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临时教学区</w:t>
            </w:r>
          </w:p>
        </w:tc>
        <w:tc>
          <w:tcPr>
            <w:tcW w:w="1138" w:type="pct"/>
            <w:vAlign w:val="center"/>
          </w:tcPr>
          <w:p w14:paraId="2678692D">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w:t>
            </w:r>
          </w:p>
        </w:tc>
        <w:tc>
          <w:tcPr>
            <w:tcW w:w="1138" w:type="pct"/>
            <w:vAlign w:val="center"/>
          </w:tcPr>
          <w:p w14:paraId="5F2380AE">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w:t>
            </w:r>
          </w:p>
        </w:tc>
        <w:tc>
          <w:tcPr>
            <w:tcW w:w="1138" w:type="pct"/>
            <w:vAlign w:val="center"/>
          </w:tcPr>
          <w:p w14:paraId="2A058D9E">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40EBB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90" w:hRule="atLeast"/>
          <w:jc w:val="center"/>
        </w:trPr>
        <w:tc>
          <w:tcPr>
            <w:tcW w:w="450" w:type="pct"/>
            <w:vAlign w:val="center"/>
          </w:tcPr>
          <w:p w14:paraId="2E4A6B59">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13</w:t>
            </w:r>
          </w:p>
        </w:tc>
        <w:tc>
          <w:tcPr>
            <w:tcW w:w="1134" w:type="pct"/>
            <w:vAlign w:val="center"/>
          </w:tcPr>
          <w:p w14:paraId="73331066">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公共服务区</w:t>
            </w:r>
          </w:p>
        </w:tc>
        <w:tc>
          <w:tcPr>
            <w:tcW w:w="1138" w:type="pct"/>
            <w:vAlign w:val="center"/>
          </w:tcPr>
          <w:p w14:paraId="0D10A976">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w:t>
            </w:r>
          </w:p>
        </w:tc>
        <w:tc>
          <w:tcPr>
            <w:tcW w:w="1138" w:type="pct"/>
            <w:vAlign w:val="center"/>
          </w:tcPr>
          <w:p w14:paraId="6BF7B9C8">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w:t>
            </w:r>
          </w:p>
        </w:tc>
        <w:tc>
          <w:tcPr>
            <w:tcW w:w="1138" w:type="pct"/>
            <w:vAlign w:val="center"/>
          </w:tcPr>
          <w:p w14:paraId="592002DD">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r w14:paraId="0AD36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32" w:type="dxa"/>
            <w:left w:w="64" w:type="dxa"/>
            <w:bottom w:w="32" w:type="dxa"/>
            <w:right w:w="64" w:type="dxa"/>
          </w:tblCellMar>
        </w:tblPrEx>
        <w:trPr>
          <w:trHeight w:val="90" w:hRule="atLeast"/>
          <w:jc w:val="center"/>
        </w:trPr>
        <w:tc>
          <w:tcPr>
            <w:tcW w:w="450" w:type="pct"/>
            <w:vAlign w:val="center"/>
          </w:tcPr>
          <w:p w14:paraId="74FABC01">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14</w:t>
            </w:r>
          </w:p>
        </w:tc>
        <w:tc>
          <w:tcPr>
            <w:tcW w:w="1134" w:type="pct"/>
            <w:vAlign w:val="center"/>
          </w:tcPr>
          <w:p w14:paraId="0B4AEDFB">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直升机起降区</w:t>
            </w:r>
          </w:p>
        </w:tc>
        <w:tc>
          <w:tcPr>
            <w:tcW w:w="1138" w:type="pct"/>
            <w:vAlign w:val="center"/>
          </w:tcPr>
          <w:p w14:paraId="7FF1A981">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p>
        </w:tc>
        <w:tc>
          <w:tcPr>
            <w:tcW w:w="1138" w:type="pct"/>
            <w:vAlign w:val="center"/>
          </w:tcPr>
          <w:p w14:paraId="67FFA60A">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p>
        </w:tc>
        <w:tc>
          <w:tcPr>
            <w:tcW w:w="1138" w:type="pct"/>
            <w:vAlign w:val="center"/>
          </w:tcPr>
          <w:p w14:paraId="6035D785">
            <w:pPr>
              <w:pStyle w:val="25"/>
              <w:keepNext w:val="0"/>
              <w:keepLines w:val="0"/>
              <w:pageBreakBefore w:val="0"/>
              <w:widowControl w:val="0"/>
              <w:kinsoku/>
              <w:wordWrap/>
              <w:overflowPunct/>
              <w:topLinePunct w:val="0"/>
              <w:autoSpaceDE/>
              <w:autoSpaceDN/>
              <w:bidi w:val="0"/>
              <w:adjustRightInd w:val="0"/>
              <w:snapToGrid w:val="0"/>
              <w:spacing w:line="310" w:lineRule="exact"/>
              <w:jc w:val="center"/>
              <w:textAlignment w:val="auto"/>
              <w:rPr>
                <w:rFonts w:hint="eastAsia" w:ascii="方正书宋简体" w:hAnsi="方正书宋简体" w:eastAsia="方正书宋简体" w:cs="方正书宋简体"/>
                <w:snapToGrid/>
                <w:color w:val="auto"/>
                <w:kern w:val="2"/>
                <w:sz w:val="21"/>
                <w:szCs w:val="21"/>
                <w:highlight w:val="none"/>
                <w:lang w:val="en-US" w:eastAsia="zh-CN"/>
              </w:rPr>
            </w:pPr>
            <w:r>
              <w:rPr>
                <w:rFonts w:hint="eastAsia" w:ascii="方正书宋简体" w:hAnsi="方正书宋简体" w:eastAsia="方正书宋简体" w:cs="方正书宋简体"/>
                <w:snapToGrid/>
                <w:color w:val="auto"/>
                <w:kern w:val="2"/>
                <w:sz w:val="21"/>
                <w:szCs w:val="21"/>
                <w:highlight w:val="none"/>
                <w:lang w:val="en-US" w:eastAsia="zh-CN"/>
              </w:rPr>
              <w:t>应设</w:t>
            </w:r>
          </w:p>
        </w:tc>
      </w:tr>
    </w:tbl>
    <w:p w14:paraId="52661CAD">
      <w:pPr>
        <w:pageBreakBefore w:val="0"/>
        <w:wordWrap/>
        <w:overflowPunct/>
        <w:topLinePunct w:val="0"/>
        <w:bidi w:val="0"/>
        <w:adjustRightInd w:val="0"/>
        <w:snapToGrid w:val="0"/>
        <w:spacing w:line="310" w:lineRule="exact"/>
        <w:rPr>
          <w:rFonts w:hint="eastAsia" w:ascii="方正书宋简体" w:hAnsi="方正书宋简体" w:eastAsia="方正书宋简体" w:cs="方正书宋简体"/>
          <w:color w:val="auto"/>
          <w:sz w:val="21"/>
          <w:szCs w:val="21"/>
          <w:highlight w:val="none"/>
          <w:lang w:val="en-US" w:eastAsia="zh-CN"/>
        </w:rPr>
      </w:pPr>
      <w:bookmarkStart w:id="366" w:name="_Toc1650"/>
      <w:bookmarkStart w:id="367" w:name="_Toc644"/>
      <w:bookmarkStart w:id="368" w:name="_Toc13895"/>
      <w:bookmarkStart w:id="369" w:name="_Toc28859"/>
      <w:bookmarkStart w:id="370" w:name="_Toc98514093"/>
      <w:bookmarkStart w:id="371" w:name="_Toc130399394"/>
      <w:bookmarkStart w:id="372" w:name="_Toc162191033"/>
      <w:bookmarkStart w:id="373" w:name="_Toc14512"/>
      <w:r>
        <w:rPr>
          <w:rFonts w:hint="eastAsia" w:ascii="方正书宋简体" w:hAnsi="方正书宋简体" w:eastAsia="方正书宋简体" w:cs="方正书宋简体"/>
          <w:color w:val="auto"/>
          <w:sz w:val="21"/>
          <w:szCs w:val="21"/>
          <w:highlight w:val="none"/>
          <w:lang w:val="en-US" w:eastAsia="zh-CN"/>
        </w:rPr>
        <w:br w:type="page"/>
      </w:r>
    </w:p>
    <w:p w14:paraId="3D9FE1CE">
      <w:pPr>
        <w:pStyle w:val="3"/>
        <w:keepNext/>
        <w:keepLines/>
        <w:pageBreakBefore w:val="0"/>
        <w:widowControl/>
        <w:numPr>
          <w:ilvl w:val="0"/>
          <w:numId w:val="0"/>
        </w:numPr>
        <w:tabs>
          <w:tab w:val="left" w:pos="1419"/>
        </w:tabs>
        <w:kinsoku w:val="0"/>
        <w:wordWrap/>
        <w:overflowPunct/>
        <w:topLinePunct w:val="0"/>
        <w:autoSpaceDE w:val="0"/>
        <w:autoSpaceDN w:val="0"/>
        <w:bidi w:val="0"/>
        <w:adjustRightInd w:val="0"/>
        <w:snapToGrid w:val="0"/>
        <w:spacing w:before="163" w:after="163" w:line="560" w:lineRule="exact"/>
        <w:jc w:val="center"/>
        <w:textAlignment w:val="baseline"/>
        <w:rPr>
          <w:rFonts w:hint="eastAsia" w:ascii="仿宋_GB2312" w:hAnsi="仿宋_GB2312" w:eastAsia="仿宋_GB2312" w:cs="仿宋_GB2312"/>
          <w:color w:val="auto"/>
          <w:sz w:val="36"/>
          <w:szCs w:val="36"/>
          <w:highlight w:val="none"/>
          <w:lang w:val="en-US" w:eastAsia="zh-CN"/>
        </w:rPr>
      </w:pPr>
      <w:bookmarkStart w:id="374" w:name="_Toc13"/>
      <w:r>
        <w:rPr>
          <w:rFonts w:hint="eastAsia" w:ascii="仿宋_GB2312" w:hAnsi="仿宋_GB2312" w:eastAsia="仿宋_GB2312" w:cs="仿宋_GB2312"/>
          <w:color w:val="auto"/>
          <w:sz w:val="36"/>
          <w:szCs w:val="36"/>
          <w:highlight w:val="none"/>
          <w:lang w:val="en-US" w:eastAsia="zh-CN"/>
        </w:rPr>
        <w:t>附表9  近期实施计划表</w:t>
      </w:r>
      <w:bookmarkEnd w:id="366"/>
      <w:bookmarkEnd w:id="367"/>
      <w:bookmarkEnd w:id="368"/>
      <w:bookmarkEnd w:id="374"/>
    </w:p>
    <w:tbl>
      <w:tblPr>
        <w:tblStyle w:val="20"/>
        <w:tblW w:w="513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32" w:type="dxa"/>
          <w:left w:w="64" w:type="dxa"/>
          <w:bottom w:w="32" w:type="dxa"/>
          <w:right w:w="64" w:type="dxa"/>
        </w:tblCellMar>
      </w:tblPr>
      <w:tblGrid>
        <w:gridCol w:w="431"/>
        <w:gridCol w:w="500"/>
        <w:gridCol w:w="1637"/>
        <w:gridCol w:w="888"/>
        <w:gridCol w:w="850"/>
        <w:gridCol w:w="824"/>
        <w:gridCol w:w="975"/>
        <w:gridCol w:w="862"/>
        <w:gridCol w:w="3176"/>
        <w:gridCol w:w="1001"/>
        <w:gridCol w:w="824"/>
        <w:gridCol w:w="862"/>
        <w:gridCol w:w="891"/>
      </w:tblGrid>
      <w:tr w14:paraId="0D0D9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605" w:hRule="atLeast"/>
          <w:tblHeader/>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99F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序号</w:t>
            </w:r>
          </w:p>
        </w:tc>
        <w:tc>
          <w:tcPr>
            <w:tcW w:w="1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680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所在区域</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4E9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名称</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BD3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有效应急避难面积</w:t>
            </w:r>
          </w:p>
          <w:p w14:paraId="2ABC22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F3C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可容纳避难人口规模</w:t>
            </w:r>
          </w:p>
          <w:p w14:paraId="454425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（人）</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AD5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应急避难场所分级</w:t>
            </w:r>
          </w:p>
        </w:tc>
        <w:tc>
          <w:tcPr>
            <w:tcW w:w="3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A97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按避难时长设计分类</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FF5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建设方式</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99A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主要建设内容</w:t>
            </w:r>
          </w:p>
        </w:tc>
        <w:tc>
          <w:tcPr>
            <w:tcW w:w="3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70C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责任单位</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A4D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建设费用（万元/500人 ）</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D46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运维管理投入（万元/500人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9C4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实施年限</w:t>
            </w:r>
          </w:p>
        </w:tc>
      </w:tr>
      <w:tr w14:paraId="0C672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62F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1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47E3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中心城区</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79B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圣火广场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6B9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12417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B5A8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4967</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C41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CC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52E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BB1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86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59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57</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AA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7F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F46F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2CB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C1EF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FC3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西鄂尔多斯文化主题公园</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EE0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23301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E59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9320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603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88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A24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42E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287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鄂托克旗园林绿化服务中心</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F074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64</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D61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D3A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91E5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2D0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AD3CD">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DDA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鄂托克旗体育馆</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DC9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3841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F4A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1536</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A8B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E3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03F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AB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DD94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986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34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EBE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0A2CD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D51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4050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59C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鄂托克旗桃力民小学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F19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10460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078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4184</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4FB0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5CD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A28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B57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1D7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DBD8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33B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EFB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4D51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822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0732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4AE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鄂托克旗第一中学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7C0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12980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42C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5192</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637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7BD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5D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68F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9E9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E42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33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61B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E0F0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D58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850DD">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20F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乌兰宫广场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C9EE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4066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A4DC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1626</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D3F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151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3A9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C63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D4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83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226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D3F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772B8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94D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20252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E11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乌兰新村村民委员会</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F59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1172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19F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586</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E36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4B5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6AEF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F56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A26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乌兰新村村民委员会</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891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CA4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6BC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7FD38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132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B154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A23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欧式花园</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BF3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1324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214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883</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ECE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321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652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CBC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C05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公用事业服务中心/都斯图社区</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DDC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C48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009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0A763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210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601F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FDF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青少年活动中心</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216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2488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380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1244</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669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C3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FFC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13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E8B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共青团鄂托克旗委员会</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BB1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6EE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27F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7F4B4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CCE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20B31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2A9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鄂托克旗第三幼儿园</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922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3189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043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1595</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B07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E7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1F7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5B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BF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209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A25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FE6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E424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9C1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627C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A97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百眼井酒厂游园</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D9E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1126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578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751</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463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BFE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0FB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3D2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C85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D5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96B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62F9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7C1B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287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6228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B91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安睦隆社区党群服务中心</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D10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2951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1CC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1476</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C91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106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B3B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3C4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445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安睦隆社区居民委员会</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0C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6D7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41EA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AA27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131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6C49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4CE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王府公园</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CB7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4856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8D8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3238</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1058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D63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8D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E4D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CD2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A36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2B69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7B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7D604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410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74508">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B6D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乌兰镇康宁社区居民委员会</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201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2839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36B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1420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A1D9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FF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AA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D98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754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乌兰镇康宁社区居民委员会</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68B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5A1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C03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5792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F44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EDD82">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5EF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鄂托克旗第五幼儿园</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7EF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2481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B47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49A5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190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9F5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8E2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D7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0EE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8E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0FB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9A9F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247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910B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AE6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鄂托克旗第四幼儿园</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ADF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4701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9C3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2350</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519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D2B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38C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AD3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4AA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431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D68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775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56860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D4B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6F6B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DA2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法治综合教育公园</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041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1527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BDA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1018</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33C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16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7D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F0E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E9D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2B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368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0D6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0E960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8A6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5496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780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乌兰镇文体广场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2F4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6503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41B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4335</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CD9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F2B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037A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76E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768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727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FF9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09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3647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55F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w:t>
            </w:r>
          </w:p>
        </w:tc>
        <w:tc>
          <w:tcPr>
            <w:tcW w:w="18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2D4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90D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阿尔巴斯苏木人民政府（阿尔巴斯苏木查布全民健身广场）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12B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3529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9DC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1176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72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E3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973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54D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8C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阿尔巴斯苏木人民政府</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B99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D5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A51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1981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D09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AEC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610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阿尔巴斯苏木新昭广场（脑高岱嘎查）</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688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8239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D59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4119</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76C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D93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E8A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224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40B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脑高岱嘎查委员会</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4E08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BE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409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54A05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A65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w:t>
            </w:r>
          </w:p>
        </w:tc>
        <w:tc>
          <w:tcPr>
            <w:tcW w:w="1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64D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鄂托克旗赛因乌素草籽场</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D69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阿尔巴斯苏木赛音乌素广场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8AE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7358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ADE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3679</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9402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E95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3A3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91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7E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草籽场社区居民委员会</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EFB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B27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36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65D2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DB8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w:t>
            </w:r>
          </w:p>
        </w:tc>
        <w:tc>
          <w:tcPr>
            <w:tcW w:w="18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7A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016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碱柜村小学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226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4272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7FE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2848</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5F7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A98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1292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BE8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D7D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88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E7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46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9F8C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809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46EC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89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鄂托克旗蒙西阳光学校</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DC0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5712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DB2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2285</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4A8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4D3C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056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C06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917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921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633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0F4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2781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791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14A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93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蒙西大厦前广场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1CB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11185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7790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4474</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5ED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FA2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78C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A5E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8E4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蒙西大厦物业管理单位</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DA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917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B4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081AD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9F7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FDEB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F0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蒙西镇政府</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85F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3859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305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1544</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641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A5E5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8C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785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4B9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蒙西镇人民政府</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10A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1CE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D14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F320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EC3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63904">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361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兵团广场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244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3448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8DB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2299</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22E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AE2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9D6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8FC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03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蒙西镇人民政府</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2D5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E52C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B2D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5918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904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27</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2A57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F22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蒙西行政服务中心南侧广场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3B3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7433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7F9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2973</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77C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33A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8F9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675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7DC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蒙西镇人民政府</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CE8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0FD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EE1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0458C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9E6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w:t>
            </w:r>
          </w:p>
        </w:tc>
        <w:tc>
          <w:tcPr>
            <w:tcW w:w="1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82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13E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木凯淖尔镇人民政府广场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91D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5108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861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2043</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00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F6B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F3AF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28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BAD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木凯淖尔镇人民政府</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216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E70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8F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D6B2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796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w:t>
            </w:r>
          </w:p>
        </w:tc>
        <w:tc>
          <w:tcPr>
            <w:tcW w:w="1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280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内蒙古白绒山羊种养场</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849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三北羊场社区居民委员会</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B1E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2014</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26A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1007</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9F5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嘎查村（社区）（社区）级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077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847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34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B27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三北羊场社区居民委员会</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B94D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F92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002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6245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7D6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18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D55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474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棋盘井镇文化体育中心（棋盘井镇职工文化中心）</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A20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7656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498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3063</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577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13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FA9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86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FF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棋盘井镇文化体育中心管理单位</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B95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A02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BD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50078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F7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F4CB">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3D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固业社区泰祥国际北广场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82C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14063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440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9376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EB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67F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A61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04F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A27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固业社区居民委员会</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B86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499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76D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AFF7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DD1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32</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31ADB">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790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棋盘井第一幼儿园</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C8B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5222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BD4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3481</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78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D710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4A7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BD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31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34F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978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3F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96D8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815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094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7A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棋盘井第四幼儿园（靖安社区民族幼儿园）</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F27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2332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0D1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1166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00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D0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2A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FA19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99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768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FC1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717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8733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1D3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88A1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E7AA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棋盘井第二幼儿园（梦翔社区新区幼儿园）</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275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6745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705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4497</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1D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61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4F0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DE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FF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095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BB8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8F5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6880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46B2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A0AF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4ED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艾力社区宏达A区广场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710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12471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BC8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4988</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14F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953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41D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EC8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597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艾力社区宏达A区物业管理单位</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0549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1F8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63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2C1E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C44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36</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6674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992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鄂托克旗棋盘井中学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1A3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6148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185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2459</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03E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B1C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820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029B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35F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30D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EDF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10A0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64A9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562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37</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374A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0B1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星光步行街广场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D3E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13449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D83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5379</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BB9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A94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87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22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7D4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B94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E9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63D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623E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C710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189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C85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金海广场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776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16449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BCE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6579</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8F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FC9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AA3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B38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44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8FF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62</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AA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4C9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7DC90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E78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39</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4EEC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5DF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棋盘井第三小学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A15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5151</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2DD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2060</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F45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249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25D0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F0E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728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12F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556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0BA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74C8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B4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B3DE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992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棋盘井第四小学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245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3539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B63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1416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8FA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E17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C9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ACE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C68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CA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386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9C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9E74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E73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6106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DE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棋盘井第一小学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105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4277</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60A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1711</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C36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EA9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208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8B9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F76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BAC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934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34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F1CA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4D0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42</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8EC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30C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棋盘井祺祥社区（祺祥社区门前小广场）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E65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1926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880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1284</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0AC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12B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357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6E4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AE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祺祥社区居民委员会</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BC0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597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D1D3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DF87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5EF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43</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AA1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A5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棋盘井第二小学</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C89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1926</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F15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1284</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C53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0AF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097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5B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4F6A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9B3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A8A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2D6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770B8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793"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E24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44</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11A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E0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棋盘井镇三维广场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41A4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4539</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616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1816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A7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F1D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14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249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0F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5FC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811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87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71808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329"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5A6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5D068">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92F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天誉天城黑马广场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EE9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4668</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241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1867</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214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61B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033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7B1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ED1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天誉天城物业管理单位</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0E0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506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650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068FC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575"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521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7AB0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3BB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鄂托克旗棋盘井汽车站</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AC0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2573</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7789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1716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BB9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E1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CE1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114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根据场所分级分类，对现有场所进行改造，主要包括功能区划分，配备相关设施设备及物资，建立健全相关运维制度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000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7E0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B24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C19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495C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1930"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69D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47</w:t>
            </w:r>
          </w:p>
        </w:tc>
        <w:tc>
          <w:tcPr>
            <w:tcW w:w="18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E0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5B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苏米图苏木开发区、苏木政府所在地南100米</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77D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3165</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E47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1266</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94A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0F8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57C0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2B7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20D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苏米图苏木人民政府</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6C2E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F12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F8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2A79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339" w:hRule="atLeast"/>
          <w:jc w:val="center"/>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4D2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w:t>
            </w:r>
          </w:p>
        </w:tc>
        <w:tc>
          <w:tcPr>
            <w:tcW w:w="18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662A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50F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苏米图苏木苏里格嘎查文化广场</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242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3390</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922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2260</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201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F57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4B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29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标准化改造，根据场所分类完善功能区划分，配备相关设施设备及物资，建立健全相关运维制度</w:t>
            </w: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74BA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苏里格嘎查委员会</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1A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674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0.8</w:t>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A04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1600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801" w:hRule="atLeast"/>
          <w:jc w:val="center"/>
        </w:trPr>
        <w:tc>
          <w:tcPr>
            <w:tcW w:w="93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F498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合计</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BF7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285952</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828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133697</w:t>
            </w: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3AA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3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5E9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CAE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AE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3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AC9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3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48F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fldChar w:fldCharType="begin"/>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instrText xml:space="preserve"> = sum(K2:K49) \* MERGEFORMAT </w:instrText>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fldChar w:fldCharType="separate"/>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954</w:t>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fldChar w:fldCharType="end"/>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BF6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fldChar w:fldCharType="begin"/>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instrText xml:space="preserve"> = sum(L2:L49) \* MERGEFORMAT </w:instrText>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fldChar w:fldCharType="separate"/>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135.4</w:t>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fldChar w:fldCharType="end"/>
            </w: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CF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r>
    </w:tbl>
    <w:p w14:paraId="78CE9853">
      <w:pPr>
        <w:pageBreakBefore w:val="0"/>
        <w:wordWrap/>
        <w:overflowPunct/>
        <w:topLinePunct w:val="0"/>
        <w:bidi w:val="0"/>
        <w:adjustRightInd w:val="0"/>
        <w:snapToGrid w:val="0"/>
        <w:spacing w:line="310" w:lineRule="exact"/>
        <w:rPr>
          <w:rFonts w:hint="eastAsia" w:ascii="方正书宋简体" w:hAnsi="方正书宋简体" w:eastAsia="方正书宋简体" w:cs="方正书宋简体"/>
          <w:color w:val="auto"/>
          <w:sz w:val="21"/>
          <w:szCs w:val="21"/>
          <w:highlight w:val="none"/>
          <w:lang w:val="en-US" w:eastAsia="zh-CN"/>
        </w:rPr>
      </w:pPr>
      <w:bookmarkStart w:id="375" w:name="_Toc196"/>
      <w:r>
        <w:rPr>
          <w:rFonts w:hint="eastAsia" w:ascii="方正书宋简体" w:hAnsi="方正书宋简体" w:eastAsia="方正书宋简体" w:cs="方正书宋简体"/>
          <w:color w:val="auto"/>
          <w:sz w:val="21"/>
          <w:szCs w:val="21"/>
          <w:highlight w:val="none"/>
          <w:lang w:val="en-US" w:eastAsia="zh-CN"/>
        </w:rPr>
        <w:br w:type="page"/>
      </w:r>
    </w:p>
    <w:p w14:paraId="615FD802">
      <w:pPr>
        <w:pStyle w:val="3"/>
        <w:keepNext/>
        <w:keepLines/>
        <w:pageBreakBefore w:val="0"/>
        <w:widowControl/>
        <w:numPr>
          <w:ilvl w:val="0"/>
          <w:numId w:val="0"/>
        </w:numPr>
        <w:tabs>
          <w:tab w:val="left" w:pos="1419"/>
        </w:tabs>
        <w:kinsoku w:val="0"/>
        <w:wordWrap/>
        <w:overflowPunct/>
        <w:topLinePunct w:val="0"/>
        <w:autoSpaceDE w:val="0"/>
        <w:autoSpaceDN w:val="0"/>
        <w:bidi w:val="0"/>
        <w:adjustRightInd w:val="0"/>
        <w:snapToGrid w:val="0"/>
        <w:spacing w:before="163" w:after="163" w:line="560" w:lineRule="exact"/>
        <w:jc w:val="center"/>
        <w:textAlignment w:val="baseline"/>
        <w:rPr>
          <w:rFonts w:hint="eastAsia" w:ascii="仿宋_GB2312" w:hAnsi="仿宋_GB2312" w:eastAsia="仿宋_GB2312" w:cs="仿宋_GB2312"/>
          <w:color w:val="auto"/>
          <w:sz w:val="36"/>
          <w:szCs w:val="36"/>
          <w:highlight w:val="none"/>
          <w:lang w:val="en-US" w:eastAsia="zh-CN"/>
        </w:rPr>
      </w:pPr>
      <w:bookmarkStart w:id="376" w:name="_Toc2711"/>
      <w:bookmarkStart w:id="377" w:name="_Toc26588"/>
      <w:bookmarkStart w:id="378" w:name="_Toc24153"/>
      <w:bookmarkStart w:id="379" w:name="_Toc25467"/>
      <w:r>
        <w:rPr>
          <w:rFonts w:hint="eastAsia" w:ascii="仿宋_GB2312" w:hAnsi="仿宋_GB2312" w:eastAsia="仿宋_GB2312" w:cs="仿宋_GB2312"/>
          <w:color w:val="auto"/>
          <w:sz w:val="36"/>
          <w:szCs w:val="36"/>
          <w:highlight w:val="none"/>
          <w:lang w:val="en-US" w:eastAsia="zh-CN"/>
        </w:rPr>
        <w:t>附</w:t>
      </w:r>
      <w:r>
        <w:rPr>
          <w:rFonts w:hint="eastAsia" w:ascii="仿宋_GB2312" w:hAnsi="仿宋_GB2312" w:eastAsia="仿宋_GB2312" w:cs="仿宋_GB2312"/>
          <w:color w:val="auto"/>
          <w:sz w:val="36"/>
          <w:szCs w:val="36"/>
          <w:highlight w:val="none"/>
        </w:rPr>
        <w:t>表</w:t>
      </w:r>
      <w:r>
        <w:rPr>
          <w:rFonts w:hint="eastAsia" w:ascii="仿宋_GB2312" w:hAnsi="仿宋_GB2312" w:eastAsia="仿宋_GB2312" w:cs="仿宋_GB2312"/>
          <w:color w:val="auto"/>
          <w:sz w:val="36"/>
          <w:szCs w:val="36"/>
          <w:highlight w:val="none"/>
          <w:lang w:val="en-US" w:eastAsia="zh-CN"/>
        </w:rPr>
        <w:t>10  应急避难场所布局分布表</w:t>
      </w:r>
      <w:bookmarkEnd w:id="375"/>
      <w:bookmarkEnd w:id="376"/>
      <w:bookmarkEnd w:id="377"/>
      <w:bookmarkEnd w:id="378"/>
      <w:bookmarkEnd w:id="379"/>
    </w:p>
    <w:tbl>
      <w:tblPr>
        <w:tblStyle w:val="2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32" w:type="dxa"/>
          <w:left w:w="64" w:type="dxa"/>
          <w:bottom w:w="32" w:type="dxa"/>
          <w:right w:w="64" w:type="dxa"/>
        </w:tblCellMar>
      </w:tblPr>
      <w:tblGrid>
        <w:gridCol w:w="509"/>
        <w:gridCol w:w="503"/>
        <w:gridCol w:w="419"/>
        <w:gridCol w:w="1634"/>
        <w:gridCol w:w="1437"/>
        <w:gridCol w:w="645"/>
        <w:gridCol w:w="749"/>
        <w:gridCol w:w="755"/>
        <w:gridCol w:w="627"/>
        <w:gridCol w:w="908"/>
        <w:gridCol w:w="1130"/>
        <w:gridCol w:w="838"/>
        <w:gridCol w:w="940"/>
        <w:gridCol w:w="1342"/>
        <w:gridCol w:w="931"/>
      </w:tblGrid>
      <w:tr w14:paraId="5DC48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tblHeader/>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E60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序号</w:t>
            </w:r>
          </w:p>
        </w:tc>
        <w:tc>
          <w:tcPr>
            <w:tcW w:w="34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A436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bCs/>
                <w:i w:val="0"/>
                <w:iCs w:val="0"/>
                <w:color w:val="auto"/>
                <w:sz w:val="21"/>
                <w:szCs w:val="21"/>
                <w:highlight w:val="none"/>
                <w:u w:val="none"/>
                <w:lang w:eastAsia="zh-CN"/>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所在区域</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427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名称</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D94A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场所地址</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5E1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有效应急避难面积</w:t>
            </w:r>
          </w:p>
          <w:p w14:paraId="586EDA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9B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可容纳避难人口规模</w:t>
            </w:r>
          </w:p>
          <w:p w14:paraId="23259F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（人）</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B0A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占地面积</w:t>
            </w:r>
          </w:p>
          <w:p w14:paraId="667B03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B65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建设方式</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5CD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应急避难场所分级</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32B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按总体功能定位分类</w:t>
            </w:r>
          </w:p>
        </w:tc>
        <w:tc>
          <w:tcPr>
            <w:tcW w:w="3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3A6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按避难时长设计分类</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4C3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按空间类型分类</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BB1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责任单位</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51C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bCs/>
                <w:i w:val="0"/>
                <w:iCs w:val="0"/>
                <w:color w:val="auto"/>
                <w:sz w:val="21"/>
                <w:szCs w:val="21"/>
                <w:highlight w:val="none"/>
                <w:u w:val="none"/>
              </w:rPr>
            </w:pPr>
            <w:r>
              <w:rPr>
                <w:rFonts w:hint="eastAsia" w:ascii="方正书宋简体" w:hAnsi="方正书宋简体" w:eastAsia="方正书宋简体" w:cs="方正书宋简体"/>
                <w:b/>
                <w:bCs/>
                <w:i w:val="0"/>
                <w:iCs w:val="0"/>
                <w:snapToGrid w:val="0"/>
                <w:color w:val="auto"/>
                <w:kern w:val="0"/>
                <w:sz w:val="21"/>
                <w:szCs w:val="21"/>
                <w:highlight w:val="none"/>
                <w:u w:val="none"/>
                <w:lang w:val="en-US" w:eastAsia="zh-CN" w:bidi="ar"/>
              </w:rPr>
              <w:t>实施年限</w:t>
            </w:r>
          </w:p>
        </w:tc>
      </w:tr>
      <w:tr w14:paraId="001BD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4BD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1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EEB4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中心城区</w:t>
            </w: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6CD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B40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圣火广场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00E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布日都路、布隆街、西鄂尔多斯路、木凯淖尔街围合范围</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93D2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12417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626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4967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BC29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32372</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707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2C1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D15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C35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C83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FAA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0FA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71E2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EEF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08A8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20D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D13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鄂托克旗博物馆</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F0A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布日都路、布隆街、西鄂尔多斯路、苏里格街围合范围</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B9A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11689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9F6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4676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8BC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32126</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59F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A89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61F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58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A8A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A83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鄂托克旗文化和旅游局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612C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79FB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5BD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590E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9E6F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3A3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西鄂尔多斯文化主题公园</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57E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阿尔巴斯街与百眼井路交叉口西侧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61A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23301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02C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9320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58A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209779</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520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AE5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76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759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89E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859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鄂托克旗园林绿化服务中心</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06D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71FA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90E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052B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205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061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鄂托克旗乌兰镇中学</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659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乌仁都喜街与百眼井路交叉口西南侧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DB1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15071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A723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6028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AD2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45975</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AE8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19D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77F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AAB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096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323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BCD1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E3B2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423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1551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918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00B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鄂托克旗第二中学</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C82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乌仁都喜街与桃力民路交叉口西南侧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1BC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12551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676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5020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15B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64768</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AC1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ADE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211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B16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B3B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F1F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B5B4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CE15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4C2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EFF5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E63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B3E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鄂托克旗体育馆</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5E4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苏格里街与苏米图路交叉口东南侧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53C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3841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872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1536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834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9192</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ADC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828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57C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848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970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C11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442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D3CB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9DA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7882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BE0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9ED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鄂托克旗桃力民小学</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F2E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布隆街与平安路交叉口西北侧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8E3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10460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394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4184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019F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56108</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610F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BF9E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92C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40D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683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D34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8DA6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7664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730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CB82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8A1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A01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鄂托克旗第二小学</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72BC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乌仁都喜街与赛乌素路交叉口东南侧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9DD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14273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351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5709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62D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74744</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E4C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BF8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7C7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DA5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FACA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635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E788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37A6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8AF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E821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A06A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FA73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鄂托克旗第一中学</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00E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乌仁都喜街与都斯图路交叉口西南侧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788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12980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A72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5192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CA7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91167</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6E0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273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1F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C3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843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E22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B74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5D2AF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749"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D6E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F8B9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469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5AF8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鄂托克旗综合职业中学</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BC8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木凯淖尔街与苏米图路交叉口西南侧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93B2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11977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4D12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4791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984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105132</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0D8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DD1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7A7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1EA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883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996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63C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6ED7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A95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ACBBD">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2F8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D48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乌兰宫广场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B73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乌仁都喜街与百眼井路交叉口西南侧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562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4066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1787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1626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DB3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21365</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248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F50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8C3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F26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E52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E47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978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2D27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F79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EDD5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87E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1E1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乌兰新村村民委员会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9F8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西大街与赛乌素路交叉口西南侧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3D6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1172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1C8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895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2392</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4CB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8DC9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ED0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134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45C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4C7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乌兰新村村民委员会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BED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2088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C1B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33B3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4A1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AB3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鄂托克旗第一小学</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5FD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乌仁都喜街与赛乌素路交叉口东南侧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9D1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8604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3F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4302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3FD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31764</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E039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3F0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AE5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5CA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A21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F5E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114D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28456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D56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94D24">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302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94B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欧式花园</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E95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百眼井路南乌仁都西街东交叉口处</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C11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1324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89E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883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8635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11988</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9DC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484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66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159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AE7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400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公用事业服务中心/都斯图社区</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C912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F837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0D0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93514">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F6C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8C8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鄂托克旗第二幼儿园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243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阿尔寨街与都斯图路交叉口东南侧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79E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1032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1DC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688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5DE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5267</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EB5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3C8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871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F28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079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FE6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31B8D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277F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E335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7FD0D">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E5B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F78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鄂托克旗第一幼儿园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316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布隆街与都斯图路交叉口西北侧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B97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3562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A3C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2375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06A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18176</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C95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725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2D3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8AA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0C5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344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89CA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2373E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1F1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21AD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590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27B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鄂托克旗汽车站</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55E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木凯淖尔街与桃力民路交叉口西南侧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41D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6903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AED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3452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06F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28178</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903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846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B4F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49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CE7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CE0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鄂托克旗交通运输局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B535B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E920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2E4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0076D">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51E8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6E2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乌兰柴达木嘎查委员会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087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府深线东</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AC5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1107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09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554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860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4520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CB9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D31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A0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34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32D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29C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乌兰柴达木嘎查委员会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4C8E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5695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2B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FD39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8E6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4B3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青少年活动中心</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5A7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阿尔寨街与百眼井路交叉口西南侧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08B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2488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AAF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234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8462</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762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BF7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7C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52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B07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BBF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共青团鄂托克旗委员会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978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F5A6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1F6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1CB68">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5BA2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6AB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鄂托克旗宜通客运有限公司</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2D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府深线与绕城公路东北侧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E3F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7796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FEAF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3898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F3A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31819</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D2B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2E8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7E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1BC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F3C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907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鄂托克旗宜通客运有限公司</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E0262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6610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375"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612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5C5C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2D6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A6B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苏里格街心公园</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3E2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苏格里街与桃力民路交叉口东南侧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4BB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5251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38C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3500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9DA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82838</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6A7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0AF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054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896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89E2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C728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D3B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4BF1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B8C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98E1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264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C07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鄂托克旗第三幼儿园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09B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西大街与赛乌素路交叉口西北侧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533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3189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532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1595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010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25598</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BB2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832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79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2CD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9BC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F86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548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5D328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08D7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BBDB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430C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FFB5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乌兰图克嘎查委员会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CE0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西大街与百眼井路交叉口西南侧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2EB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1058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F2A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78F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4319</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B59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D93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D1F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8D8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160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DF4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乌兰图克嘎查委员会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6680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232BE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9B0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A846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62D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2E4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百眼井酒厂游园</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425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都斯图路北苏里格街西</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95A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1126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3FC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751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353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4368</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4F6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DF3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B90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F7D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7AC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233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D0DA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6D87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873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59AA2">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DA2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41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安睦隆社区党群服务中心</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983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乌仁都喜街与都斯图路交叉口东北侧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5E5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2951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6E0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1476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6BE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12047</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35E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122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543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9C8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331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C6C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安睦隆社区居民委员会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043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E05F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947"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3F6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0EFE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8A7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FF3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王府公园</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812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乌仁都喜街与都斯图路交叉口西北侧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41A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4856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D494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3238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CC9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17190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3D0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0E3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387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413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B61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2DA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6641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5D516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A18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415E2">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CDC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27</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837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鄂托克旗图书馆</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EA2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布隆街与布日都路交叉口东南侧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E4B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5832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D0A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2916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919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23803</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1E1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1E67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788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E1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DB2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10F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鄂托克旗文化和旅游局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6ED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CB30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1464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F057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83D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D38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乌兰镇康宁社区居民委员会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23A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阿尔巴斯街与都斯图路交叉口东北侧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295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2839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318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1420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543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11590</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7AF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CF7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FC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ADC9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421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C0C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乌兰镇康宁社区居民委员会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0F85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CDE2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DBE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19B1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005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D01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鄂托克旗第五幼儿园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CBB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苏格里街与赛乌素路交叉口东北侧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3BC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2481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14F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565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5062</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677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F90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C822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F812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A7A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DE0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8CD9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6F0B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45A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0C4E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5D09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CC8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鄂托克旗第四幼儿园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100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西大街与都斯图路交叉口西南侧</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BB1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4701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672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2350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F30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23983</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59E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E35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13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706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960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954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A672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482C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384"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28F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980F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472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126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法治综合教育公园</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80C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西鄂尔多斯路南阿尔巴斯街西交叉口处</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CEF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1527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FC1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1018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1610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11848</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896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095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ECC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E8A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E08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68C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60D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F994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D7E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A040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F25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32</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D92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鄂托克旗综合地质博物馆</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F6D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圣火广场北</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0B4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14074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28F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5630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29C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25935</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04F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3B9B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7B4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755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F00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F14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鄂托克旗自然资源局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3621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3AA5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7B0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5EECB">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B78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8D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乌兰镇文体广场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073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赛音乌素路南、第一小学东</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D8C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6503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FE1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4335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897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16257</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A84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035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F80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FDB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A4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420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公用事业服务中心</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8FA7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7A80D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FC9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w:t>
            </w:r>
          </w:p>
        </w:tc>
        <w:tc>
          <w:tcPr>
            <w:tcW w:w="1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9E5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w:t>
            </w: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90C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47E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阿如布拉格嘎查退役军人服务站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794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阿如布拉格嘎查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F31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6388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DB6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3194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32A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12776</w:t>
            </w:r>
          </w:p>
        </w:tc>
        <w:tc>
          <w:tcPr>
            <w:tcW w:w="2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810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EAE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9F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5C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852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0DA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阿如布拉格嘎查委员会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C705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9CEE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541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3A304">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B03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C69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敖伦其日嘎嘎查委员会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40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敖伦其日嘎嘎查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249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2255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520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1127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A04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4510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BA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2AE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DA4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E26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E43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76F5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敖伦其日嘎嘎查委员会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BCB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985D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5D9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FFB9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849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586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巴音陶勒盖嘎查委员会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71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巴音陶勒盖嘎查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2F6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2393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BC2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1197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10A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4786</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65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CB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F53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724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6E5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402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巴音陶勒盖嘎查委员会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392F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D166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458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65588">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CE5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DC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巴音乌素嘎查委员会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0C5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巴音乌素嘎查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E70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2457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031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1228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B3E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4913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33F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99AE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D5B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11E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85B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350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巴音乌素嘎查委员会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A6F1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33FB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724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F14A4">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7DE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AB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布隆嘎查委员会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13F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布隆嘎查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CBB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1901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D7C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951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AF1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3802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2E0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0CC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B0A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FB6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010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88E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布隆嘎查委员会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EB04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E915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28B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B6E2">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BCA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2C34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阿尔巴斯苏木人民政府（阿尔巴斯苏木查布全民健身广场）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09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中心镇区（布隆嘎查）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392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3529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9032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1176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69D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14118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460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57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71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FC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D11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6BD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EC6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B3A9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67C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6244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61E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440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海天线路南广场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C88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中心镇区（布隆嘎查）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50E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3116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279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CC1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7791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74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C2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660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84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7BBD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869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2D2F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7367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81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5CEA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DB8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3A30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哈图嘎查委员会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13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哈图嘎查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D41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3884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C3F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1942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01F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7767</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CD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55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49C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D4D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C06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BB6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哈图嘎查委员会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B7A5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1C34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6060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04B9">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FAA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D7B9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呼和陶勒盖嘎查委员会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691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呼和陶勒盖嘎查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E5C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2950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6BB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1475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393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5899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B52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70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89A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4E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2CF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B2F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呼和陶勒盖嘎查委员会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84B0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1C76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921"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86D0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03FFD">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D049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001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阿尔巴斯苏木新昭广场（脑高岱嘎查）</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981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脑高岱嘎查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ADA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8239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F3A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4119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F58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20597</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D4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E21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C81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6405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03E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896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脑高岱嘎查委员会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1F6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76CF0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90D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177B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458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1ED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脑高岱嘎查退役军人服务站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D94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脑高岱嘎查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C40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2776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192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1388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FEF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5552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B5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9A2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00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5B8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61C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51D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脑高岱嘎查委员会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C89F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FCDC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0FF2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1F4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10C2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777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阿尔巴斯苏木社会化服务组织</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AB1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赛音乌素嘎查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271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2676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27F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1338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6D8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5352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461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870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1B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608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522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FD2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草籽场社区居民委员会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8BC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6917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1966"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EAC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B2D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02F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F15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赛音乌素客运站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8E4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赛音乌素嘎查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5FE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2617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F6F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1309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16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8724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C2D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84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403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38F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7F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B74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草籽场社区居民委员会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E230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B839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46"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9B0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D273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0F6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93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陶利嘎查委员会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A6D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陶利嘎查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54D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3779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306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1889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C98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7557</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539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C1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8C7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EBD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C34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39B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陶利嘎查委员会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8B23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B176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1702"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034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C91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469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A2D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陶利嘎查委员会南侧公园</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11E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陶利嘎查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A7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2122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B36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1061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847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10612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297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C08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AAD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FD1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DF6B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B47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陶利嘎查委员会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1F32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97F3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892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CFFC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258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9C5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乌兰乌素嘎查委员会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5C2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乌兰乌素嘎查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1B2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6315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6C0D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3157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392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12630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685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73A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0EB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E95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CC4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8D6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乌兰乌素嘎查委员会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8E3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73BF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2221"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B2E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C3E2">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67E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C3C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希尼其日嘎嘎查委员会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76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希尼其日嘎嘎查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72E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1238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9B0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619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0C0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2477</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CB6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AB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F84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E5E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D22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518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希尼其日嘎嘎查委员会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2513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E82F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B2C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w:t>
            </w:r>
          </w:p>
        </w:tc>
        <w:tc>
          <w:tcPr>
            <w:tcW w:w="1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241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鄂托克旗赛因乌素草籽场</w:t>
            </w: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A4C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195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赛音乌素嘎查委员会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0EA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鄂托克旗赛因乌素草籽场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C06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6156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0E3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2463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993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12313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297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340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42A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805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497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827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赛音乌素嘎查委员会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D6E4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2258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70D2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E189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1CC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8BFA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草籽场社区北广场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BA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鄂托克旗赛因乌素草籽场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022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915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454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88B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2288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BCE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84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1CD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EE0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DF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8DA8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草籽场社区居民委员会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63C6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0BF2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C05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9616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AAD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BF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鄂托克旗赛因乌素草籽场东居住区小广场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94C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鄂托克旗赛因乌素草籽场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212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884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D64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442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BBD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2209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5D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B8B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A52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10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C70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73F2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草籽场社区居民委员会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66D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21B3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95F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D02F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40B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ADF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鄂托克旗赛音乌素绿苑小学</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2D9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鄂托克旗赛因乌素草籽场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388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3724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4AB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1490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B7B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38248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C68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576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4D4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C41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C52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B73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CC6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2C6F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EC7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B37EB">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E7F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650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草籽场社区居民委员会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AD6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鄂托克旗赛因乌素草籽场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038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639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7207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4E1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1278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399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1DE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2E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070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AB0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D87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草籽场社区居民委员会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1198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FED6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3F1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37B6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C84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D4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阿尔巴斯苏木赛音乌素广场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B8FC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鄂托克旗赛因乌素草籽场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6A7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7358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CD6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3679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AB8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29434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B03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1F1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4BE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BF5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F48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BB4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草籽场社区居民委员会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4D3B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F787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68E4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57</w:t>
            </w:r>
          </w:p>
        </w:tc>
        <w:tc>
          <w:tcPr>
            <w:tcW w:w="1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5C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w:t>
            </w: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EF18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4F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巴音温都尔嘎查委员会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887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巴音温都尔嘎查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50C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1603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532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801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5E0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6410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B4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628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5E0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5E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64C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E2F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巴音温都尔嘎查委员会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79EC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2AF4B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95C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B4B1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C22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154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鄂托克旗中山幼儿园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A1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中心镇区（碱柜村）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6CC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4070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04D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1628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C43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20350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8AF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27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8C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7BD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C55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97C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C15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3AC5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1EA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162D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E50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9E1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碱柜村村委会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A70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中心镇区（碱柜村）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945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2350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14A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940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061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4699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03D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1BE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F56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E2D9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36A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193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碱柜村村民委员会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A009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6432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0AA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57B7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C1A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7EB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渠畔村北广场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2CB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中心镇区（渠畔村）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62B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1205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5FB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602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8BC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4819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4D9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96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9552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9F2A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F5D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2B6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渠畔村村民委员会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564F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A06E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675"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D7B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5748D">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5C6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A9F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渠畔村南广场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15A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中心镇区（渠畔村）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275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397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114A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1819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DE8E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5D13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F0A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6A3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BA6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81A3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渠畔村村民委员会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D5B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F2C5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8C7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9319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632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40B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渠畔村民委员会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C2A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中心镇区（渠畔村）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2E9A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1370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AE2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685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066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2741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9B4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213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2E2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111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48B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D88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渠畔村村民委员会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7C5A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C7B2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716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5940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165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EB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苏亥图嘎查委员会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B97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苏亥图嘎查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A19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810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00F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7A2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1621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56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7E6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00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ED9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84D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498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苏亥图嘎查委员会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EC444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51F0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137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C7558">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540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171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新民村南侧公园</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3F3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新民村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F77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910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8F0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A09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4548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D3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464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4A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9E9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5C48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A31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新民村村民委员会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E94C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0F80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620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BB3B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587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363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新民村委员会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2D4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新民村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C06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1170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713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A0A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4681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C4E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4FD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4AA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580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D90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8A1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新民村村民委员会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158A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D21F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721"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3E18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A49B">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69D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1DE2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羊场村民委员会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330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羊场村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7C8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1976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7ED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988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EFD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3953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F1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D32C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29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FF62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DF7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BD6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羊场村村民委员会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FDA3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D569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FA6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95BA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27C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594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碱柜村小学</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EC5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中心镇区（伊克布拉格嘎查）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4A5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4272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775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2848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0C5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41659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105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A18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EB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597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7D6C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6279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6040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0CA2B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016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9148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715B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1B5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隆安社区退役军人服务站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341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中心镇区（伊克布拉格嘎查）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080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1988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DB29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994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66F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3976</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91E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25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376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03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F0D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F9D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隆安社区居民委员会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0B0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1E1A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DF1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03108">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F18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A27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伊克布拉格嘎查委员会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D8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伊克布拉格嘎查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598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2297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68B4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1149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E07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4595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BB8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6AC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EB8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F98A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C5D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6A2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伊克布拉格嘎查委员会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C10B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24E1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326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E36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100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47E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鄂托克旗蒙西阳光学校</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876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中心镇区（伊克布拉格嘎查）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304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5712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436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2285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210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106102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C00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1A9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FD6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F4D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24E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7C8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2FB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20CC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2057"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44D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0FBC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175E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77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蒙西大厦前广场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677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中心镇区（伊克布拉格嘎查）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CFA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11185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6CD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4474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7A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46604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A27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4B5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7B7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B3E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FD1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5F8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蒙西大厦物业管理单位</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DA94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B0B7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7C4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6FB1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D7D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1DA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蒙西镇政府</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43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中心镇区（伊克布拉格嘎查）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FB5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3859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502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1544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19E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15436</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2C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6B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D212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FEB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EC3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B39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5F5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DC39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0DA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897A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727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A8F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蒙西镇政府南侧广场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7BC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中心镇区（伊克布拉格嘎查）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3A2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1606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B5D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1070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192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10703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70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70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AB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370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DF0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5C2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7081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172E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22D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8BB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78F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D5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蒙西镇区最北端广场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37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中心镇区（伊克布拉格嘎查）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E772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1046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6F2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A2C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5232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9A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56F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039C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A7D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9A8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933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24CE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40B6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E88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3BC38">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A0D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149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兵团广场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05B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中心镇区（伊克布拉格嘎查、碱柜村）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09D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3448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9FA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2299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32C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17239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EDA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6C6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8E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A3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DE2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2D5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57C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5957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9D7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F5EF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365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969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蒙西阳光幼儿园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75C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中心镇区（伊克布拉格嘎查）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E4F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2080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F7F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1040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8022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17335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1A9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E73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13E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0F7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CF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90D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72B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EE9B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15A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DDC7D">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726D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DF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蒙西行政服务中心南侧广场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9F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中心镇区（伊克布拉格嘎查）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663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7433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73A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2973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199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49555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0B5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B24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7FC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BC3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0D2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EF8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E941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08D1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3F3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78</w:t>
            </w:r>
          </w:p>
        </w:tc>
        <w:tc>
          <w:tcPr>
            <w:tcW w:w="1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722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w:t>
            </w: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C0D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581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巴音淖尔村退役军人服务站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495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巴音淖尔村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531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1119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313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559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DA7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4475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04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A0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3B7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823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5E6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6E2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巴音淖尔村村民委员会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B704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F4AD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7DE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9F05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978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31F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巴音淖尔村广场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58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巴音淖尔村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855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1844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74E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922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69A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4610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A8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F9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846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B0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D2B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A11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巴音淖尔村村民委员会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B87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F153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A94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E5BB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5B4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5C8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巴音淖尔村民委员会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7A4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巴音淖尔村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F9F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1027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BFB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3C5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2054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8A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41F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D5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E65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932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8FC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巴音淖尔村村民委员会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B04E2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0F9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0BA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E2C6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EAD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7BD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包勒壕内村民委员会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49D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包勒壕内村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F2A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470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F5C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148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940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3D9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1D3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7084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9A9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3F8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B84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包勒壕内村村民委员会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2D4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CA43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694"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B29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DA1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7FC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B2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达楞图如村民委员会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796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达楞图如村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D26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1162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7EA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CC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2324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92E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D9E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CB0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221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A2F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815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达楞图如村村民委员会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C534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1868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B71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E4F1D">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F91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1809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旧庙湾村委员会、大克泊尔村民委员会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73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达楞图如村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59F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3569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C14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1784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918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14275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D5B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AA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068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06F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1C2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1BC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旧庙湾村村民委员会、大克泊尔村村民委员会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8823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3D0F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1D0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F4D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E75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C8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旧庙湾村广场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677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旧庙湾村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873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1875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B74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938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45B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4689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833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B59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F36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315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904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978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旧庙湾村村民委员会、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86FE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BC87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D60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881F8">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E10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16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F10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345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588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DE2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918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E08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B91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9A5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937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462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432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268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52A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E45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B7F9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CA9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F72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木凯淖尔镇人民政府广场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49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中心镇区（水泉子村）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67C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5108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6D7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2043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48B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35813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C6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193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312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98E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72A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2D2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8DE2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6ED7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056"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2EA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1298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7F0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213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木凯淖尔镇府北小广场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532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中心镇区（水泉子村）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B24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3137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27F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1568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89E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7842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CC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03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7CA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6C4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46C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486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1C1D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B385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111"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C85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E12F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0B6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94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木凯淖尔镇府北大广场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AD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中心镇区（水泉子村）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6389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6372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F6A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2549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B5F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15929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04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31C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FA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A73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15C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8E2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木凯淖尔镇人民政府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B26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22F3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B9F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1EA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A1D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F30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沙井供电所员工活动中心</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CA7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水泉子村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73AC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2834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AC4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1134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C1B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14170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EA9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10F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04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D45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C28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172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国网鄂托克旗供电公司</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1189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A94A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C2EC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EF8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EB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95D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水泉子村民委员会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0E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水泉子村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946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1797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D32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898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6AE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3593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E9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D5E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EE7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4BA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90A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618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水泉子村村民委员会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9E7D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02F0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215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DEE2">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950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D36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索扣村民委员会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81B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索扣村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099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600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F0A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3C3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1200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722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80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41C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08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37C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C68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索扣村村民委员会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F5FC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ADC2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106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C46E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6CD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EE9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桃力民村民委员会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38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桃力民村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57E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776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44C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766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1553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4A2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A72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7E8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50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EA9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9A4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桃力民村村民委员会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2FEA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A945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09B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DFC12">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98C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2C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乌兰吉林村委员会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F0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乌兰吉林村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362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1013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AB4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02F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4050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3C1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B2B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4E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A77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1D12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A9E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乌兰吉林村村民委员会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8C3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6EF7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D7C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16A1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389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B4D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乌兰其日嘎村民委员会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C5D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乌兰其日嘎村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1D7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1068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A87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534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F22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2136</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80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DE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59A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F0A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CA5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BA5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乌兰其日嘎村村民委员会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B53B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9F52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459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939B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462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D7A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乌素其日嘎村委员会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1B6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乌素其日嘎村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402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396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5E1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9AA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792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B9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01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306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DE1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2CD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8E7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乌素其日嘎村村民委员会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FE9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B51B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F8D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57C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255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E1D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伊克乌素村小广场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5B80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伊克乌素村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E3B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1466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B70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733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603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1832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CD0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87B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EAE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BC5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1C0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AEF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伊克乌素村村民委员会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AFA4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DC2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0CC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0524">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B57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1EA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扎德盖村民委员会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0DB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扎德盖村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73D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1383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C2A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691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F4A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2765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092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1E0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B558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7F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A89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CED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0" cy="210185"/>
                  <wp:effectExtent l="0" t="0" r="6350" b="5715"/>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17"/>
                          <a:stretch>
                            <a:fillRect/>
                          </a:stretch>
                        </pic:blipFill>
                        <pic:spPr>
                          <a:xfrm>
                            <a:off x="0" y="0"/>
                            <a:ext cx="95250" cy="210185"/>
                          </a:xfrm>
                          <a:prstGeom prst="rect">
                            <a:avLst/>
                          </a:prstGeom>
                          <a:noFill/>
                          <a:ln>
                            <a:noFill/>
                          </a:ln>
                        </pic:spPr>
                      </pic:pic>
                    </a:graphicData>
                  </a:graphic>
                </wp:anchor>
              </w:drawing>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扎德盖村村民委员会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75E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BB34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694"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86E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D0B8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C4A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C7A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召稍村民委员会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A15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召稍村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84A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4926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ADD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2463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16D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9852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11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739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DD4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1E5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5DC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BE1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0" cy="210185"/>
                  <wp:effectExtent l="0" t="0" r="6350" b="5715"/>
                  <wp:wrapNone/>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17"/>
                          <a:stretch>
                            <a:fillRect/>
                          </a:stretch>
                        </pic:blipFill>
                        <pic:spPr>
                          <a:xfrm>
                            <a:off x="0" y="0"/>
                            <a:ext cx="95250" cy="210185"/>
                          </a:xfrm>
                          <a:prstGeom prst="rect">
                            <a:avLst/>
                          </a:prstGeom>
                          <a:noFill/>
                          <a:ln>
                            <a:noFill/>
                          </a:ln>
                        </pic:spPr>
                      </pic:pic>
                    </a:graphicData>
                  </a:graphic>
                </wp:anchor>
              </w:drawing>
            </w: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召稍村村民委员会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8080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2AB9A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5E98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99</w:t>
            </w:r>
          </w:p>
        </w:tc>
        <w:tc>
          <w:tcPr>
            <w:tcW w:w="1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EB7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内蒙古白绒山羊种养场</w:t>
            </w: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B2BB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8E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三北羊场社区居民委员会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B36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内蒙古白绒山羊种养场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A18A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2014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78E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1007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7C5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4028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9E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0E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432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99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935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010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三北羊场社区居民委员会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1BAC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1602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C3B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100</w:t>
            </w:r>
          </w:p>
        </w:tc>
        <w:tc>
          <w:tcPr>
            <w:tcW w:w="1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59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w:t>
            </w: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90F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A22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百眼井村委员会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D20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百眼井村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A69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2921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BDE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1461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89E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5843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CC4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8C0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AAA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116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B30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DFA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百眼井村村民委员会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76419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DA09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2158"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51F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81F1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C64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553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楚鲁拜嘎查委员会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ECD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楚鲁拜嘎查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9C1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856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7B8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428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A04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1712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B6A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707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1ED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BE5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054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1FA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楚鲁拜嘎查委员会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09119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DC81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961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EF28">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E9F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878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额尔和图嘎查委员会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8D8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701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5601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25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2240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B25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11202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35B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83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0E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9B8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DC7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872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额尔和图嘎查委员会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3E5C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BC2F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E24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BD3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FBB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59F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靖安艾力社区党群服务中心</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2DE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810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1230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5BA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615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0B7F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2460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CD8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1E7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48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CF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B84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DFB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靖安艾力社区党群服务中心</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1419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C4B4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05A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B01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220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AF4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梦翔新欣社区党群服务中心</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70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87C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2487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D75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1D5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9946</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831C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A0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CFE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70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DB6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D93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梦翔新欣社区党群服务中心</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F77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4213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41F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FD17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131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E21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棋盘井第二社区居委会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999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26F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1340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7E2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670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475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2680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C3F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F53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9DA7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51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B61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42B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棋盘井第二社区居委会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A89B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6419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9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7DC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9E0F9">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8FE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FD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棋盘社区党群服务中心</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EF9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9CD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3395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130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1698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C2D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6791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CA2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669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A8C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5BE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E1A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FE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棋盘社区党群服务中心</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0397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7CE9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B99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CE9D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67C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33A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BB5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817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8627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A13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3451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415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34509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DF9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EE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46A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196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A37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66B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7BD7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30E0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9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6E4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83B5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F1E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5C8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棋盘井镇文化体育中心（棋盘井镇职工文化中心）</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44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115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7656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885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3063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C4E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21268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61D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4C6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AF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D53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72D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D4F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棋盘井镇文化体育中心管理单位</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767C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5BF1D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48A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3088B">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14E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40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固业社区泰祥国际北广场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573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26B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14063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A9F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9376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193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35158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F65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C0E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0F3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DFE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EF4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C15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固业社区居民委员会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CAA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BB41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A7C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71FB">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CED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7AC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劲通家居广场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5DD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34F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10130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3E1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6754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14D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25326</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F5C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08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FBB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1BB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F56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430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劲通家居广场物业管理单位</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6A6F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3372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053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B6B6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C8D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E0B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棋盘井鄂尔多斯集团文化广场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A29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AF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10650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8F3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7100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446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26624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912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F64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CD99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EF62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8E5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D530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鄂尔多斯集团</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1D0F9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1B3B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C6AB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C3A88">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4C8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2C4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棋盘井第三幼儿园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281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1FA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2484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939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1656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208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8279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6A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43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8E6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B4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27C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B59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8614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E796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B91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F049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D6D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F39B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棋盘井第一幼儿园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57F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0C3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5222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DC5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3481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9431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20701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DB3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475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B3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CE1A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1A3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B2C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A48B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96B2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844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9916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CC5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06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棋盘井第四幼儿园（靖安社区民族幼儿园）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087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5F4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2332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BC6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1166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171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2402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51D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52D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C4F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AAA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829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0D1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3A72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F978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1459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25A54">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D81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0AD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棋盘井第二幼儿园（梦翔社区新区幼儿园）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4F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62C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6745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26E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4497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142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16004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9D7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F1C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30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464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B97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4B80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85F9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48591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142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AEB72">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871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1D0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艾力社区宏达A区广场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EF4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55E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12471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6F8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4988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1F3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31177</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EC7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CF1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EE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48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5F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97C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艾力社区宏达A区物业管理单位</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87C6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0B01F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FE3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9C4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480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905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鄂托克旗棋盘井中学</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733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401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6148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3A6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2459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764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82921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C9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EB4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811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39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9C2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056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28E7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DFFD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41E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FD4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03D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814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星光步行街广场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70A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2C6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13449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303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5379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062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33622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15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173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31B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1F8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1F4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F79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3AC4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DDF1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365"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C2A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E21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2AF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02D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金海广场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48B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64C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16449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FEF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6579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AFD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68536</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A1F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A49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337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D949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13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F13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7C33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5B5C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E1F9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1E62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0FC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15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棋盘井第三小学</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9A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635E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5151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559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2060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4D2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92260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7EF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06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D6A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88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566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DFB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F6DF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541C2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3F1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824D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2BA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33E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棋盘井第四小学</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DD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A40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3539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AE8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1416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D9F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107410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313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50A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36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377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EF38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FA9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976F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09BDB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E01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0F7D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EFB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56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棋盘井第一小学</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A0F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03F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4277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A71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1711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BC7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59755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A1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992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29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05B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3A6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3F3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3A4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0D5CD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E10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0F0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6B8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BC1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棋盘井祺祥社区（祺祥社区门前小广场）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962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2952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1926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BAF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1284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73A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4816</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821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002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8E3D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ADB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B33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2D2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祺祥社区居民委员会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6B21A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7D6FE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58B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1133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725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CA48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棋盘井第二小学</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63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2F6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4539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689C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1816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23C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101269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8217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13E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594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8E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910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1B3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53C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3477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65C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E3DA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A75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1B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棋盘井镇三维广场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85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60C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4668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9C7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1867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000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11669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BCD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9E0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E8A3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7F6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8FB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AB5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60C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475D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2D5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E1CF9">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053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3EB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天誉天城黑马广场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A0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F84A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2573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FAB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1716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4F7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6433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688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9E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C36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921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DAE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267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天誉天城物业管理单位</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D5E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286DA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B029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22AC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F1D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18A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乌珠尔社区党群服务中心</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FD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9A8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486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86B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4F9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972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6DAE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4222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932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918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A1A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7D93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乌珠尔社区委员会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F0B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BB64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836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E225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1E8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7BC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棋盘井转盘广场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6C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72A0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2118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184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1412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7D0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5295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DDC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8D2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D9F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C158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5FF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3ED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4C3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7791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0BF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98A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61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30</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8E2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棋盘井第一小学对面停车场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64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056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5456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6C2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3637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DD7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11367</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F75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5A3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5FD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7C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1B72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478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6427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FF44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16F5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0DF7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B77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34A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南海大酒店南广场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1D8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516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3511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DCD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2341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26BC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8777</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25E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EAE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97A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527A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2E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ECA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97ED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D13A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FBA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FDFDD">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58A8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406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鄂托克旗棋盘井汽车站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DFD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6B6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3165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534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1266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D71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10550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0BC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DC6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15B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F5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F9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858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67D9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31623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1519"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E1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447F">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B8F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CA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金井商场停车场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195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D6D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1707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C47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1138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53A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4268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BB1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067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0F4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C35E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0A9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1D2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373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A2EC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454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793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779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FE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呼吉嘎查委员会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10F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呼吉嘎查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0F8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902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011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911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1804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E99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EA0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324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7B2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B3A6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C1D7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呼吉嘎查委员会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C5A4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7311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795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31DB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79B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FC8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阿如其日嘎村委员会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7CF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深井村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AE82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2956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6BD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1182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78C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5912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AB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ECC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18A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DF0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1D2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CC1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阿如其日嘎村村民委员会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74BF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F14B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98D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16D8">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5E3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844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深井村委员会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4E0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深井村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049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2620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77E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1048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6B9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5239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D0E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B5D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DA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2F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458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62B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深井村村民委员会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B3B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5C98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CA3F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CC37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485B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9A8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深井村村委会对面广场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598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深井村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9C0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1151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213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575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EEF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1438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53D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3D8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A2D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924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7C6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4232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深井村村民委员会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1B1A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2F96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629"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04F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4681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4772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DEC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公其日嘎供电所北广场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727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深井村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6DA4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2293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92E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1147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506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5734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1B6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57A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71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EDC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F1D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B11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深井村村民委员会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D2BC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FA63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3A2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E75EB">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923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39</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A73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公其日嘎社区停车场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35A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深井村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E61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1644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32C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822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D5A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3424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B0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CD7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FB0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F3A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FF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BF2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深井村村民委员会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D63E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E19A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370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F83D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E7A4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D08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石勒凯村委员会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D8E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石勒凯村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471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680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592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736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1361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2D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298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FC69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CFF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C5C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9EA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石勒凯村村民委员会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0BFD3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C30A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B17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46F24">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D95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2D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苏米图村民委员会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7B1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苏米图村</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2DB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3495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340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1748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4F76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6991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846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EE5B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EB11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B5C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A2D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A2A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苏米图村村民委员会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BCE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9EA9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3075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8295B">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545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46C3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F2C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658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7385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42F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3692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5C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14770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2A4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B5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6A2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F7B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149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ADD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7164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E791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1648"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F22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713C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4FD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46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伊克达赖嘎查委员会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FF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乌仁都喜嘎查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43C9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2281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1DF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1141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604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4563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A8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0DE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729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5421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3BA4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96D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伊克达赖嘎查委员会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8702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5893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2CA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143</w:t>
            </w:r>
          </w:p>
        </w:tc>
        <w:tc>
          <w:tcPr>
            <w:tcW w:w="187" w:type="pct"/>
            <w:vMerge w:val="restart"/>
            <w:tcBorders>
              <w:top w:val="single" w:color="000000" w:sz="4" w:space="0"/>
              <w:left w:val="single" w:color="000000" w:sz="4" w:space="0"/>
              <w:right w:val="single" w:color="000000" w:sz="4" w:space="0"/>
            </w:tcBorders>
            <w:shd w:val="clear" w:color="auto" w:fill="auto"/>
            <w:noWrap/>
            <w:vAlign w:val="center"/>
          </w:tcPr>
          <w:p w14:paraId="783EA27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w:t>
            </w: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737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2A1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巴嘎额尔和图嘎查委员会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32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巴嘎额尔和图嘎查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678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3334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3FE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1667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392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6668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B6B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F3CE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730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C4F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204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C1F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巴嘎额尔和图嘎查委员会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6F9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F719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4E9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144</w:t>
            </w:r>
          </w:p>
        </w:tc>
        <w:tc>
          <w:tcPr>
            <w:tcW w:w="187" w:type="pct"/>
            <w:vMerge w:val="continue"/>
            <w:tcBorders>
              <w:left w:val="single" w:color="000000" w:sz="4" w:space="0"/>
              <w:right w:val="single" w:color="000000" w:sz="4" w:space="0"/>
            </w:tcBorders>
            <w:shd w:val="clear" w:color="auto" w:fill="auto"/>
            <w:noWrap/>
            <w:vAlign w:val="center"/>
          </w:tcPr>
          <w:p w14:paraId="78115584">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2C5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76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巴音布拉格嘎查委员会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633B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B7A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2091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330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1046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EEEC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4182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CB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5F5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66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E3F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4D53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828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巴音布拉格嘎查委员会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7344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8E0F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ACF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145</w:t>
            </w:r>
          </w:p>
        </w:tc>
        <w:tc>
          <w:tcPr>
            <w:tcW w:w="187" w:type="pct"/>
            <w:vMerge w:val="continue"/>
            <w:tcBorders>
              <w:left w:val="single" w:color="000000" w:sz="4" w:space="0"/>
              <w:right w:val="single" w:color="000000" w:sz="4" w:space="0"/>
            </w:tcBorders>
            <w:shd w:val="clear" w:color="auto" w:fill="auto"/>
            <w:noWrap/>
            <w:vAlign w:val="center"/>
          </w:tcPr>
          <w:p w14:paraId="279F07E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D17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2909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巴音布拉格嘎查委员会（鄂托克旗苏米图苏木委）</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C8F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巴音布拉格嘎查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C0C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5857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515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2928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7DC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11714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97E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0368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B7C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98CE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E20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C17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巴音布拉格嘎查委员会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96E0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469D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5DC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146</w:t>
            </w:r>
          </w:p>
        </w:tc>
        <w:tc>
          <w:tcPr>
            <w:tcW w:w="187" w:type="pct"/>
            <w:vMerge w:val="continue"/>
            <w:tcBorders>
              <w:left w:val="single" w:color="000000" w:sz="4" w:space="0"/>
              <w:right w:val="single" w:color="000000" w:sz="4" w:space="0"/>
            </w:tcBorders>
            <w:shd w:val="clear" w:color="auto" w:fill="auto"/>
            <w:noWrap/>
            <w:vAlign w:val="center"/>
          </w:tcPr>
          <w:p w14:paraId="1EE9862D">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537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2E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查汗敖包嘎查委员会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712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中心镇区（查汗敖包嘎查）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781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672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9D7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336</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FDF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1345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D5E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99C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64A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7D9E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1BB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9C5F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查汗敖包嘎查委员会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612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FA5E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1CE2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147</w:t>
            </w:r>
          </w:p>
        </w:tc>
        <w:tc>
          <w:tcPr>
            <w:tcW w:w="187" w:type="pct"/>
            <w:vMerge w:val="continue"/>
            <w:tcBorders>
              <w:left w:val="single" w:color="000000" w:sz="4" w:space="0"/>
              <w:right w:val="single" w:color="000000" w:sz="4" w:space="0"/>
            </w:tcBorders>
            <w:shd w:val="clear" w:color="auto" w:fill="auto"/>
            <w:noWrap/>
            <w:vAlign w:val="center"/>
          </w:tcPr>
          <w:p w14:paraId="3CF3E432">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4233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79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苏米图苏木人民政府</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564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中心镇区（查汗敖包嘎查）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FAE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1857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AAE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619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F69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7426</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999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BE5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570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AB0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长期避难场所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3D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47841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147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0506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425A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148</w:t>
            </w:r>
          </w:p>
        </w:tc>
        <w:tc>
          <w:tcPr>
            <w:tcW w:w="187" w:type="pct"/>
            <w:vMerge w:val="continue"/>
            <w:tcBorders>
              <w:left w:val="single" w:color="000000" w:sz="4" w:space="0"/>
              <w:right w:val="single" w:color="000000" w:sz="4" w:space="0"/>
            </w:tcBorders>
            <w:shd w:val="clear" w:color="auto" w:fill="auto"/>
            <w:noWrap/>
            <w:vAlign w:val="center"/>
          </w:tcPr>
          <w:p w14:paraId="0262A10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4767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B22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苏米图苏木退役军人服务站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B77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中心镇区（查汗敖包嘎查）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EF6A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7887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D1F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3155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F38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15775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DE9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412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5635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5C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短期避难场所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A2F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DD2F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苏米图苏木退役军人服务站</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F969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577A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A45D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149</w:t>
            </w:r>
          </w:p>
        </w:tc>
        <w:tc>
          <w:tcPr>
            <w:tcW w:w="187" w:type="pct"/>
            <w:vMerge w:val="continue"/>
            <w:tcBorders>
              <w:left w:val="single" w:color="000000" w:sz="4" w:space="0"/>
              <w:right w:val="single" w:color="000000" w:sz="4" w:space="0"/>
            </w:tcBorders>
            <w:shd w:val="clear" w:color="auto" w:fill="auto"/>
            <w:noWrap/>
            <w:vAlign w:val="center"/>
          </w:tcPr>
          <w:p w14:paraId="066AD85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1B00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4DC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苏米图苏木开发区、苏木政府所在地南100米</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87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中心镇区（查汗敖包嘎查）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384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3390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1CCC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2260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6D7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8474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B95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3E9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7C0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320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2C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F835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0E9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6C142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8F8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150</w:t>
            </w:r>
          </w:p>
        </w:tc>
        <w:tc>
          <w:tcPr>
            <w:tcW w:w="187" w:type="pct"/>
            <w:vMerge w:val="continue"/>
            <w:tcBorders>
              <w:left w:val="single" w:color="000000" w:sz="4" w:space="0"/>
              <w:right w:val="single" w:color="000000" w:sz="4" w:space="0"/>
            </w:tcBorders>
            <w:shd w:val="clear" w:color="auto" w:fill="auto"/>
            <w:noWrap/>
            <w:vAlign w:val="center"/>
          </w:tcPr>
          <w:p w14:paraId="330F135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0F8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DA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鄂托克旗苏米图中心幼儿园</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01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中心镇区（查汗敖包嘎查）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E9B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1380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43D8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920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321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8825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071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068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苏木镇级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64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5F40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3AB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AA4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鄂托克旗教育体育局</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BD85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2623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751"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149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151</w:t>
            </w:r>
          </w:p>
        </w:tc>
        <w:tc>
          <w:tcPr>
            <w:tcW w:w="187" w:type="pct"/>
            <w:vMerge w:val="continue"/>
            <w:tcBorders>
              <w:left w:val="single" w:color="000000" w:sz="4" w:space="0"/>
              <w:right w:val="single" w:color="000000" w:sz="4" w:space="0"/>
            </w:tcBorders>
            <w:shd w:val="clear" w:color="auto" w:fill="auto"/>
            <w:noWrap/>
            <w:vAlign w:val="center"/>
          </w:tcPr>
          <w:p w14:paraId="381723C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E6BD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EF2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额尔和图嘎查委员会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32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额尔和图嘎查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439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1559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5C9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780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C8E1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3118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EBA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F33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57D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A4E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205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9E6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额尔和图嘎查委员会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FAA8F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AA0F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542"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9D3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152</w:t>
            </w:r>
          </w:p>
        </w:tc>
        <w:tc>
          <w:tcPr>
            <w:tcW w:w="187" w:type="pct"/>
            <w:vMerge w:val="continue"/>
            <w:tcBorders>
              <w:left w:val="single" w:color="000000" w:sz="4" w:space="0"/>
              <w:right w:val="single" w:color="000000" w:sz="4" w:space="0"/>
            </w:tcBorders>
            <w:shd w:val="clear" w:color="auto" w:fill="auto"/>
            <w:noWrap/>
            <w:vAlign w:val="center"/>
          </w:tcPr>
          <w:p w14:paraId="6C2C20F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4089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B10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苏米图苏木马什亥嘎查委员会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130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马什亥嘎查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B45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1281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3970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640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225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5123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E94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44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6478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654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C4A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4AE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马什亥嘎查委员会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A6A35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3BF5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17B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153</w:t>
            </w:r>
          </w:p>
        </w:tc>
        <w:tc>
          <w:tcPr>
            <w:tcW w:w="187" w:type="pct"/>
            <w:vMerge w:val="continue"/>
            <w:tcBorders>
              <w:left w:val="single" w:color="000000" w:sz="4" w:space="0"/>
              <w:right w:val="single" w:color="000000" w:sz="4" w:space="0"/>
            </w:tcBorders>
            <w:shd w:val="clear" w:color="auto" w:fill="auto"/>
            <w:noWrap/>
            <w:vAlign w:val="center"/>
          </w:tcPr>
          <w:p w14:paraId="37EF2A3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0F56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22F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斯布扣嘎查退役军人服务站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549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斯布扣嘎查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2B49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839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DD44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419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A83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1678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E8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3E1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B2C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6E7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F97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C5B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斯布扣嘎查委员会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B2508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A5E5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BA6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154</w:t>
            </w:r>
          </w:p>
        </w:tc>
        <w:tc>
          <w:tcPr>
            <w:tcW w:w="187" w:type="pct"/>
            <w:vMerge w:val="continue"/>
            <w:tcBorders>
              <w:left w:val="single" w:color="000000" w:sz="4" w:space="0"/>
              <w:right w:val="single" w:color="000000" w:sz="4" w:space="0"/>
            </w:tcBorders>
            <w:shd w:val="clear" w:color="auto" w:fill="auto"/>
            <w:noWrap/>
            <w:vAlign w:val="center"/>
          </w:tcPr>
          <w:p w14:paraId="3E189CC7">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1D0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1D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斯布扣嘎查退役军人服务站（球场）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8E8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斯布扣嘎查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0A7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2805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40F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1121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D8E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67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53C6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695C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DEA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A6D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斯布扣嘎查委员会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0B3C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4AC8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51AC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155</w:t>
            </w:r>
          </w:p>
        </w:tc>
        <w:tc>
          <w:tcPr>
            <w:tcW w:w="187" w:type="pct"/>
            <w:vMerge w:val="continue"/>
            <w:tcBorders>
              <w:left w:val="single" w:color="000000" w:sz="4" w:space="0"/>
              <w:right w:val="single" w:color="000000" w:sz="4" w:space="0"/>
            </w:tcBorders>
            <w:shd w:val="clear" w:color="auto" w:fill="auto"/>
            <w:noWrap/>
            <w:vAlign w:val="center"/>
          </w:tcPr>
          <w:p w14:paraId="1B66B94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D89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45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苏里格嘎查委员会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6F7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苏里格嘎查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E36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1140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54B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570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54A5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4560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3C4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4965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D4F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929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FE7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CD45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苏里格嘎查委员会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85D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4A25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549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156</w:t>
            </w:r>
          </w:p>
        </w:tc>
        <w:tc>
          <w:tcPr>
            <w:tcW w:w="187" w:type="pct"/>
            <w:vMerge w:val="continue"/>
            <w:tcBorders>
              <w:left w:val="single" w:color="000000" w:sz="4" w:space="0"/>
              <w:right w:val="single" w:color="000000" w:sz="4" w:space="0"/>
            </w:tcBorders>
            <w:shd w:val="clear" w:color="auto" w:fill="auto"/>
            <w:noWrap/>
            <w:vAlign w:val="center"/>
          </w:tcPr>
          <w:p w14:paraId="01B0AC6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A93E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17D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苏米图苏木苏里格嘎查文化广场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74F1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苏里格嘎查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E3B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3808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B9F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1904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DD76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9521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7C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指定</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8A4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3B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9B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16F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647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苏里格嘎查委员会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A38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2025—2030年</w:t>
            </w:r>
          </w:p>
        </w:tc>
      </w:tr>
      <w:tr w14:paraId="123A65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2DCD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157</w:t>
            </w:r>
          </w:p>
        </w:tc>
        <w:tc>
          <w:tcPr>
            <w:tcW w:w="187" w:type="pct"/>
            <w:vMerge w:val="continue"/>
            <w:tcBorders>
              <w:left w:val="single" w:color="000000" w:sz="4" w:space="0"/>
              <w:right w:val="single" w:color="000000" w:sz="4" w:space="0"/>
            </w:tcBorders>
            <w:shd w:val="clear" w:color="auto" w:fill="auto"/>
            <w:noWrap/>
            <w:vAlign w:val="center"/>
          </w:tcPr>
          <w:p w14:paraId="4CA1A381">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CBC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EA4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苏米图嘎查退役军人服务站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89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756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948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CCA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474</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5B4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3791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AAF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E9DA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BCD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D18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402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B6BF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DFD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BFDE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509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158</w:t>
            </w:r>
          </w:p>
        </w:tc>
        <w:tc>
          <w:tcPr>
            <w:tcW w:w="187" w:type="pct"/>
            <w:vMerge w:val="continue"/>
            <w:tcBorders>
              <w:left w:val="single" w:color="000000" w:sz="4" w:space="0"/>
              <w:right w:val="single" w:color="000000" w:sz="4" w:space="0"/>
            </w:tcBorders>
            <w:shd w:val="clear" w:color="auto" w:fill="auto"/>
            <w:noWrap/>
            <w:vAlign w:val="center"/>
          </w:tcPr>
          <w:p w14:paraId="786DF79B">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6CC7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67A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1C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2EA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1180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5BC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590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1AA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2359</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21B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E05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B74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06A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7D6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013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苏米图嘎查委员会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2951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F572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B892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159</w:t>
            </w:r>
          </w:p>
        </w:tc>
        <w:tc>
          <w:tcPr>
            <w:tcW w:w="187" w:type="pct"/>
            <w:vMerge w:val="continue"/>
            <w:tcBorders>
              <w:left w:val="single" w:color="000000" w:sz="4" w:space="0"/>
              <w:right w:val="single" w:color="000000" w:sz="4" w:space="0"/>
            </w:tcBorders>
            <w:shd w:val="clear" w:color="auto" w:fill="auto"/>
            <w:noWrap/>
            <w:vAlign w:val="center"/>
          </w:tcPr>
          <w:p w14:paraId="6D552EF6">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ED34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8A18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伊连陶勒盖嘎查委员会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303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伊连陶勒盖嘎查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DAE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1005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5C4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CFB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2011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2BB1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9BF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C5F4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AEC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CE2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A6F3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伊连陶勒盖嘎查委员会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7E80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8BBA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CD1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160</w:t>
            </w:r>
          </w:p>
        </w:tc>
        <w:tc>
          <w:tcPr>
            <w:tcW w:w="187" w:type="pct"/>
            <w:vMerge w:val="continue"/>
            <w:tcBorders>
              <w:left w:val="single" w:color="000000" w:sz="4" w:space="0"/>
              <w:bottom w:val="single" w:color="000000" w:sz="4" w:space="0"/>
              <w:right w:val="single" w:color="000000" w:sz="4" w:space="0"/>
            </w:tcBorders>
            <w:shd w:val="clear" w:color="auto" w:fill="auto"/>
            <w:noWrap/>
            <w:vAlign w:val="center"/>
          </w:tcPr>
          <w:p w14:paraId="62B83D59">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F3F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711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哈达图嘎查委员会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48C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哈达图嘎查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8C1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1395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8B52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798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448D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4651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2FA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A4B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10CF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1C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4ED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F9A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哈达图嘎查委员会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AD73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9A45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551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161</w:t>
            </w:r>
          </w:p>
        </w:tc>
        <w:tc>
          <w:tcPr>
            <w:tcW w:w="1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27E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w:t>
            </w: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C20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36C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敖伦淖尔嘎查委员会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734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敖伦淖尔嘎查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D71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3B2A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1018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8FA9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4072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A07B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68A1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7DA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A1D9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C368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68E9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敖伦淖尔嘎查委员会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CAF0B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F819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967"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D18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4E83E">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224A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5F1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包日呼舒嘎查委员会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4492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包日呼舒嘎查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165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2298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A12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1149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6BF2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4596</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09E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873E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DA9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6BC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0A7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C426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包日呼舒嘎查委员会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431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6B17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72AE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F3252">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EFC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B450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马新布拉格嘎查委员会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A92C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包日塔拉嘎查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FE0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2525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D8B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1263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2A86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5051</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D36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80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CFC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5429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530C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404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马新布拉格嘎查委员会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52EF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2CBB1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889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164</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00D63">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978A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8235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察汗淖尔嘎查委员会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2EF9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察汗淖尔嘎查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AD6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1376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8176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688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3CA7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2753</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04A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D8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1A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762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DA2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900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察汗淖尔嘎查委员会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89F26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5695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3F7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191D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B98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A16B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察汗淖尔嘎查委员会北广场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747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察汗淖尔嘎查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51C9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1558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953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779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83BA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3894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4F7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427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A6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CD4F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D7A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B19B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察汗淖尔嘎查委员会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24C6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DD63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722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8819">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762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85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鄂托克旗运祥老年公寓</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0A7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察汗淖尔嘎查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6CB6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5257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83B0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2629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5BD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26286</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DDDC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882B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5B99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9290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7CB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3E2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乌兰镇人民政府</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75E9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46A3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694"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665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BDEE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7BC7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E7B3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乌兰镇德日苏嘎查退役军人服务站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31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德日苏嘎查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30C1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1557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8C12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779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905E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3114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CDC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2502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089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FEB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E912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02E7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德日苏嘎查委员会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D4FA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7778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D32B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5F98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854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7D0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乌兰镇海岱嘎查委员会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019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海岱嘎查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206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254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0B4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2655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507</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15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7007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9C01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2003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6465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ACEE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海岱嘎查委员会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3C28D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CF87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DF8F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169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F2E1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407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300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赛罕塔拉嘎查党支部</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B29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赛罕塔拉嘎查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EB8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798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342C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399</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8C7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1597</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E53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F5C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6DC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E3B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AB38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BA3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赛罕塔拉嘎查委员会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27FD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35CC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83B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170</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B76D4">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0FD2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B32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赛罕塔拉嘎查退役军人服务站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CA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赛罕塔拉嘎查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C5F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1210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7B50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605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E9CD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2420</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871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32D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B19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550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1BC8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B68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赛罕塔拉嘎查委员会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BA8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346F6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AF7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171</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7E70C">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9974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F9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沙日布日都嘎查委员会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272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沙日布日都嘎查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047B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2467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06A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1233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A99A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9867</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D992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775A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D268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0F7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6B3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DF25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沙日布日都嘎查委员会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258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9912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45A0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172</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549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F1BA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6B0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乌兰镇宝日塔拉嘎查退役军人服务站</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CE2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包日塔拉嘎查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20A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1859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73D7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930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161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3718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63E3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890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AE0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EF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E4D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E19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宝日塔拉嘎查委员会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1848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16F1F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2C01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173</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D914">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B558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CF46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苏吉嘎查委员会</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97D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苏吉嘎查</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6A45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1814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CB5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907</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CCC3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7258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DCC0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AE44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嘎查村（社区）级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7ABF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7D5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447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室内型（室内外兼具型）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D81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苏吉嘎查委员会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67602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29733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15BB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174</w:t>
            </w:r>
          </w:p>
        </w:tc>
        <w:tc>
          <w:tcPr>
            <w:tcW w:w="1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9F14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w:t>
            </w: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7D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B332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蒙西工业园区北停车场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2718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17B4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12300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4D8C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8200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062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61502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CBEC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225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26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B8B8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CA0F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C29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鄂托克高新技术产业开发区管理委员会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D64AE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61CCD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3A26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175</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A8E1A">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05A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773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蒙西工业园区物流厂房</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835F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21F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4999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B89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3333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F0C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24994</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C477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4FE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32A1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44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6FEA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46BF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鄂托克高新技术产业开发区管理委员会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7CFD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7F969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1852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176</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19255">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4118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96C3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蒙西工业园区南侧防护绿带</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1E9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6FC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10182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825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6788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05A3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50908</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A3F2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EA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7FE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B826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950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42A4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鄂托克高新技术产业开发区管理委员会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9F119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0341B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4A4E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177</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A74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7B4D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4</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69A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棋盘井工业园区棋西东乌铁路棋盘井站南侧</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12E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2B3C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12195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E91F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8130</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5406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60975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E5D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5778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3343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C323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E6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F1B1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鄂托克高新技术产业开发区管理委员会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9FC4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5750D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875"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EA8B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en-US"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178</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E3A2">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0F95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AC80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棋盘井工业园区棋西停车场</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2219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4CDC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5387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7EC7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3591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88BD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26935</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6B6A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6145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58AA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2D44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8377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7434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鄂托克高新技术产业开发区管理委员会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9AA3E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41A15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1865" w:hRule="atLeast"/>
          <w:jc w:val="center"/>
        </w:trPr>
        <w:tc>
          <w:tcPr>
            <w:tcW w:w="1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5FBA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179</w:t>
            </w: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231A0">
            <w:pPr>
              <w:pageBreakBefore w:val="0"/>
              <w:wordWrap/>
              <w:overflowPunct/>
              <w:topLinePunct w:val="0"/>
              <w:bidi w:val="0"/>
              <w:adjustRightInd w:val="0"/>
              <w:snapToGrid w:val="0"/>
              <w:spacing w:line="310" w:lineRule="exact"/>
              <w:jc w:val="center"/>
              <w:rPr>
                <w:rFonts w:hint="eastAsia" w:ascii="方正书宋简体" w:hAnsi="方正书宋简体" w:eastAsia="方正书宋简体" w:cs="方正书宋简体"/>
                <w:b w:val="0"/>
                <w:bCs w:val="0"/>
                <w:i w:val="0"/>
                <w:iCs w:val="0"/>
                <w:color w:val="auto"/>
                <w:sz w:val="21"/>
                <w:szCs w:val="21"/>
                <w:highlight w:val="none"/>
                <w:u w:val="none"/>
              </w:rPr>
            </w:pPr>
          </w:p>
        </w:tc>
        <w:tc>
          <w:tcPr>
            <w:tcW w:w="1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0613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6</w:t>
            </w:r>
          </w:p>
        </w:tc>
        <w:tc>
          <w:tcPr>
            <w:tcW w:w="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F2D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棋盘井工业园区棋东防护绿带</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06D2A">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9FA1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7511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BB543">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5008</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AB4A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37557</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DC7E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改造</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2A8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旗级</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416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综合性避难场所</w:t>
            </w: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19744">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紧急避难场所</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7579">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室外型</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65E02">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鄂托克高新技术产业开发区管理委员会</w:t>
            </w: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C2BD7">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color w:val="auto"/>
                <w:sz w:val="21"/>
                <w:szCs w:val="21"/>
                <w:highlight w:val="none"/>
                <w:u w:val="none"/>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2030—3035年</w:t>
            </w:r>
          </w:p>
        </w:tc>
      </w:tr>
      <w:tr w14:paraId="2B964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1970" w:hRule="atLeast"/>
          <w:jc w:val="center"/>
        </w:trPr>
        <w:tc>
          <w:tcPr>
            <w:tcW w:w="1684"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AA32F8">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合计</w:t>
            </w:r>
          </w:p>
        </w:tc>
        <w:tc>
          <w:tcPr>
            <w:tcW w:w="2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26BBE">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726896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441EC">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357275</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80A01">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SA"/>
              </w:rPr>
            </w:pPr>
            <w: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t>3253262</w:t>
            </w:r>
          </w:p>
        </w:tc>
        <w:tc>
          <w:tcPr>
            <w:tcW w:w="2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CF8EF">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3E310">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7086">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3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C495">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0276D">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2C3B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c>
          <w:tcPr>
            <w:tcW w:w="3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9B02B">
            <w:pPr>
              <w:keepNext w:val="0"/>
              <w:keepLines w:val="0"/>
              <w:pageBreakBefore w:val="0"/>
              <w:widowControl/>
              <w:suppressLineNumbers w:val="0"/>
              <w:wordWrap/>
              <w:overflowPunct/>
              <w:topLinePunct w:val="0"/>
              <w:bidi w:val="0"/>
              <w:adjustRightInd w:val="0"/>
              <w:snapToGrid w:val="0"/>
              <w:spacing w:line="310" w:lineRule="exact"/>
              <w:jc w:val="center"/>
              <w:textAlignment w:val="center"/>
              <w:rPr>
                <w:rFonts w:hint="eastAsia" w:ascii="方正书宋简体" w:hAnsi="方正书宋简体" w:eastAsia="方正书宋简体" w:cs="方正书宋简体"/>
                <w:b w:val="0"/>
                <w:bCs w:val="0"/>
                <w:i w:val="0"/>
                <w:iCs w:val="0"/>
                <w:snapToGrid w:val="0"/>
                <w:color w:val="auto"/>
                <w:kern w:val="0"/>
                <w:sz w:val="21"/>
                <w:szCs w:val="21"/>
                <w:highlight w:val="none"/>
                <w:u w:val="none"/>
                <w:lang w:val="en-US" w:eastAsia="zh-CN" w:bidi="ar"/>
              </w:rPr>
            </w:pPr>
          </w:p>
        </w:tc>
      </w:tr>
      <w:bookmarkEnd w:id="369"/>
      <w:bookmarkEnd w:id="370"/>
      <w:bookmarkEnd w:id="371"/>
      <w:bookmarkEnd w:id="372"/>
      <w:bookmarkEnd w:id="373"/>
    </w:tbl>
    <w:p w14:paraId="68FEC7ED">
      <w:pPr>
        <w:rPr>
          <w:rFonts w:hint="default" w:ascii="宋体" w:hAnsi="宋体"/>
          <w:b/>
          <w:color w:val="auto"/>
          <w:kern w:val="2"/>
          <w:sz w:val="26"/>
          <w:szCs w:val="26"/>
          <w:highlight w:val="none"/>
          <w:lang w:val="en-US" w:eastAsia="zh-CN"/>
        </w:rPr>
        <w:sectPr>
          <w:headerReference r:id="rId12" w:type="default"/>
          <w:footerReference r:id="rId13" w:type="default"/>
          <w:type w:val="continuous"/>
          <w:pgSz w:w="16838" w:h="11906" w:orient="landscape"/>
          <w:pgMar w:top="1440" w:right="1800" w:bottom="1440" w:left="1800" w:header="0" w:footer="0" w:gutter="0"/>
          <w:pgNumType w:fmt="decimal"/>
          <w:cols w:space="425" w:num="1"/>
        </w:sectPr>
      </w:pPr>
    </w:p>
    <w:p w14:paraId="2C6FB42C">
      <w:pPr>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right="0" w:rightChars="0"/>
        <w:textAlignment w:val="auto"/>
        <w:outlineLvl w:val="9"/>
        <w:rPr>
          <w:rFonts w:hint="eastAsia" w:ascii="方正书宋简体" w:hAnsi="方正书宋简体" w:eastAsia="方正书宋简体" w:cs="方正书宋简体"/>
          <w:b/>
          <w:color w:val="auto"/>
          <w:kern w:val="2"/>
          <w:sz w:val="21"/>
          <w:szCs w:val="21"/>
          <w:highlight w:val="none"/>
          <w:lang w:val="en-US" w:eastAsia="zh-CN"/>
        </w:rPr>
      </w:pPr>
    </w:p>
    <w:sectPr>
      <w:headerReference r:id="rId14" w:type="default"/>
      <w:footerReference r:id="rId15" w:type="default"/>
      <w:type w:val="continuous"/>
      <w:pgSz w:w="11906" w:h="16838"/>
      <w:pgMar w:top="1701" w:right="1247" w:bottom="1701" w:left="1247" w:header="850" w:footer="0" w:gutter="0"/>
      <w:pgNumType w:fmt="decimal"/>
      <w:cols w:equalWidth="0" w:num="2">
        <w:col w:w="4493" w:space="425"/>
        <w:col w:w="449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C8FCEC6-646E-4A0B-AA3F-66FB56FE4274}"/>
  </w:font>
  <w:font w:name="Arial">
    <w:panose1 w:val="020B0604020202020204"/>
    <w:charset w:val="01"/>
    <w:family w:val="swiss"/>
    <w:pitch w:val="default"/>
    <w:sig w:usb0="E0002EFF" w:usb1="C000785B" w:usb2="00000009" w:usb3="00000000" w:csb0="400001FF" w:csb1="FFFF0000"/>
    <w:embedRegular r:id="rId2" w:fontKey="{EF8E3550-3270-4C6A-8D6E-48AF15DE80D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93222FF-59C1-41C7-81C5-4E1A5001E4F1}"/>
  </w:font>
  <w:font w:name="Symbol">
    <w:panose1 w:val="05050102010706020507"/>
    <w:charset w:val="02"/>
    <w:family w:val="roman"/>
    <w:pitch w:val="default"/>
    <w:sig w:usb0="00000000" w:usb1="00000000" w:usb2="00000000" w:usb3="00000000" w:csb0="80000000" w:csb1="00000000"/>
    <w:embedRegular r:id="rId4" w:fontKey="{81046869-ECF8-47CB-B195-B71593726BF9}"/>
  </w:font>
  <w:font w:name="Calibri">
    <w:panose1 w:val="020F0502020204030204"/>
    <w:charset w:val="00"/>
    <w:family w:val="swiss"/>
    <w:pitch w:val="default"/>
    <w:sig w:usb0="E4002EFF" w:usb1="C000247B" w:usb2="00000009" w:usb3="00000000" w:csb0="200001FF" w:csb1="00000000"/>
    <w:embedRegular r:id="rId5" w:fontKey="{0BE97377-C86B-43EE-9A31-CD6F09158B73}"/>
  </w:font>
  <w:font w:name="楷体GB2312">
    <w:altName w:val="楷体_GB2312"/>
    <w:panose1 w:val="00000000000000000000"/>
    <w:charset w:val="86"/>
    <w:family w:val="roman"/>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6" w:fontKey="{3F1C157F-80BC-4EB0-A60E-0CFB26808AA7}"/>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方正书宋简体">
    <w:panose1 w:val="02000000000000000000"/>
    <w:charset w:val="86"/>
    <w:family w:val="auto"/>
    <w:pitch w:val="default"/>
    <w:sig w:usb0="A00002BF" w:usb1="184F6CFA" w:usb2="00000012" w:usb3="00000000" w:csb0="00040001" w:csb1="00000000"/>
    <w:embedRegular r:id="rId7" w:fontKey="{00629E66-7A99-4E21-8C88-E7A74D09B86E}"/>
  </w:font>
  <w:font w:name="方正小标宋_GBK">
    <w:panose1 w:val="02000000000000000000"/>
    <w:charset w:val="86"/>
    <w:family w:val="auto"/>
    <w:pitch w:val="default"/>
    <w:sig w:usb0="A00002BF" w:usb1="38CF7CFA" w:usb2="00082016" w:usb3="00000000" w:csb0="00040001" w:csb1="00000000"/>
    <w:embedRegular r:id="rId8" w:fontKey="{36BAE5C1-310C-4207-B5EE-4B9995E8AB71}"/>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A0933">
    <w:pPr>
      <w:pStyle w:val="13"/>
      <w:ind w:firstLine="360"/>
      <w:jc w:val="center"/>
      <w:rPr>
        <w:rFonts w:ascii="Times New Roman" w:hAnsi="Times New Roman" w:cs="Times New Roman"/>
      </w:rPr>
    </w:pPr>
  </w:p>
  <w:p w14:paraId="6A022052">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BF941">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73254">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DF8FF">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7F254">
    <w:pPr>
      <w:pStyle w:val="10"/>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D2DC55">
                          <w:pPr>
                            <w:pStyle w:val="13"/>
                          </w:pPr>
                          <w:r>
                            <w:t xml:space="preserve">— </w:t>
                          </w:r>
                          <w:r>
                            <w:fldChar w:fldCharType="begin"/>
                          </w:r>
                          <w:r>
                            <w:instrText xml:space="preserve"> PAGE  \* MERGEFORMAT </w:instrText>
                          </w:r>
                          <w:r>
                            <w:fldChar w:fldCharType="separate"/>
                          </w:r>
                          <w:r>
                            <w:t>54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CD2DC55">
                    <w:pPr>
                      <w:pStyle w:val="13"/>
                    </w:pPr>
                    <w:r>
                      <w:t xml:space="preserve">— </w:t>
                    </w:r>
                    <w:r>
                      <w:fldChar w:fldCharType="begin"/>
                    </w:r>
                    <w:r>
                      <w:instrText xml:space="preserve"> PAGE  \* MERGEFORMAT </w:instrText>
                    </w:r>
                    <w:r>
                      <w:fldChar w:fldCharType="separate"/>
                    </w:r>
                    <w:r>
                      <w:t>54</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9F2A">
    <w:pPr>
      <w:pStyle w:val="10"/>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79F50">
    <w:pPr>
      <w:pBdr>
        <w:bottom w:val="none" w:color="auto" w:sz="0" w:space="0"/>
      </w:pBdr>
      <w:tabs>
        <w:tab w:val="left" w:pos="3071"/>
      </w:tabs>
      <w:jc w:val="center"/>
      <w:rPr>
        <w:rFonts w:hint="eastAsia"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361C3">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31303">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60D0B">
    <w:pPr>
      <w:pStyle w:val="10"/>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4DBA3">
    <w:pPr>
      <w:pBdr>
        <w:bottom w:val="none" w:color="auto" w:sz="0" w:space="0"/>
      </w:pBdr>
      <w:tabs>
        <w:tab w:val="left" w:pos="3071"/>
      </w:tabs>
      <w:jc w:val="center"/>
      <w:rPr>
        <w:rFonts w:hint="eastAsia" w:ascii="仿宋_GB2312" w:hAnsi="仿宋_GB2312" w:eastAsia="仿宋_GB2312" w:cs="仿宋_GB2312"/>
        <w:sz w:val="18"/>
        <w:szCs w:val="18"/>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4255B9"/>
    <w:multiLevelType w:val="multilevel"/>
    <w:tmpl w:val="D34255B9"/>
    <w:lvl w:ilvl="0" w:tentative="0">
      <w:start w:val="1"/>
      <w:numFmt w:val="chineseCounting"/>
      <w:suff w:val="nothing"/>
      <w:lvlText w:val="第%1章　"/>
      <w:lvlJc w:val="center"/>
      <w:pPr>
        <w:ind w:left="0" w:firstLine="402"/>
      </w:pPr>
      <w:rPr>
        <w:rFonts w:hint="eastAsia" w:ascii="方正小标宋_GBK" w:hAnsi="方正小标宋_GBK" w:eastAsia="方正小标宋_GBK" w:cs="方正小标宋_GBK"/>
        <w:b w:val="0"/>
        <w:bCs w:val="0"/>
        <w:sz w:val="36"/>
        <w:szCs w:val="36"/>
      </w:rPr>
    </w:lvl>
    <w:lvl w:ilvl="1" w:tentative="0">
      <w:start w:val="1"/>
      <w:numFmt w:val="chineseCounting"/>
      <w:suff w:val="nothing"/>
      <w:lvlText w:val="第%2节　"/>
      <w:lvlJc w:val="left"/>
      <w:pPr>
        <w:ind w:left="0" w:firstLine="402"/>
      </w:pPr>
      <w:rPr>
        <w:rFonts w:hint="eastAsia" w:ascii="黑体" w:hAnsi="黑体" w:eastAsia="黑体" w:cs="黑体"/>
        <w:sz w:val="21"/>
        <w:szCs w:val="21"/>
      </w:rPr>
    </w:lvl>
    <w:lvl w:ilvl="2" w:tentative="0">
      <w:start w:val="1"/>
      <w:numFmt w:val="decimal"/>
      <w:isLgl/>
      <w:suff w:val="nothing"/>
      <w:lvlText w:val="第%3条　"/>
      <w:lvlJc w:val="left"/>
      <w:pPr>
        <w:ind w:left="0" w:firstLine="402"/>
      </w:pPr>
      <w:rPr>
        <w:rFonts w:hint="eastAsia" w:ascii="楷体_GB2312" w:hAnsi="楷体_GB2312" w:eastAsia="楷体_GB2312" w:cs="楷体_GB2312"/>
        <w:sz w:val="30"/>
        <w:szCs w:val="30"/>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F49A683E"/>
    <w:multiLevelType w:val="multilevel"/>
    <w:tmpl w:val="F49A683E"/>
    <w:lvl w:ilvl="0" w:tentative="0">
      <w:start w:val="1"/>
      <w:numFmt w:val="decimal"/>
      <w:suff w:val="space"/>
      <w:lvlText w:val="第%1条 "/>
      <w:lvlJc w:val="left"/>
      <w:pPr>
        <w:ind w:left="0" w:leftChars="0" w:firstLine="0" w:firstLineChars="0"/>
      </w:pPr>
      <w:rPr>
        <w:rFonts w:hint="default" w:ascii="方正书宋简体" w:hAnsi="方正书宋简体" w:eastAsia="方正书宋简体" w:cs="方正书宋简体"/>
        <w:b/>
        <w:bCs w:val="0"/>
        <w:i w:val="0"/>
        <w:sz w:val="21"/>
        <w:szCs w:val="21"/>
        <w:lang w:val="en-US"/>
      </w:rPr>
    </w:lvl>
    <w:lvl w:ilvl="1" w:tentative="0">
      <w:start w:val="1"/>
      <w:numFmt w:val="lowerLetter"/>
      <w:lvlText w:val="%2)"/>
      <w:lvlJc w:val="left"/>
      <w:pPr>
        <w:ind w:left="840" w:hanging="420"/>
      </w:pPr>
    </w:lvl>
    <w:lvl w:ilvl="2" w:tentative="0">
      <w:start w:val="1"/>
      <w:numFmt w:val="decimal"/>
      <w:lvlText w:val="（%3）"/>
      <w:lvlJc w:val="left"/>
      <w:pPr>
        <w:tabs>
          <w:tab w:val="left" w:pos="1260"/>
        </w:tabs>
        <w:ind w:left="1260" w:hanging="720"/>
      </w:pPr>
      <w:rPr>
        <w:b/>
        <w:sz w:val="22"/>
        <w:szCs w:val="22"/>
        <w:lang w:val="en-US"/>
      </w:rPr>
    </w:lvl>
    <w:lvl w:ilvl="3" w:tentative="0">
      <w:start w:val="1"/>
      <w:numFmt w:val="decimal"/>
      <w:lvlText w:val="%4."/>
      <w:lvlJc w:val="left"/>
      <w:pPr>
        <w:ind w:left="1680" w:hanging="42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28E3867"/>
    <w:multiLevelType w:val="multilevel"/>
    <w:tmpl w:val="028E3867"/>
    <w:lvl w:ilvl="0" w:tentative="0">
      <w:start w:val="1"/>
      <w:numFmt w:val="japaneseCounting"/>
      <w:pStyle w:val="41"/>
      <w:lvlText w:val="第%1章"/>
      <w:lvlJc w:val="left"/>
      <w:pPr>
        <w:tabs>
          <w:tab w:val="left" w:pos="0"/>
        </w:tabs>
        <w:ind w:left="420" w:hanging="420"/>
      </w:pPr>
      <w:rPr>
        <w:b/>
        <w:lang w:val="en-US"/>
      </w:rPr>
    </w:lvl>
    <w:lvl w:ilvl="1" w:tentative="0">
      <w:start w:val="1"/>
      <w:numFmt w:val="decimal"/>
      <w:isLgl/>
      <w:lvlText w:val="%1.%2."/>
      <w:lvlJc w:val="left"/>
      <w:pPr>
        <w:tabs>
          <w:tab w:val="left" w:pos="0"/>
        </w:tabs>
        <w:ind w:left="720" w:hanging="720"/>
      </w:pPr>
    </w:lvl>
    <w:lvl w:ilvl="2" w:tentative="0">
      <w:start w:val="1"/>
      <w:numFmt w:val="decimal"/>
      <w:isLgl/>
      <w:lvlText w:val="%1.%2.%3."/>
      <w:lvlJc w:val="left"/>
      <w:pPr>
        <w:tabs>
          <w:tab w:val="left" w:pos="0"/>
        </w:tabs>
        <w:ind w:left="720" w:hanging="720"/>
      </w:pPr>
    </w:lvl>
    <w:lvl w:ilvl="3" w:tentative="0">
      <w:start w:val="1"/>
      <w:numFmt w:val="decimal"/>
      <w:isLgl/>
      <w:lvlText w:val="%1.%2.%3.%4."/>
      <w:lvlJc w:val="left"/>
      <w:pPr>
        <w:tabs>
          <w:tab w:val="left" w:pos="0"/>
        </w:tabs>
        <w:ind w:left="1080" w:hanging="1080"/>
      </w:pPr>
    </w:lvl>
    <w:lvl w:ilvl="4" w:tentative="0">
      <w:start w:val="1"/>
      <w:numFmt w:val="decimal"/>
      <w:isLgl/>
      <w:lvlText w:val="%1.%2.%3.%4.%5."/>
      <w:lvlJc w:val="left"/>
      <w:pPr>
        <w:tabs>
          <w:tab w:val="left" w:pos="0"/>
        </w:tabs>
        <w:ind w:left="1440" w:hanging="1440"/>
      </w:pPr>
      <w:rPr>
        <w:color w:val="auto"/>
        <w:sz w:val="24"/>
        <w:szCs w:val="24"/>
      </w:rPr>
    </w:lvl>
    <w:lvl w:ilvl="5" w:tentative="0">
      <w:start w:val="1"/>
      <w:numFmt w:val="decimal"/>
      <w:isLgl/>
      <w:lvlText w:val="%1.%2.%3.%4.%5.%6."/>
      <w:lvlJc w:val="left"/>
      <w:pPr>
        <w:tabs>
          <w:tab w:val="left" w:pos="0"/>
        </w:tabs>
        <w:ind w:left="1440" w:hanging="1440"/>
      </w:pPr>
    </w:lvl>
    <w:lvl w:ilvl="6" w:tentative="0">
      <w:start w:val="1"/>
      <w:numFmt w:val="decimal"/>
      <w:isLgl/>
      <w:lvlText w:val="%1.%2.%3.%4.%5.%6.%7."/>
      <w:lvlJc w:val="left"/>
      <w:pPr>
        <w:tabs>
          <w:tab w:val="left" w:pos="0"/>
        </w:tabs>
        <w:ind w:left="1800" w:hanging="1800"/>
      </w:pPr>
    </w:lvl>
    <w:lvl w:ilvl="7" w:tentative="0">
      <w:start w:val="1"/>
      <w:numFmt w:val="decimal"/>
      <w:isLgl/>
      <w:lvlText w:val="%1.%2.%3.%4.%5.%6.%7.%8."/>
      <w:lvlJc w:val="left"/>
      <w:pPr>
        <w:tabs>
          <w:tab w:val="left" w:pos="0"/>
        </w:tabs>
        <w:ind w:left="2160" w:hanging="2160"/>
      </w:pPr>
    </w:lvl>
    <w:lvl w:ilvl="8" w:tentative="0">
      <w:start w:val="1"/>
      <w:numFmt w:val="decimal"/>
      <w:isLgl/>
      <w:lvlText w:val="%1.%2.%3.%4.%5.%6.%7.%8.%9."/>
      <w:lvlJc w:val="left"/>
      <w:pPr>
        <w:tabs>
          <w:tab w:val="left" w:pos="0"/>
        </w:tabs>
        <w:ind w:left="2160" w:hanging="2160"/>
      </w:pPr>
    </w:lvl>
  </w:abstractNum>
  <w:abstractNum w:abstractNumId="3">
    <w:nsid w:val="2A4A0962"/>
    <w:multiLevelType w:val="multilevel"/>
    <w:tmpl w:val="2A4A0962"/>
    <w:lvl w:ilvl="0" w:tentative="0">
      <w:start w:val="1"/>
      <w:numFmt w:val="chineseCounting"/>
      <w:suff w:val="nothing"/>
      <w:lvlText w:val="第%1章　"/>
      <w:lvlJc w:val="center"/>
      <w:pPr>
        <w:ind w:left="0" w:firstLine="402"/>
      </w:pPr>
      <w:rPr>
        <w:rFonts w:hint="eastAsia" w:ascii="方正小标宋_GBK" w:hAnsi="方正小标宋_GBK" w:eastAsia="方正小标宋_GBK" w:cs="方正小标宋_GBK"/>
        <w:b w:val="0"/>
        <w:bCs w:val="0"/>
        <w:sz w:val="36"/>
        <w:szCs w:val="36"/>
      </w:rPr>
    </w:lvl>
    <w:lvl w:ilvl="1" w:tentative="0">
      <w:start w:val="1"/>
      <w:numFmt w:val="chineseCounting"/>
      <w:suff w:val="nothing"/>
      <w:lvlText w:val="第%2节　"/>
      <w:lvlJc w:val="left"/>
      <w:pPr>
        <w:ind w:left="0" w:firstLine="402"/>
      </w:pPr>
      <w:rPr>
        <w:rFonts w:hint="eastAsia" w:ascii="方正书宋简体" w:hAnsi="方正书宋简体" w:eastAsia="方正书宋简体" w:cs="方正书宋简体"/>
        <w:sz w:val="21"/>
        <w:szCs w:val="21"/>
      </w:rPr>
    </w:lvl>
    <w:lvl w:ilvl="2" w:tentative="0">
      <w:start w:val="1"/>
      <w:numFmt w:val="decimal"/>
      <w:isLgl/>
      <w:suff w:val="nothing"/>
      <w:lvlText w:val="第%3条　"/>
      <w:lvlJc w:val="left"/>
      <w:pPr>
        <w:ind w:left="0" w:firstLine="402"/>
      </w:pPr>
      <w:rPr>
        <w:rFonts w:hint="eastAsia" w:ascii="楷体_GB2312" w:hAnsi="楷体_GB2312" w:eastAsia="楷体_GB2312" w:cs="楷体_GB2312"/>
        <w:sz w:val="30"/>
        <w:szCs w:val="30"/>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
    <w:nsid w:val="2E11CA86"/>
    <w:multiLevelType w:val="multilevel"/>
    <w:tmpl w:val="2E11CA86"/>
    <w:lvl w:ilvl="0" w:tentative="0">
      <w:start w:val="1"/>
      <w:numFmt w:val="chineseCountingThousand"/>
      <w:lvlText w:val="第%1章"/>
      <w:lvlJc w:val="left"/>
      <w:pPr>
        <w:tabs>
          <w:tab w:val="left" w:pos="420"/>
        </w:tabs>
        <w:ind w:left="425" w:hanging="425"/>
      </w:pPr>
      <w:rPr>
        <w:rFonts w:hint="eastAsia" w:ascii="方正小标宋_GBK" w:hAnsi="方正小标宋_GBK" w:eastAsia="方正小标宋_GBK" w:cs="方正小标宋_GBK"/>
        <w:b/>
        <w:bCs/>
        <w:i w:val="0"/>
        <w:iCs w:val="0"/>
        <w:caps w:val="0"/>
        <w:smallCaps w:val="0"/>
        <w:strike w:val="0"/>
        <w:dstrike w:val="0"/>
        <w:outline w:val="0"/>
        <w:shadow w:val="0"/>
        <w:emboss w:val="0"/>
        <w:imprint w:val="0"/>
        <w:vanish w:val="0"/>
        <w:spacing w:val="0"/>
        <w:position w:val="0"/>
        <w:sz w:val="21"/>
        <w:szCs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chineseCountingThousand"/>
      <w:suff w:val="space"/>
      <w:lvlText w:val="(%2)"/>
      <w:lvlJc w:val="left"/>
      <w:pPr>
        <w:ind w:left="992" w:hanging="567"/>
      </w:pPr>
      <w:rPr>
        <w:rFonts w:hint="eastAsia"/>
      </w:rPr>
    </w:lvl>
    <w:lvl w:ilvl="2" w:tentative="0">
      <w:start w:val="1"/>
      <w:numFmt w:val="decimal"/>
      <w:lvlText w:val="%1.%2.%3"/>
      <w:lvlJc w:val="left"/>
      <w:pPr>
        <w:ind w:left="567"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Nzg4MzVmOGRkNGExYWI5MDYwMDExY2JjZjI1YTc4M2QifQ=="/>
  </w:docVars>
  <w:rsids>
    <w:rsidRoot w:val="00000000"/>
    <w:rsid w:val="000E1D8E"/>
    <w:rsid w:val="0033458A"/>
    <w:rsid w:val="00A962A2"/>
    <w:rsid w:val="00D23242"/>
    <w:rsid w:val="00F46721"/>
    <w:rsid w:val="010551F6"/>
    <w:rsid w:val="01154EDD"/>
    <w:rsid w:val="012402B1"/>
    <w:rsid w:val="017748FE"/>
    <w:rsid w:val="017D4F5C"/>
    <w:rsid w:val="01896C70"/>
    <w:rsid w:val="01BF5783"/>
    <w:rsid w:val="01D6466C"/>
    <w:rsid w:val="023B4C37"/>
    <w:rsid w:val="025D5B2F"/>
    <w:rsid w:val="02857A70"/>
    <w:rsid w:val="028A2CD6"/>
    <w:rsid w:val="02A1522A"/>
    <w:rsid w:val="02B97667"/>
    <w:rsid w:val="02E000F3"/>
    <w:rsid w:val="02E27E7B"/>
    <w:rsid w:val="02EB68EF"/>
    <w:rsid w:val="02F83562"/>
    <w:rsid w:val="03411FB9"/>
    <w:rsid w:val="03600EDC"/>
    <w:rsid w:val="037110C3"/>
    <w:rsid w:val="037203C5"/>
    <w:rsid w:val="037D12A9"/>
    <w:rsid w:val="038A1793"/>
    <w:rsid w:val="045164B1"/>
    <w:rsid w:val="047F0A07"/>
    <w:rsid w:val="04B2532F"/>
    <w:rsid w:val="04B54A0D"/>
    <w:rsid w:val="050414F1"/>
    <w:rsid w:val="055A5ACD"/>
    <w:rsid w:val="056004DF"/>
    <w:rsid w:val="05901274"/>
    <w:rsid w:val="05AF76AE"/>
    <w:rsid w:val="05E35235"/>
    <w:rsid w:val="06133686"/>
    <w:rsid w:val="06213F95"/>
    <w:rsid w:val="067B045A"/>
    <w:rsid w:val="069D1BFD"/>
    <w:rsid w:val="06A02330"/>
    <w:rsid w:val="06CA0B99"/>
    <w:rsid w:val="06D505D2"/>
    <w:rsid w:val="07214C5F"/>
    <w:rsid w:val="075C1AB8"/>
    <w:rsid w:val="07B21C22"/>
    <w:rsid w:val="07C06F4E"/>
    <w:rsid w:val="080A2537"/>
    <w:rsid w:val="083251DB"/>
    <w:rsid w:val="084D31AF"/>
    <w:rsid w:val="0888458F"/>
    <w:rsid w:val="08B64801"/>
    <w:rsid w:val="09061CDB"/>
    <w:rsid w:val="09D51CEF"/>
    <w:rsid w:val="09E322B9"/>
    <w:rsid w:val="09F42AF7"/>
    <w:rsid w:val="0A097E46"/>
    <w:rsid w:val="0A193E95"/>
    <w:rsid w:val="0A2070AA"/>
    <w:rsid w:val="0A411361"/>
    <w:rsid w:val="0A720890"/>
    <w:rsid w:val="0AA20035"/>
    <w:rsid w:val="0ABF0394"/>
    <w:rsid w:val="0B3643CE"/>
    <w:rsid w:val="0B3D750A"/>
    <w:rsid w:val="0B603E17"/>
    <w:rsid w:val="0B6574A7"/>
    <w:rsid w:val="0B707741"/>
    <w:rsid w:val="0B766F39"/>
    <w:rsid w:val="0B787400"/>
    <w:rsid w:val="0BBE064B"/>
    <w:rsid w:val="0BC35DFF"/>
    <w:rsid w:val="0BE1154E"/>
    <w:rsid w:val="0C782EF0"/>
    <w:rsid w:val="0CD66DD1"/>
    <w:rsid w:val="0CDB522D"/>
    <w:rsid w:val="0D1A4764"/>
    <w:rsid w:val="0D3F5257"/>
    <w:rsid w:val="0D476841"/>
    <w:rsid w:val="0D501777"/>
    <w:rsid w:val="0D5D20E6"/>
    <w:rsid w:val="0DBA3094"/>
    <w:rsid w:val="0E2409A9"/>
    <w:rsid w:val="0E2F2A42"/>
    <w:rsid w:val="0E3805F8"/>
    <w:rsid w:val="0E7C0A2E"/>
    <w:rsid w:val="0EBD33B9"/>
    <w:rsid w:val="0EE50C1F"/>
    <w:rsid w:val="0EF56BB3"/>
    <w:rsid w:val="0EF56D96"/>
    <w:rsid w:val="0F0166D2"/>
    <w:rsid w:val="0F4C2CED"/>
    <w:rsid w:val="0FA062BA"/>
    <w:rsid w:val="0FDE2763"/>
    <w:rsid w:val="10116A1A"/>
    <w:rsid w:val="1087172B"/>
    <w:rsid w:val="109477DD"/>
    <w:rsid w:val="10E31976"/>
    <w:rsid w:val="1100087F"/>
    <w:rsid w:val="110C3C07"/>
    <w:rsid w:val="112562DA"/>
    <w:rsid w:val="119F2F9C"/>
    <w:rsid w:val="11E026B8"/>
    <w:rsid w:val="11F03528"/>
    <w:rsid w:val="12902616"/>
    <w:rsid w:val="12916AA7"/>
    <w:rsid w:val="12DC7A01"/>
    <w:rsid w:val="13093064"/>
    <w:rsid w:val="133236CD"/>
    <w:rsid w:val="134742D6"/>
    <w:rsid w:val="13DD5D2E"/>
    <w:rsid w:val="13E470BD"/>
    <w:rsid w:val="13FE2870"/>
    <w:rsid w:val="1440192A"/>
    <w:rsid w:val="1447738D"/>
    <w:rsid w:val="14522278"/>
    <w:rsid w:val="147848D7"/>
    <w:rsid w:val="14840CB7"/>
    <w:rsid w:val="14C728F2"/>
    <w:rsid w:val="14EC6524"/>
    <w:rsid w:val="14ED2C64"/>
    <w:rsid w:val="14FC0436"/>
    <w:rsid w:val="151E702A"/>
    <w:rsid w:val="153656F6"/>
    <w:rsid w:val="154107F7"/>
    <w:rsid w:val="157C427B"/>
    <w:rsid w:val="159F28C5"/>
    <w:rsid w:val="15CE0478"/>
    <w:rsid w:val="1651030E"/>
    <w:rsid w:val="16815279"/>
    <w:rsid w:val="16F33633"/>
    <w:rsid w:val="16F727E8"/>
    <w:rsid w:val="171C4DC0"/>
    <w:rsid w:val="175D5FCB"/>
    <w:rsid w:val="1787091E"/>
    <w:rsid w:val="17876215"/>
    <w:rsid w:val="17CF2998"/>
    <w:rsid w:val="17EE4D55"/>
    <w:rsid w:val="186A061D"/>
    <w:rsid w:val="187A4CC0"/>
    <w:rsid w:val="18804FF8"/>
    <w:rsid w:val="18CB193B"/>
    <w:rsid w:val="18EF6E35"/>
    <w:rsid w:val="19145D4E"/>
    <w:rsid w:val="191E76E8"/>
    <w:rsid w:val="19250D50"/>
    <w:rsid w:val="194A5C14"/>
    <w:rsid w:val="195931A7"/>
    <w:rsid w:val="196046FB"/>
    <w:rsid w:val="197D71E0"/>
    <w:rsid w:val="198A7DBF"/>
    <w:rsid w:val="19BD63E6"/>
    <w:rsid w:val="19EA15F0"/>
    <w:rsid w:val="1A0A4846"/>
    <w:rsid w:val="1A361A27"/>
    <w:rsid w:val="1A6374B3"/>
    <w:rsid w:val="1A8B6099"/>
    <w:rsid w:val="1A91517D"/>
    <w:rsid w:val="1AAA2986"/>
    <w:rsid w:val="1ABF37C4"/>
    <w:rsid w:val="1AE254F2"/>
    <w:rsid w:val="1AE822B4"/>
    <w:rsid w:val="1AEB78DE"/>
    <w:rsid w:val="1AF71484"/>
    <w:rsid w:val="1B3721C8"/>
    <w:rsid w:val="1B395F40"/>
    <w:rsid w:val="1B6C5198"/>
    <w:rsid w:val="1B7E3953"/>
    <w:rsid w:val="1B8003C8"/>
    <w:rsid w:val="1B83540D"/>
    <w:rsid w:val="1C0A6971"/>
    <w:rsid w:val="1C0E6215"/>
    <w:rsid w:val="1C334526"/>
    <w:rsid w:val="1C607288"/>
    <w:rsid w:val="1C7D00AF"/>
    <w:rsid w:val="1CC556A1"/>
    <w:rsid w:val="1CF37801"/>
    <w:rsid w:val="1CF92E9A"/>
    <w:rsid w:val="1CFA1018"/>
    <w:rsid w:val="1D17405F"/>
    <w:rsid w:val="1D4209B0"/>
    <w:rsid w:val="1D497BBF"/>
    <w:rsid w:val="1D671466"/>
    <w:rsid w:val="1D72025A"/>
    <w:rsid w:val="1D72517A"/>
    <w:rsid w:val="1D725739"/>
    <w:rsid w:val="1D81772B"/>
    <w:rsid w:val="1D89443E"/>
    <w:rsid w:val="1DB0259C"/>
    <w:rsid w:val="1E2244BE"/>
    <w:rsid w:val="1E422931"/>
    <w:rsid w:val="1E926ADC"/>
    <w:rsid w:val="1EA57449"/>
    <w:rsid w:val="1F08738A"/>
    <w:rsid w:val="1F0C74C8"/>
    <w:rsid w:val="1F0E32FE"/>
    <w:rsid w:val="1F2951AD"/>
    <w:rsid w:val="1F5E5F75"/>
    <w:rsid w:val="1FC3227C"/>
    <w:rsid w:val="20132BAC"/>
    <w:rsid w:val="203647FC"/>
    <w:rsid w:val="20523BAD"/>
    <w:rsid w:val="206D3F96"/>
    <w:rsid w:val="207E4516"/>
    <w:rsid w:val="20851D0B"/>
    <w:rsid w:val="20937699"/>
    <w:rsid w:val="209D487B"/>
    <w:rsid w:val="20F84AAA"/>
    <w:rsid w:val="20FE0C68"/>
    <w:rsid w:val="21285119"/>
    <w:rsid w:val="21416F7B"/>
    <w:rsid w:val="215E42F1"/>
    <w:rsid w:val="21701F90"/>
    <w:rsid w:val="2181453C"/>
    <w:rsid w:val="21845A3B"/>
    <w:rsid w:val="21937A2C"/>
    <w:rsid w:val="21A47E8B"/>
    <w:rsid w:val="21B53E47"/>
    <w:rsid w:val="21C9535E"/>
    <w:rsid w:val="21CB2098"/>
    <w:rsid w:val="21EB7868"/>
    <w:rsid w:val="21F229A5"/>
    <w:rsid w:val="22077B64"/>
    <w:rsid w:val="220953C2"/>
    <w:rsid w:val="22551E62"/>
    <w:rsid w:val="22A103F8"/>
    <w:rsid w:val="22F52960"/>
    <w:rsid w:val="230618E1"/>
    <w:rsid w:val="23083A4A"/>
    <w:rsid w:val="23110D9F"/>
    <w:rsid w:val="231E732C"/>
    <w:rsid w:val="232D3F30"/>
    <w:rsid w:val="235B27CC"/>
    <w:rsid w:val="2369313B"/>
    <w:rsid w:val="23DB76DF"/>
    <w:rsid w:val="240D16A0"/>
    <w:rsid w:val="24516953"/>
    <w:rsid w:val="24547947"/>
    <w:rsid w:val="245A451F"/>
    <w:rsid w:val="24881E0B"/>
    <w:rsid w:val="249B37C8"/>
    <w:rsid w:val="24C77D7F"/>
    <w:rsid w:val="24E24F53"/>
    <w:rsid w:val="25030E1F"/>
    <w:rsid w:val="2544663D"/>
    <w:rsid w:val="25472103"/>
    <w:rsid w:val="25967C73"/>
    <w:rsid w:val="25DD571A"/>
    <w:rsid w:val="26771A49"/>
    <w:rsid w:val="267F1AAF"/>
    <w:rsid w:val="269C3827"/>
    <w:rsid w:val="26DA16DC"/>
    <w:rsid w:val="27194B8A"/>
    <w:rsid w:val="27961AEB"/>
    <w:rsid w:val="279A1B15"/>
    <w:rsid w:val="27C66D50"/>
    <w:rsid w:val="28136CBD"/>
    <w:rsid w:val="282A1E0F"/>
    <w:rsid w:val="283D3C69"/>
    <w:rsid w:val="28417E9F"/>
    <w:rsid w:val="28CF7245"/>
    <w:rsid w:val="28FB0F36"/>
    <w:rsid w:val="29114058"/>
    <w:rsid w:val="297A769B"/>
    <w:rsid w:val="29B175E9"/>
    <w:rsid w:val="29DF1575"/>
    <w:rsid w:val="2A024559"/>
    <w:rsid w:val="2A036979"/>
    <w:rsid w:val="2A080B08"/>
    <w:rsid w:val="2A3348CB"/>
    <w:rsid w:val="2A491B48"/>
    <w:rsid w:val="2A6049C6"/>
    <w:rsid w:val="2A7207E0"/>
    <w:rsid w:val="2AAF1F86"/>
    <w:rsid w:val="2ABE1FBE"/>
    <w:rsid w:val="2AD15A4E"/>
    <w:rsid w:val="2B14272F"/>
    <w:rsid w:val="2B6B2299"/>
    <w:rsid w:val="2B6B7228"/>
    <w:rsid w:val="2B7E174D"/>
    <w:rsid w:val="2B8943E8"/>
    <w:rsid w:val="2B9E5305"/>
    <w:rsid w:val="2BFD7A45"/>
    <w:rsid w:val="2C280B10"/>
    <w:rsid w:val="2C673566"/>
    <w:rsid w:val="2C6E531E"/>
    <w:rsid w:val="2CA60F5C"/>
    <w:rsid w:val="2D115640"/>
    <w:rsid w:val="2D466A4A"/>
    <w:rsid w:val="2DB73ACD"/>
    <w:rsid w:val="2DE33AEA"/>
    <w:rsid w:val="2DF83A39"/>
    <w:rsid w:val="2DF857E7"/>
    <w:rsid w:val="2E187C37"/>
    <w:rsid w:val="2E392263"/>
    <w:rsid w:val="2E6030FC"/>
    <w:rsid w:val="2E691A32"/>
    <w:rsid w:val="2E9A689E"/>
    <w:rsid w:val="2EE2703D"/>
    <w:rsid w:val="2EFA1321"/>
    <w:rsid w:val="2FA07530"/>
    <w:rsid w:val="2FBD053D"/>
    <w:rsid w:val="2FD8190A"/>
    <w:rsid w:val="30073655"/>
    <w:rsid w:val="30347922"/>
    <w:rsid w:val="30427C69"/>
    <w:rsid w:val="3069477A"/>
    <w:rsid w:val="306E5142"/>
    <w:rsid w:val="3086432B"/>
    <w:rsid w:val="308E5F8F"/>
    <w:rsid w:val="30F15BD9"/>
    <w:rsid w:val="30F77FD8"/>
    <w:rsid w:val="31102C85"/>
    <w:rsid w:val="311E5564"/>
    <w:rsid w:val="31391B56"/>
    <w:rsid w:val="315947EF"/>
    <w:rsid w:val="319E68A7"/>
    <w:rsid w:val="31F95F67"/>
    <w:rsid w:val="325946B1"/>
    <w:rsid w:val="32E60304"/>
    <w:rsid w:val="3308275B"/>
    <w:rsid w:val="331C0E0F"/>
    <w:rsid w:val="331D68E6"/>
    <w:rsid w:val="33233306"/>
    <w:rsid w:val="33285383"/>
    <w:rsid w:val="33422429"/>
    <w:rsid w:val="339A574D"/>
    <w:rsid w:val="339C62D3"/>
    <w:rsid w:val="33A04957"/>
    <w:rsid w:val="33B45D0C"/>
    <w:rsid w:val="33E112E2"/>
    <w:rsid w:val="33E277DE"/>
    <w:rsid w:val="33EA433A"/>
    <w:rsid w:val="345D1EA3"/>
    <w:rsid w:val="346947BC"/>
    <w:rsid w:val="34815CAF"/>
    <w:rsid w:val="34B04612"/>
    <w:rsid w:val="354E4257"/>
    <w:rsid w:val="35665A9D"/>
    <w:rsid w:val="35A3178F"/>
    <w:rsid w:val="35BB1795"/>
    <w:rsid w:val="35C808B1"/>
    <w:rsid w:val="35CD1307"/>
    <w:rsid w:val="35D02BA5"/>
    <w:rsid w:val="35E129B6"/>
    <w:rsid w:val="35F8414F"/>
    <w:rsid w:val="35F9034E"/>
    <w:rsid w:val="35FF5E79"/>
    <w:rsid w:val="36463C32"/>
    <w:rsid w:val="36572C3F"/>
    <w:rsid w:val="367E6AA5"/>
    <w:rsid w:val="36970589"/>
    <w:rsid w:val="36CC5A63"/>
    <w:rsid w:val="371E4021"/>
    <w:rsid w:val="371F5B0E"/>
    <w:rsid w:val="378C2BD4"/>
    <w:rsid w:val="379012BD"/>
    <w:rsid w:val="379A72F5"/>
    <w:rsid w:val="37CC393A"/>
    <w:rsid w:val="37D6214B"/>
    <w:rsid w:val="38637D01"/>
    <w:rsid w:val="38AF73EA"/>
    <w:rsid w:val="394D599E"/>
    <w:rsid w:val="39985E8D"/>
    <w:rsid w:val="39C944DB"/>
    <w:rsid w:val="39F96E2B"/>
    <w:rsid w:val="3A267D2F"/>
    <w:rsid w:val="3A2940F7"/>
    <w:rsid w:val="3A6A35C8"/>
    <w:rsid w:val="3A8F4314"/>
    <w:rsid w:val="3AAF547F"/>
    <w:rsid w:val="3ACD3B57"/>
    <w:rsid w:val="3AD44252"/>
    <w:rsid w:val="3AED3825"/>
    <w:rsid w:val="3B1D42F5"/>
    <w:rsid w:val="3B1F0857"/>
    <w:rsid w:val="3B337E5E"/>
    <w:rsid w:val="3B4A33FA"/>
    <w:rsid w:val="3B64626A"/>
    <w:rsid w:val="3BBA1B6C"/>
    <w:rsid w:val="3BDA3FEB"/>
    <w:rsid w:val="3BDE270D"/>
    <w:rsid w:val="3BF16F66"/>
    <w:rsid w:val="3BFD221A"/>
    <w:rsid w:val="3C063AED"/>
    <w:rsid w:val="3C4B154A"/>
    <w:rsid w:val="3C4D4F50"/>
    <w:rsid w:val="3C4F587C"/>
    <w:rsid w:val="3C7C754F"/>
    <w:rsid w:val="3CA11D44"/>
    <w:rsid w:val="3CDA2660"/>
    <w:rsid w:val="3CDC23E6"/>
    <w:rsid w:val="3D157871"/>
    <w:rsid w:val="3D22574F"/>
    <w:rsid w:val="3D292A76"/>
    <w:rsid w:val="3D2B59E9"/>
    <w:rsid w:val="3DB67B4B"/>
    <w:rsid w:val="3DBB238D"/>
    <w:rsid w:val="3DCE0312"/>
    <w:rsid w:val="3E0F674A"/>
    <w:rsid w:val="3E3839DE"/>
    <w:rsid w:val="3E391E19"/>
    <w:rsid w:val="3E713B01"/>
    <w:rsid w:val="3E770C94"/>
    <w:rsid w:val="3E9F334C"/>
    <w:rsid w:val="3EA03B80"/>
    <w:rsid w:val="3ECB6032"/>
    <w:rsid w:val="3ED023C4"/>
    <w:rsid w:val="3EE47615"/>
    <w:rsid w:val="3EE85404"/>
    <w:rsid w:val="3F147857"/>
    <w:rsid w:val="3F2A7F57"/>
    <w:rsid w:val="3F2B70C4"/>
    <w:rsid w:val="3F490855"/>
    <w:rsid w:val="3F6A2FF4"/>
    <w:rsid w:val="3F6F3A52"/>
    <w:rsid w:val="3FCA1921"/>
    <w:rsid w:val="40200AD4"/>
    <w:rsid w:val="40356427"/>
    <w:rsid w:val="403B1351"/>
    <w:rsid w:val="404E6ADA"/>
    <w:rsid w:val="409C46F8"/>
    <w:rsid w:val="40D774DE"/>
    <w:rsid w:val="411221BE"/>
    <w:rsid w:val="41583042"/>
    <w:rsid w:val="416A0352"/>
    <w:rsid w:val="417836A0"/>
    <w:rsid w:val="41952643"/>
    <w:rsid w:val="41C84587"/>
    <w:rsid w:val="41E27C26"/>
    <w:rsid w:val="42045BDC"/>
    <w:rsid w:val="42053CB0"/>
    <w:rsid w:val="420B5567"/>
    <w:rsid w:val="4222518C"/>
    <w:rsid w:val="4230334A"/>
    <w:rsid w:val="428E6874"/>
    <w:rsid w:val="42B065B6"/>
    <w:rsid w:val="435C3CCA"/>
    <w:rsid w:val="43D62240"/>
    <w:rsid w:val="43E42047"/>
    <w:rsid w:val="43E75229"/>
    <w:rsid w:val="43F1483A"/>
    <w:rsid w:val="43F568DE"/>
    <w:rsid w:val="440C4F1A"/>
    <w:rsid w:val="4412168D"/>
    <w:rsid w:val="44147CE9"/>
    <w:rsid w:val="44826404"/>
    <w:rsid w:val="44EF24B6"/>
    <w:rsid w:val="44F829CB"/>
    <w:rsid w:val="45030AC7"/>
    <w:rsid w:val="453F3065"/>
    <w:rsid w:val="457E2FEE"/>
    <w:rsid w:val="45AC7E7F"/>
    <w:rsid w:val="45F33C53"/>
    <w:rsid w:val="46162970"/>
    <w:rsid w:val="461C46DA"/>
    <w:rsid w:val="463A58BA"/>
    <w:rsid w:val="46555E19"/>
    <w:rsid w:val="469255C7"/>
    <w:rsid w:val="46BD2CD2"/>
    <w:rsid w:val="46FF481C"/>
    <w:rsid w:val="4705411C"/>
    <w:rsid w:val="47073B34"/>
    <w:rsid w:val="47665118"/>
    <w:rsid w:val="477C493B"/>
    <w:rsid w:val="47821ECC"/>
    <w:rsid w:val="480F3EA7"/>
    <w:rsid w:val="480F5247"/>
    <w:rsid w:val="482658C1"/>
    <w:rsid w:val="483A74D0"/>
    <w:rsid w:val="489A04EC"/>
    <w:rsid w:val="489C27BC"/>
    <w:rsid w:val="48DA2871"/>
    <w:rsid w:val="48F456A6"/>
    <w:rsid w:val="490619BC"/>
    <w:rsid w:val="492E65DE"/>
    <w:rsid w:val="49375232"/>
    <w:rsid w:val="497F1DAA"/>
    <w:rsid w:val="49920446"/>
    <w:rsid w:val="49AF1F08"/>
    <w:rsid w:val="49C660A1"/>
    <w:rsid w:val="49C90E84"/>
    <w:rsid w:val="49DB6D62"/>
    <w:rsid w:val="49FE1F7F"/>
    <w:rsid w:val="4A031344"/>
    <w:rsid w:val="4A2A4B22"/>
    <w:rsid w:val="4A817B22"/>
    <w:rsid w:val="4A8642E2"/>
    <w:rsid w:val="4AA743C5"/>
    <w:rsid w:val="4AAF15C4"/>
    <w:rsid w:val="4AC3107F"/>
    <w:rsid w:val="4ACE4B79"/>
    <w:rsid w:val="4B025174"/>
    <w:rsid w:val="4B2B2900"/>
    <w:rsid w:val="4B307F16"/>
    <w:rsid w:val="4B471782"/>
    <w:rsid w:val="4B71239F"/>
    <w:rsid w:val="4B8169C4"/>
    <w:rsid w:val="4BBF74EC"/>
    <w:rsid w:val="4BDC5859"/>
    <w:rsid w:val="4BE1010B"/>
    <w:rsid w:val="4C0B44E0"/>
    <w:rsid w:val="4C4036E6"/>
    <w:rsid w:val="4C6E596B"/>
    <w:rsid w:val="4C8F5111"/>
    <w:rsid w:val="4C960FDE"/>
    <w:rsid w:val="4D0D425D"/>
    <w:rsid w:val="4D0F52FA"/>
    <w:rsid w:val="4D1A6F0E"/>
    <w:rsid w:val="4D673998"/>
    <w:rsid w:val="4E042231"/>
    <w:rsid w:val="4E493656"/>
    <w:rsid w:val="4E6A0A71"/>
    <w:rsid w:val="4EFD4F1D"/>
    <w:rsid w:val="4F067487"/>
    <w:rsid w:val="4F427227"/>
    <w:rsid w:val="4F615527"/>
    <w:rsid w:val="4F805E28"/>
    <w:rsid w:val="4F8F4985"/>
    <w:rsid w:val="4F914825"/>
    <w:rsid w:val="4F9D6522"/>
    <w:rsid w:val="4FA2515B"/>
    <w:rsid w:val="4FDFC887"/>
    <w:rsid w:val="4FF0236A"/>
    <w:rsid w:val="500A301B"/>
    <w:rsid w:val="50A12501"/>
    <w:rsid w:val="50BC559B"/>
    <w:rsid w:val="50BF63F5"/>
    <w:rsid w:val="50D36CAA"/>
    <w:rsid w:val="50F35F21"/>
    <w:rsid w:val="510631F8"/>
    <w:rsid w:val="510E73AE"/>
    <w:rsid w:val="512A72D7"/>
    <w:rsid w:val="516052CE"/>
    <w:rsid w:val="516A534F"/>
    <w:rsid w:val="517D16C1"/>
    <w:rsid w:val="5192078D"/>
    <w:rsid w:val="51D0620A"/>
    <w:rsid w:val="51D96C4C"/>
    <w:rsid w:val="51E35005"/>
    <w:rsid w:val="51F460F4"/>
    <w:rsid w:val="51F51655"/>
    <w:rsid w:val="51FE0484"/>
    <w:rsid w:val="52151C14"/>
    <w:rsid w:val="524E370A"/>
    <w:rsid w:val="5253098E"/>
    <w:rsid w:val="52A01914"/>
    <w:rsid w:val="52AC7559"/>
    <w:rsid w:val="52B0193D"/>
    <w:rsid w:val="52CD6993"/>
    <w:rsid w:val="53067EC3"/>
    <w:rsid w:val="530F3AAA"/>
    <w:rsid w:val="53D8739D"/>
    <w:rsid w:val="542645AC"/>
    <w:rsid w:val="54483D0D"/>
    <w:rsid w:val="54861140"/>
    <w:rsid w:val="54AE468E"/>
    <w:rsid w:val="55216E19"/>
    <w:rsid w:val="553A365E"/>
    <w:rsid w:val="554B48AE"/>
    <w:rsid w:val="55816518"/>
    <w:rsid w:val="5596490A"/>
    <w:rsid w:val="55A41706"/>
    <w:rsid w:val="566343DC"/>
    <w:rsid w:val="567E3965"/>
    <w:rsid w:val="56B70654"/>
    <w:rsid w:val="572A10E3"/>
    <w:rsid w:val="57553B71"/>
    <w:rsid w:val="57884570"/>
    <w:rsid w:val="57926256"/>
    <w:rsid w:val="579B0E0D"/>
    <w:rsid w:val="579E601C"/>
    <w:rsid w:val="57E62C89"/>
    <w:rsid w:val="57F4005C"/>
    <w:rsid w:val="57F8000E"/>
    <w:rsid w:val="58390195"/>
    <w:rsid w:val="58AA2836"/>
    <w:rsid w:val="58D122C2"/>
    <w:rsid w:val="58E70023"/>
    <w:rsid w:val="590C5CE8"/>
    <w:rsid w:val="592A2449"/>
    <w:rsid w:val="598665B9"/>
    <w:rsid w:val="59C96098"/>
    <w:rsid w:val="5A5D6E2B"/>
    <w:rsid w:val="5A9A53AC"/>
    <w:rsid w:val="5AA47167"/>
    <w:rsid w:val="5AAC27D3"/>
    <w:rsid w:val="5AB55690"/>
    <w:rsid w:val="5ADE0739"/>
    <w:rsid w:val="5ADF7AD1"/>
    <w:rsid w:val="5B081745"/>
    <w:rsid w:val="5B116C3C"/>
    <w:rsid w:val="5B184523"/>
    <w:rsid w:val="5B7A6F8C"/>
    <w:rsid w:val="5B8D499C"/>
    <w:rsid w:val="5B9F7BC4"/>
    <w:rsid w:val="5C1271C4"/>
    <w:rsid w:val="5C4D0E8A"/>
    <w:rsid w:val="5C672EE1"/>
    <w:rsid w:val="5C9D01B3"/>
    <w:rsid w:val="5CA40764"/>
    <w:rsid w:val="5CC55E89"/>
    <w:rsid w:val="5CDA555B"/>
    <w:rsid w:val="5CDD77D2"/>
    <w:rsid w:val="5D3533D1"/>
    <w:rsid w:val="5D3A6CFF"/>
    <w:rsid w:val="5D600B2F"/>
    <w:rsid w:val="5DB239C7"/>
    <w:rsid w:val="5DE72293"/>
    <w:rsid w:val="5DE828D3"/>
    <w:rsid w:val="5E2646CD"/>
    <w:rsid w:val="5E6A32E8"/>
    <w:rsid w:val="5EAB5261"/>
    <w:rsid w:val="5ED35FB0"/>
    <w:rsid w:val="5EF3102B"/>
    <w:rsid w:val="5F2A342A"/>
    <w:rsid w:val="5F4872DE"/>
    <w:rsid w:val="5F4A6064"/>
    <w:rsid w:val="5F4B3AE6"/>
    <w:rsid w:val="5F606E19"/>
    <w:rsid w:val="5F695F61"/>
    <w:rsid w:val="5F9D05CA"/>
    <w:rsid w:val="5F9D59E6"/>
    <w:rsid w:val="5FD01870"/>
    <w:rsid w:val="5FD10DCB"/>
    <w:rsid w:val="5FFCD4B4"/>
    <w:rsid w:val="6008771C"/>
    <w:rsid w:val="60593AF3"/>
    <w:rsid w:val="60710045"/>
    <w:rsid w:val="60D158A0"/>
    <w:rsid w:val="610253B6"/>
    <w:rsid w:val="6115012A"/>
    <w:rsid w:val="61153820"/>
    <w:rsid w:val="61161E58"/>
    <w:rsid w:val="614E4A2A"/>
    <w:rsid w:val="6183303E"/>
    <w:rsid w:val="618E4F99"/>
    <w:rsid w:val="61994721"/>
    <w:rsid w:val="61FC694D"/>
    <w:rsid w:val="621A4988"/>
    <w:rsid w:val="62233AD9"/>
    <w:rsid w:val="6243457B"/>
    <w:rsid w:val="624E53D8"/>
    <w:rsid w:val="62546789"/>
    <w:rsid w:val="626D33A6"/>
    <w:rsid w:val="627A19DB"/>
    <w:rsid w:val="62EE44E7"/>
    <w:rsid w:val="63027F93"/>
    <w:rsid w:val="632111F7"/>
    <w:rsid w:val="632779F9"/>
    <w:rsid w:val="638C7C39"/>
    <w:rsid w:val="639A2821"/>
    <w:rsid w:val="63AF718C"/>
    <w:rsid w:val="63BC5CDE"/>
    <w:rsid w:val="63BF0584"/>
    <w:rsid w:val="64287ECD"/>
    <w:rsid w:val="643A7875"/>
    <w:rsid w:val="645268DD"/>
    <w:rsid w:val="64576326"/>
    <w:rsid w:val="64BA19A4"/>
    <w:rsid w:val="64C64337"/>
    <w:rsid w:val="64C80D68"/>
    <w:rsid w:val="64CD1105"/>
    <w:rsid w:val="64CD2E6D"/>
    <w:rsid w:val="64E831B8"/>
    <w:rsid w:val="651D7306"/>
    <w:rsid w:val="6520121D"/>
    <w:rsid w:val="652223BD"/>
    <w:rsid w:val="656C403D"/>
    <w:rsid w:val="65E87914"/>
    <w:rsid w:val="65FE4864"/>
    <w:rsid w:val="66306610"/>
    <w:rsid w:val="66467D95"/>
    <w:rsid w:val="66486604"/>
    <w:rsid w:val="665E3005"/>
    <w:rsid w:val="66644AC0"/>
    <w:rsid w:val="66830B74"/>
    <w:rsid w:val="668A797B"/>
    <w:rsid w:val="668B4338"/>
    <w:rsid w:val="66996E60"/>
    <w:rsid w:val="66AF4608"/>
    <w:rsid w:val="66D20E22"/>
    <w:rsid w:val="66F74A7C"/>
    <w:rsid w:val="66F81EE4"/>
    <w:rsid w:val="670B18D3"/>
    <w:rsid w:val="6714713A"/>
    <w:rsid w:val="67586D21"/>
    <w:rsid w:val="675C7D75"/>
    <w:rsid w:val="67780823"/>
    <w:rsid w:val="67842C8C"/>
    <w:rsid w:val="678C6FED"/>
    <w:rsid w:val="678F2C57"/>
    <w:rsid w:val="67A01A11"/>
    <w:rsid w:val="67CE0D8B"/>
    <w:rsid w:val="67DA20A0"/>
    <w:rsid w:val="67DC0982"/>
    <w:rsid w:val="682A2966"/>
    <w:rsid w:val="68430893"/>
    <w:rsid w:val="68531405"/>
    <w:rsid w:val="68C53F3C"/>
    <w:rsid w:val="68E83A44"/>
    <w:rsid w:val="68EB7ABC"/>
    <w:rsid w:val="690015AA"/>
    <w:rsid w:val="69192BEE"/>
    <w:rsid w:val="69232066"/>
    <w:rsid w:val="69424C47"/>
    <w:rsid w:val="696449DD"/>
    <w:rsid w:val="696F20FA"/>
    <w:rsid w:val="6983542A"/>
    <w:rsid w:val="69BE466B"/>
    <w:rsid w:val="69E76865"/>
    <w:rsid w:val="6A4E1D0F"/>
    <w:rsid w:val="6AA4254F"/>
    <w:rsid w:val="6AD01849"/>
    <w:rsid w:val="6AFF6C3F"/>
    <w:rsid w:val="6B071BAC"/>
    <w:rsid w:val="6B391278"/>
    <w:rsid w:val="6BFA7819"/>
    <w:rsid w:val="6BFD481D"/>
    <w:rsid w:val="6C0E025D"/>
    <w:rsid w:val="6C1D7BEB"/>
    <w:rsid w:val="6C596787"/>
    <w:rsid w:val="6C801107"/>
    <w:rsid w:val="6CAB3449"/>
    <w:rsid w:val="6CFE2EDC"/>
    <w:rsid w:val="6D053314"/>
    <w:rsid w:val="6D11628A"/>
    <w:rsid w:val="6D463172"/>
    <w:rsid w:val="6D5A4C9B"/>
    <w:rsid w:val="6D6830E8"/>
    <w:rsid w:val="6D843218"/>
    <w:rsid w:val="6D96698E"/>
    <w:rsid w:val="6DA502C1"/>
    <w:rsid w:val="6DCC47B9"/>
    <w:rsid w:val="6DEC3D19"/>
    <w:rsid w:val="6DEC5AC7"/>
    <w:rsid w:val="6E041984"/>
    <w:rsid w:val="6E1A0886"/>
    <w:rsid w:val="6E7D0E15"/>
    <w:rsid w:val="6E95615F"/>
    <w:rsid w:val="6EFE06AA"/>
    <w:rsid w:val="6F6A5791"/>
    <w:rsid w:val="6F6B1899"/>
    <w:rsid w:val="6F83245B"/>
    <w:rsid w:val="6F85117C"/>
    <w:rsid w:val="6FA8400A"/>
    <w:rsid w:val="6FE35A62"/>
    <w:rsid w:val="6FE74546"/>
    <w:rsid w:val="702C5898"/>
    <w:rsid w:val="70934920"/>
    <w:rsid w:val="709935E0"/>
    <w:rsid w:val="709E229C"/>
    <w:rsid w:val="70A128B4"/>
    <w:rsid w:val="70C41869"/>
    <w:rsid w:val="70C4348D"/>
    <w:rsid w:val="70F849C6"/>
    <w:rsid w:val="71CA7D6E"/>
    <w:rsid w:val="71F57420"/>
    <w:rsid w:val="71FE1E1D"/>
    <w:rsid w:val="72216C4D"/>
    <w:rsid w:val="723216D2"/>
    <w:rsid w:val="72411700"/>
    <w:rsid w:val="72814C5A"/>
    <w:rsid w:val="729365B7"/>
    <w:rsid w:val="72985992"/>
    <w:rsid w:val="72D0088C"/>
    <w:rsid w:val="72FE5336"/>
    <w:rsid w:val="730F143C"/>
    <w:rsid w:val="73116555"/>
    <w:rsid w:val="731A4E85"/>
    <w:rsid w:val="731C50BE"/>
    <w:rsid w:val="73651863"/>
    <w:rsid w:val="73833AB3"/>
    <w:rsid w:val="73C66DBA"/>
    <w:rsid w:val="73D47FF6"/>
    <w:rsid w:val="7404214D"/>
    <w:rsid w:val="740C6EC3"/>
    <w:rsid w:val="7434559F"/>
    <w:rsid w:val="744B63B6"/>
    <w:rsid w:val="745B7503"/>
    <w:rsid w:val="747C1AD0"/>
    <w:rsid w:val="74EB4D2A"/>
    <w:rsid w:val="750D650E"/>
    <w:rsid w:val="754601B3"/>
    <w:rsid w:val="754D1F8E"/>
    <w:rsid w:val="75B86DA1"/>
    <w:rsid w:val="75D01715"/>
    <w:rsid w:val="75D37C5C"/>
    <w:rsid w:val="766823AB"/>
    <w:rsid w:val="769913C3"/>
    <w:rsid w:val="76AE6010"/>
    <w:rsid w:val="76CB1B74"/>
    <w:rsid w:val="76FA1A37"/>
    <w:rsid w:val="773F135E"/>
    <w:rsid w:val="7744462F"/>
    <w:rsid w:val="774E68CA"/>
    <w:rsid w:val="77627C3C"/>
    <w:rsid w:val="77FE6B23"/>
    <w:rsid w:val="78090CD5"/>
    <w:rsid w:val="780E2ADE"/>
    <w:rsid w:val="78113DFC"/>
    <w:rsid w:val="785962B6"/>
    <w:rsid w:val="787B46C6"/>
    <w:rsid w:val="789B4018"/>
    <w:rsid w:val="78D00FC5"/>
    <w:rsid w:val="791F03C4"/>
    <w:rsid w:val="79332F63"/>
    <w:rsid w:val="799A287B"/>
    <w:rsid w:val="79B6025F"/>
    <w:rsid w:val="79E26883"/>
    <w:rsid w:val="7A48677B"/>
    <w:rsid w:val="7A560E98"/>
    <w:rsid w:val="7AFE4A7D"/>
    <w:rsid w:val="7B156F4B"/>
    <w:rsid w:val="7B1E71F2"/>
    <w:rsid w:val="7B3A03BD"/>
    <w:rsid w:val="7B534407"/>
    <w:rsid w:val="7B6860CE"/>
    <w:rsid w:val="7C0D3036"/>
    <w:rsid w:val="7C3654F3"/>
    <w:rsid w:val="7C6E1384"/>
    <w:rsid w:val="7C7E2011"/>
    <w:rsid w:val="7C894A65"/>
    <w:rsid w:val="7CB96BC3"/>
    <w:rsid w:val="7CC12815"/>
    <w:rsid w:val="7CCB7551"/>
    <w:rsid w:val="7CEC77D0"/>
    <w:rsid w:val="7D124E1E"/>
    <w:rsid w:val="7D1D3EEF"/>
    <w:rsid w:val="7D2E4E92"/>
    <w:rsid w:val="7D52346D"/>
    <w:rsid w:val="7DDA1987"/>
    <w:rsid w:val="7DE762AB"/>
    <w:rsid w:val="7DF86305"/>
    <w:rsid w:val="7E3E16AB"/>
    <w:rsid w:val="7E67570A"/>
    <w:rsid w:val="7E8E41A1"/>
    <w:rsid w:val="7EC46EEC"/>
    <w:rsid w:val="7F9B1DF3"/>
    <w:rsid w:val="7FB24208"/>
    <w:rsid w:val="7FC76CA2"/>
    <w:rsid w:val="7FF86AFA"/>
    <w:rsid w:val="97CB6C76"/>
    <w:rsid w:val="9F1E32AC"/>
    <w:rsid w:val="AFFFFA3F"/>
    <w:rsid w:val="BBAF5E80"/>
    <w:rsid w:val="DBEF867E"/>
    <w:rsid w:val="F7BE5FB2"/>
    <w:rsid w:val="FD1C83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6">
    <w:name w:val="table of authorities"/>
    <w:basedOn w:val="1"/>
    <w:next w:val="1"/>
    <w:autoRedefine/>
    <w:unhideWhenUsed/>
    <w:qFormat/>
    <w:uiPriority w:val="99"/>
    <w:pPr>
      <w:spacing w:line="240" w:lineRule="auto"/>
      <w:ind w:left="420" w:leftChars="200" w:firstLine="0" w:firstLineChars="0"/>
    </w:pPr>
    <w:rPr>
      <w:rFonts w:ascii="Calibri" w:hAnsi="Calibri"/>
    </w:rPr>
  </w:style>
  <w:style w:type="paragraph" w:styleId="7">
    <w:name w:val="Normal Indent"/>
    <w:basedOn w:val="1"/>
    <w:autoRedefine/>
    <w:qFormat/>
    <w:uiPriority w:val="0"/>
    <w:pPr>
      <w:ind w:firstLine="420" w:firstLineChars="200"/>
    </w:pPr>
    <w:rPr>
      <w:rFonts w:ascii="Calibri" w:hAnsi="Calibri" w:eastAsia="宋体" w:cs="Times New Roman"/>
      <w:szCs w:val="22"/>
    </w:rPr>
  </w:style>
  <w:style w:type="paragraph" w:styleId="8">
    <w:name w:val="caption"/>
    <w:basedOn w:val="1"/>
    <w:next w:val="1"/>
    <w:autoRedefine/>
    <w:unhideWhenUsed/>
    <w:qFormat/>
    <w:uiPriority w:val="35"/>
    <w:pPr>
      <w:spacing w:line="560" w:lineRule="exact"/>
      <w:ind w:firstLine="0" w:firstLineChars="0"/>
      <w:jc w:val="center"/>
    </w:pPr>
    <w:rPr>
      <w:rFonts w:ascii="Arial" w:hAnsi="Arial" w:eastAsia="楷体GB2312" w:cs="Arial"/>
      <w:sz w:val="28"/>
    </w:rPr>
  </w:style>
  <w:style w:type="paragraph" w:styleId="9">
    <w:name w:val="annotation text"/>
    <w:basedOn w:val="1"/>
    <w:autoRedefine/>
    <w:qFormat/>
    <w:uiPriority w:val="0"/>
    <w:pPr>
      <w:jc w:val="left"/>
    </w:pPr>
  </w:style>
  <w:style w:type="paragraph" w:styleId="10">
    <w:name w:val="Body Text"/>
    <w:basedOn w:val="1"/>
    <w:autoRedefine/>
    <w:semiHidden/>
    <w:qFormat/>
    <w:uiPriority w:val="0"/>
    <w:rPr>
      <w:rFonts w:ascii="Arial" w:hAnsi="Arial" w:eastAsia="Arial" w:cs="Arial"/>
      <w:sz w:val="21"/>
      <w:szCs w:val="21"/>
      <w:lang w:val="en-US" w:eastAsia="en-US" w:bidi="ar-SA"/>
    </w:rPr>
  </w:style>
  <w:style w:type="paragraph" w:styleId="11">
    <w:name w:val="toc 5"/>
    <w:basedOn w:val="1"/>
    <w:next w:val="1"/>
    <w:autoRedefine/>
    <w:unhideWhenUsed/>
    <w:qFormat/>
    <w:uiPriority w:val="39"/>
    <w:pPr>
      <w:ind w:left="840"/>
      <w:jc w:val="left"/>
    </w:pPr>
    <w:rPr>
      <w:rFonts w:ascii="等线" w:eastAsia="等线"/>
      <w:sz w:val="18"/>
      <w:szCs w:val="18"/>
    </w:rPr>
  </w:style>
  <w:style w:type="paragraph" w:styleId="12">
    <w:name w:val="toc 3"/>
    <w:basedOn w:val="1"/>
    <w:next w:val="1"/>
    <w:autoRedefine/>
    <w:qFormat/>
    <w:uiPriority w:val="0"/>
    <w:pPr>
      <w:ind w:left="840" w:leftChars="400"/>
    </w:p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envelope return"/>
    <w:basedOn w:val="1"/>
    <w:autoRedefine/>
    <w:unhideWhenUsed/>
    <w:qFormat/>
    <w:uiPriority w:val="99"/>
    <w:pPr>
      <w:widowControl w:val="0"/>
      <w:snapToGrid w:val="0"/>
      <w:jc w:val="both"/>
    </w:pPr>
    <w:rPr>
      <w:rFonts w:ascii="Arial" w:hAnsi="Arial" w:eastAsia="宋体" w:cs="Times New Roman"/>
      <w:kern w:val="2"/>
      <w:sz w:val="21"/>
      <w:szCs w:val="24"/>
      <w:lang w:val="en-US" w:eastAsia="zh-CN" w:bidi="ar-SA"/>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unhideWhenUsed/>
    <w:qFormat/>
    <w:uiPriority w:val="39"/>
    <w:pPr>
      <w:widowControl/>
      <w:tabs>
        <w:tab w:val="right" w:leader="dot" w:pos="8306"/>
      </w:tabs>
      <w:ind w:firstLine="640"/>
      <w:jc w:val="left"/>
    </w:pPr>
    <w:rPr>
      <w:rFonts w:cs="Times New Roman"/>
      <w:kern w:val="0"/>
    </w:rPr>
  </w:style>
  <w:style w:type="paragraph" w:styleId="1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10"/>
    <w:autoRedefine/>
    <w:qFormat/>
    <w:uiPriority w:val="0"/>
    <w:pPr>
      <w:ind w:firstLine="420" w:firstLineChars="100"/>
    </w:pPr>
  </w:style>
  <w:style w:type="table" w:styleId="21">
    <w:name w:val="Table Grid"/>
    <w:basedOn w:val="20"/>
    <w:autoRedefine/>
    <w:qFormat/>
    <w:uiPriority w:val="3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Strong"/>
    <w:basedOn w:val="22"/>
    <w:autoRedefine/>
    <w:qFormat/>
    <w:uiPriority w:val="0"/>
    <w:rPr>
      <w:b/>
    </w:rPr>
  </w:style>
  <w:style w:type="character" w:styleId="24">
    <w:name w:val="Hyperlink"/>
    <w:basedOn w:val="22"/>
    <w:autoRedefine/>
    <w:unhideWhenUsed/>
    <w:qFormat/>
    <w:uiPriority w:val="99"/>
    <w:rPr>
      <w:color w:val="0000FF" w:themeColor="hyperlink"/>
      <w:u w:val="single"/>
      <w14:textFill>
        <w14:solidFill>
          <w14:schemeClr w14:val="hlink"/>
        </w14:solidFill>
      </w14:textFill>
    </w:rPr>
  </w:style>
  <w:style w:type="paragraph" w:customStyle="1" w:styleId="25">
    <w:name w:val="正文行距固定"/>
    <w:basedOn w:val="1"/>
    <w:autoRedefine/>
    <w:qFormat/>
    <w:uiPriority w:val="0"/>
    <w:rPr>
      <w:rFonts w:ascii="仿宋_GB2312" w:hAnsi="宋体"/>
      <w:szCs w:val="21"/>
    </w:rPr>
  </w:style>
  <w:style w:type="table" w:customStyle="1" w:styleId="26">
    <w:name w:val="Table Normal"/>
    <w:autoRedefine/>
    <w:semiHidden/>
    <w:unhideWhenUsed/>
    <w:qFormat/>
    <w:uiPriority w:val="0"/>
    <w:tblPr>
      <w:tblCellMar>
        <w:top w:w="0" w:type="dxa"/>
        <w:left w:w="0" w:type="dxa"/>
        <w:bottom w:w="0" w:type="dxa"/>
        <w:right w:w="0" w:type="dxa"/>
      </w:tblCellMar>
    </w:tblPr>
  </w:style>
  <w:style w:type="paragraph" w:customStyle="1" w:styleId="27">
    <w:name w:val="Table Text"/>
    <w:basedOn w:val="1"/>
    <w:autoRedefine/>
    <w:semiHidden/>
    <w:qFormat/>
    <w:uiPriority w:val="0"/>
    <w:rPr>
      <w:rFonts w:ascii="宋体" w:hAnsi="宋体" w:eastAsia="宋体" w:cs="宋体"/>
      <w:sz w:val="20"/>
      <w:szCs w:val="20"/>
      <w:lang w:val="en-US" w:eastAsia="en-US" w:bidi="ar-SA"/>
    </w:rPr>
  </w:style>
  <w:style w:type="character" w:customStyle="1" w:styleId="28">
    <w:name w:val="font31"/>
    <w:basedOn w:val="22"/>
    <w:autoRedefine/>
    <w:qFormat/>
    <w:uiPriority w:val="0"/>
    <w:rPr>
      <w:rFonts w:hint="eastAsia" w:ascii="宋体" w:hAnsi="宋体" w:eastAsia="宋体" w:cs="宋体"/>
      <w:color w:val="000000"/>
      <w:sz w:val="20"/>
      <w:szCs w:val="20"/>
      <w:u w:val="none"/>
    </w:rPr>
  </w:style>
  <w:style w:type="character" w:customStyle="1" w:styleId="29">
    <w:name w:val="font21"/>
    <w:basedOn w:val="22"/>
    <w:autoRedefine/>
    <w:qFormat/>
    <w:uiPriority w:val="0"/>
    <w:rPr>
      <w:rFonts w:hint="eastAsia" w:ascii="宋体" w:hAnsi="宋体" w:eastAsia="宋体" w:cs="宋体"/>
      <w:color w:val="000000"/>
      <w:sz w:val="21"/>
      <w:szCs w:val="21"/>
      <w:u w:val="none"/>
    </w:rPr>
  </w:style>
  <w:style w:type="character" w:customStyle="1" w:styleId="30">
    <w:name w:val="font41"/>
    <w:basedOn w:val="22"/>
    <w:autoRedefine/>
    <w:qFormat/>
    <w:uiPriority w:val="0"/>
    <w:rPr>
      <w:rFonts w:ascii="Calibri" w:hAnsi="Calibri" w:cs="Calibri"/>
      <w:color w:val="000000"/>
      <w:sz w:val="21"/>
      <w:szCs w:val="21"/>
      <w:u w:val="none"/>
    </w:rPr>
  </w:style>
  <w:style w:type="character" w:customStyle="1" w:styleId="31">
    <w:name w:val="font11"/>
    <w:basedOn w:val="22"/>
    <w:autoRedefine/>
    <w:qFormat/>
    <w:uiPriority w:val="0"/>
    <w:rPr>
      <w:rFonts w:hint="eastAsia" w:ascii="宋体" w:hAnsi="宋体" w:eastAsia="宋体" w:cs="宋体"/>
      <w:b/>
      <w:bCs/>
      <w:color w:val="000000"/>
      <w:sz w:val="18"/>
      <w:szCs w:val="18"/>
      <w:u w:val="none"/>
    </w:rPr>
  </w:style>
  <w:style w:type="character" w:customStyle="1" w:styleId="32">
    <w:name w:val="font71"/>
    <w:basedOn w:val="22"/>
    <w:autoRedefine/>
    <w:qFormat/>
    <w:uiPriority w:val="0"/>
    <w:rPr>
      <w:rFonts w:ascii="宋体" w:hAnsi="宋体" w:eastAsia="宋体" w:cs="宋体"/>
      <w:color w:val="000000"/>
      <w:sz w:val="18"/>
      <w:szCs w:val="18"/>
      <w:u w:val="none"/>
    </w:rPr>
  </w:style>
  <w:style w:type="character" w:customStyle="1" w:styleId="33">
    <w:name w:val="font81"/>
    <w:basedOn w:val="22"/>
    <w:autoRedefine/>
    <w:qFormat/>
    <w:uiPriority w:val="0"/>
    <w:rPr>
      <w:rFonts w:ascii="宋体" w:hAnsi="宋体" w:eastAsia="宋体" w:cs="宋体"/>
      <w:color w:val="000000"/>
      <w:sz w:val="24"/>
      <w:szCs w:val="24"/>
      <w:u w:val="none"/>
    </w:rPr>
  </w:style>
  <w:style w:type="character" w:customStyle="1" w:styleId="34">
    <w:name w:val="font91"/>
    <w:basedOn w:val="22"/>
    <w:autoRedefine/>
    <w:qFormat/>
    <w:uiPriority w:val="0"/>
    <w:rPr>
      <w:rFonts w:ascii="宋体" w:hAnsi="宋体" w:eastAsia="宋体" w:cs="宋体"/>
      <w:color w:val="000000"/>
      <w:sz w:val="26"/>
      <w:szCs w:val="26"/>
      <w:u w:val="none"/>
    </w:rPr>
  </w:style>
  <w:style w:type="character" w:customStyle="1" w:styleId="35">
    <w:name w:val="font51"/>
    <w:basedOn w:val="22"/>
    <w:autoRedefine/>
    <w:qFormat/>
    <w:uiPriority w:val="0"/>
    <w:rPr>
      <w:rFonts w:hint="eastAsia" w:ascii="宋体" w:hAnsi="宋体" w:eastAsia="宋体" w:cs="宋体"/>
      <w:b/>
      <w:bCs/>
      <w:color w:val="000000"/>
      <w:sz w:val="20"/>
      <w:szCs w:val="20"/>
      <w:u w:val="none"/>
    </w:rPr>
  </w:style>
  <w:style w:type="paragraph" w:customStyle="1" w:styleId="36">
    <w:name w:val="图表标题"/>
    <w:basedOn w:val="8"/>
    <w:autoRedefine/>
    <w:qFormat/>
    <w:uiPriority w:val="0"/>
    <w:rPr>
      <w:rFonts w:ascii="楷体_GB2312" w:hAnsi="宋体" w:eastAsia="黑体" w:cs="Times New Roman"/>
      <w:sz w:val="30"/>
      <w:szCs w:val="28"/>
    </w:rPr>
  </w:style>
  <w:style w:type="paragraph" w:styleId="37">
    <w:name w:val="List Paragraph"/>
    <w:basedOn w:val="1"/>
    <w:autoRedefine/>
    <w:qFormat/>
    <w:uiPriority w:val="34"/>
    <w:pPr>
      <w:ind w:firstLine="420" w:firstLineChars="200"/>
    </w:pPr>
  </w:style>
  <w:style w:type="paragraph" w:customStyle="1" w:styleId="38">
    <w:name w:val="表头"/>
    <w:basedOn w:val="1"/>
    <w:next w:val="1"/>
    <w:autoRedefine/>
    <w:qFormat/>
    <w:uiPriority w:val="0"/>
    <w:pPr>
      <w:spacing w:line="360" w:lineRule="exact"/>
      <w:jc w:val="center"/>
    </w:pPr>
    <w:rPr>
      <w:rFonts w:ascii="黑体" w:hAnsi="黑体" w:eastAsia="黑体"/>
      <w:sz w:val="24"/>
    </w:rPr>
  </w:style>
  <w:style w:type="paragraph" w:customStyle="1" w:styleId="39">
    <w:name w:val="表格内容"/>
    <w:basedOn w:val="1"/>
    <w:next w:val="1"/>
    <w:autoRedefine/>
    <w:qFormat/>
    <w:uiPriority w:val="0"/>
    <w:pPr>
      <w:keepNext w:val="0"/>
      <w:keepLines w:val="0"/>
      <w:widowControl w:val="0"/>
      <w:suppressLineNumbers w:val="0"/>
      <w:spacing w:before="0" w:beforeAutospacing="0" w:after="0" w:afterAutospacing="0" w:line="360" w:lineRule="exact"/>
      <w:ind w:left="0" w:right="0" w:firstLine="0" w:firstLineChars="0"/>
      <w:jc w:val="center"/>
    </w:pPr>
    <w:rPr>
      <w:rFonts w:ascii="仿宋_GB2312" w:hAnsi="仿宋_GB2312" w:eastAsia="仿宋_GB2312" w:cs="仿宋"/>
      <w:sz w:val="24"/>
      <w:lang w:bidi="ar"/>
    </w:rPr>
  </w:style>
  <w:style w:type="character" w:customStyle="1" w:styleId="40">
    <w:name w:val="font61"/>
    <w:basedOn w:val="22"/>
    <w:autoRedefine/>
    <w:qFormat/>
    <w:uiPriority w:val="0"/>
    <w:rPr>
      <w:rFonts w:hint="eastAsia" w:ascii="宋体" w:hAnsi="宋体" w:eastAsia="宋体" w:cs="宋体"/>
      <w:b/>
      <w:bCs/>
      <w:color w:val="000000"/>
      <w:sz w:val="20"/>
      <w:szCs w:val="20"/>
      <w:u w:val="none"/>
    </w:rPr>
  </w:style>
  <w:style w:type="paragraph" w:customStyle="1" w:styleId="41">
    <w:name w:val="样式 标题 1 + 黑体 小二 居中2"/>
    <w:basedOn w:val="2"/>
    <w:next w:val="1"/>
    <w:autoRedefine/>
    <w:qFormat/>
    <w:uiPriority w:val="0"/>
    <w:pPr>
      <w:keepNext w:val="0"/>
      <w:numPr>
        <w:ilvl w:val="0"/>
        <w:numId w:val="1"/>
      </w:numPr>
      <w:spacing w:line="576" w:lineRule="auto"/>
      <w:jc w:val="center"/>
    </w:pPr>
    <w:rPr>
      <w:rFonts w:ascii="黑体" w:hAnsi="Calibri" w:eastAsia="黑体" w:cs="宋体"/>
      <w:sz w:val="36"/>
      <w:szCs w:val="20"/>
    </w:rPr>
  </w:style>
  <w:style w:type="character" w:customStyle="1" w:styleId="42">
    <w:name w:val="font01"/>
    <w:basedOn w:val="22"/>
    <w:autoRedefine/>
    <w:qFormat/>
    <w:uiPriority w:val="0"/>
    <w:rPr>
      <w:rFonts w:hint="default" w:ascii="Arial" w:hAnsi="Arial" w:cs="Arial"/>
      <w:color w:val="000000"/>
      <w:sz w:val="22"/>
      <w:szCs w:val="22"/>
      <w:u w:val="none"/>
    </w:rPr>
  </w:style>
  <w:style w:type="paragraph" w:customStyle="1" w:styleId="43">
    <w:name w:val="Body Text First Indent 2"/>
    <w:basedOn w:val="44"/>
    <w:autoRedefine/>
    <w:qFormat/>
    <w:uiPriority w:val="0"/>
    <w:pPr>
      <w:ind w:firstLine="420" w:firstLineChars="200"/>
    </w:pPr>
  </w:style>
  <w:style w:type="paragraph" w:customStyle="1" w:styleId="44">
    <w:name w:val="Body Text Indent"/>
    <w:basedOn w:val="1"/>
    <w:autoRedefine/>
    <w:qFormat/>
    <w:uiPriority w:val="0"/>
    <w:pPr>
      <w:spacing w:after="120" w:afterLines="0"/>
      <w:ind w:left="420" w:leftChars="200"/>
    </w:pPr>
    <w:rPr>
      <w:rFonts w:cs="Times New Roman"/>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a653eafa-5b92-48e6-95f9-73516e440cde</errorID>
      <errorWord xmlns="http://schemas.wps.cn/vas-ai-hub/contract-review">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区域</item>
      </candidateList>
      <explain xmlns="http://schemas.wps.cn/vas-ai-hub/contract-review"/>
      <paraID xmlns="http://schemas.wps.cn/vas-ai-hub/contract-review">6F7A7217</paraID>
      <start xmlns="http://schemas.wps.cn/vas-ai-hub/contract-review">81</start>
      <end xmlns="http://schemas.wps.cn/vas-ai-hub/contract-review">82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8c25963d-5f69-4b4b-9875-6fd5805a48b1</errorID>
      <errorWord xmlns="http://schemas.wps.cn/vas-ai-hub/contract-review">防空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防控</item>
      </candidateList>
      <explain xmlns="http://schemas.wps.cn/vas-ai-hub/contract-review">存在发音相同字词的误用。</explain>
      <paraID xmlns="http://schemas.wps.cn/vas-ai-hub/contract-review">33E93AAC</paraID>
      <start xmlns="http://schemas.wps.cn/vas-ai-hub/contract-review">52</start>
      <end xmlns="http://schemas.wps.cn/vas-ai-hub/contract-review">54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f013e458-1c09-48cd-98bd-f5b7b0623298</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22C40CAC</paraID>
      <start xmlns="http://schemas.wps.cn/vas-ai-hub/contract-review">4</start>
      <end xmlns="http://schemas.wps.cn/vas-ai-hub/contract-review">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602f3b4c-33b3-4beb-aa51-e08b4404af82</errorID>
      <errorWord xmlns="http://schemas.wps.cn/vas-ai-hub/contract-review">防空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防控</item>
      </candidateList>
      <explain xmlns="http://schemas.wps.cn/vas-ai-hub/contract-review">存在发音相同字词的误用。</explain>
      <paraID xmlns="http://schemas.wps.cn/vas-ai-hub/contract-review"> 3F8EDB3</paraID>
      <start xmlns="http://schemas.wps.cn/vas-ai-hub/contract-review">56</start>
      <end xmlns="http://schemas.wps.cn/vas-ai-hub/contract-review">58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be21c0e4-1a47-4132-97e7-0b1d2d0ad6f2</errorID>
      <errorWord xmlns="http://schemas.wps.cn/vas-ai-hub/contract-review">一岗双责</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‘一岗双责’</item>
      </candidateList>
      <explain xmlns="http://schemas.wps.cn/vas-ai-hub/contract-review">注意检查当前固定表述标点是否使用规范。</explain>
      <paraID xmlns="http://schemas.wps.cn/vas-ai-hub/contract-review">7C12307B</paraID>
      <start xmlns="http://schemas.wps.cn/vas-ai-hub/contract-review">10</start>
      <end xmlns="http://schemas.wps.cn/vas-ai-hub/contract-review">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864ab453-9da1-4dd7-b907-e58c308872a5</errorID>
      <errorWord xmlns="http://schemas.wps.cn/vas-ai-hub/contract-review">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急避</item>
      </candidateList>
      <explain xmlns="http://schemas.wps.cn/vas-ai-hub/contract-review"/>
      <paraID xmlns="http://schemas.wps.cn/vas-ai-hub/contract-review">40D1B0E2</paraID>
      <start xmlns="http://schemas.wps.cn/vas-ai-hub/contract-review">50</start>
      <end xmlns="http://schemas.wps.cn/vas-ai-hub/contract-review">51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93de0870-5970-42ca-80d2-2b92b9338133</errorID>
      <errorWord xmlns="http://schemas.wps.cn/vas-ai-hub/contract-review">至少有一条次干路及以上</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至少有一条次干路及</item>
      </candidateList>
      <explain xmlns="http://schemas.wps.cn/vas-ai-hub/contract-review"/>
      <paraID xmlns="http://schemas.wps.cn/vas-ai-hub/contract-review">65355C81</paraID>
      <start xmlns="http://schemas.wps.cn/vas-ai-hub/contract-review">87</start>
      <end xmlns="http://schemas.wps.cn/vas-ai-hub/contract-review">98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99dec93f-dcae-420d-b621-65dbb1fc9d92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6067D1D3</paraID>
      <start xmlns="http://schemas.wps.cn/vas-ai-hub/contract-review">35</start>
      <end xmlns="http://schemas.wps.cn/vas-ai-hub/contract-review">36</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c08e4b0d-8197-42f2-90e7-46afaf366fa4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6067D1D3</paraID>
      <start xmlns="http://schemas.wps.cn/vas-ai-hub/contract-review">56</start>
      <end xmlns="http://schemas.wps.cn/vas-ai-hub/contract-review">57</end>
      <status xmlns="http://schemas.wps.cn/vas-ai-hub/contract-review">modified</status>
      <modifiedWord xmlns="http://schemas.wps.cn/vas-ai-hub/contract-review">）</modifiedWord>
      <trackRevisions xmlns="http://schemas.wps.cn/vas-ai-hub/contract-review">false</trackRevisions>
    </reviewItem>
    <reviewItem xmlns="http://schemas.wps.cn/vas-ai-hub/contract-review">
      <errorID xmlns="http://schemas.wps.cn/vas-ai-hub/contract-review">86eef876-b813-4dd0-ac8c-b501df2de1c9</errorID>
      <errorWord xmlns="http://schemas.wps.cn/vas-ai-hub/contract-review">布布</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布</item>
      </candidateList>
      <explain xmlns="http://schemas.wps.cn/vas-ai-hub/contract-review"/>
      <paraID xmlns="http://schemas.wps.cn/vas-ai-hub/contract-review">3DB422BC</paraID>
      <start xmlns="http://schemas.wps.cn/vas-ai-hub/contract-review">164</start>
      <end xmlns="http://schemas.wps.cn/vas-ai-hub/contract-review">165</end>
      <status xmlns="http://schemas.wps.cn/vas-ai-hub/contract-review">modified</status>
      <modifiedWord xmlns="http://schemas.wps.cn/vas-ai-hub/contract-review">布</modifiedWord>
      <trackRevisions xmlns="http://schemas.wps.cn/vas-ai-hub/contract-review">false</trackRevisions>
    </reviewItem>
    <reviewItem xmlns="http://schemas.wps.cn/vas-ai-hub/contract-review">
      <errorID xmlns="http://schemas.wps.cn/vas-ai-hub/contract-review">b97b86e6-e0fc-4627-924b-9763854fbd6d</errorID>
      <errorWord xmlns="http://schemas.wps.cn/vas-ai-hub/contract-review">首要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要</item>
      </candidateList>
      <explain xmlns="http://schemas.wps.cn/vas-ai-hub/contract-review">〈连〉❶如果：明天～下雨，我就不去了。❷要么：～就去打球，～就去溜冰，别再犹豫了。</explain>
      <paraID xmlns="http://schemas.wps.cn/vas-ai-hub/contract-review">38B65218</paraID>
      <start xmlns="http://schemas.wps.cn/vas-ai-hub/contract-review">53</start>
      <end xmlns="http://schemas.wps.cn/vas-ai-hub/contract-review">55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75797149-7be9-4e87-a13d-a9ab2573f970</errorID>
      <errorWord xmlns="http://schemas.wps.cn/vas-ai-hub/contract-review">两种</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两路</item>
      </candidateList>
      <explain xmlns="http://schemas.wps.cn/vas-ai-hub/contract-review"/>
      <paraID xmlns="http://schemas.wps.cn/vas-ai-hub/contract-review">7C543647</paraID>
      <start xmlns="http://schemas.wps.cn/vas-ai-hub/contract-review">44</start>
      <end xmlns="http://schemas.wps.cn/vas-ai-hub/contract-review">46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37a0116b-f938-48d2-b1a7-9f804acc80d0</errorID>
      <errorWord xmlns="http://schemas.wps.cn/vas-ai-hub/contract-review">人员宿住</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人员住宿</item>
      </candidateList>
      <explain xmlns="http://schemas.wps.cn/vas-ai-hub/contract-review"/>
      <paraID xmlns="http://schemas.wps.cn/vas-ai-hub/contract-review">7B798EE2</paraID>
      <start xmlns="http://schemas.wps.cn/vas-ai-hub/contract-review">183</start>
      <end xmlns="http://schemas.wps.cn/vas-ai-hub/contract-review">187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5dd4c220-aaf7-498f-b7db-ec94180c38ef</errorID>
      <errorWord xmlns="http://schemas.wps.cn/vas-ai-hub/contract-review">法制化</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法治化</item>
      </candidateList>
      <explain xmlns="http://schemas.wps.cn/vas-ai-hub/contract-review"/>
      <paraID xmlns="http://schemas.wps.cn/vas-ai-hub/contract-review">  E47396</paraID>
      <start xmlns="http://schemas.wps.cn/vas-ai-hub/contract-review">62</start>
      <end xmlns="http://schemas.wps.cn/vas-ai-hub/contract-review">65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e4a82e4d-0332-4439-a080-75c2bba1f98e</errorID>
      <errorWord xmlns="http://schemas.wps.cn/vas-ai-hub/contract-review">一岗双责</errorWord>
      <group xmlns="http://schemas.wps.cn/vas-ai-hub/contract-review">L1_Political</group>
      <groupName xmlns="http://schemas.wps.cn/vas-ai-hub/contract-review">政治性问题</groupName>
      <ability xmlns="http://schemas.wps.cn/vas-ai-hub/contract-review">L2_Keyword</ability>
      <abilityName xmlns="http://schemas.wps.cn/vas-ai-hub/contract-review">固定表述</abilityName>
      <candidateList xmlns="http://schemas.wps.cn/vas-ai-hub/contract-review">
        <item xmlns="http://schemas.wps.cn/vas-ai-hub/contract-review">‘一岗双责’</item>
      </candidateList>
      <explain xmlns="http://schemas.wps.cn/vas-ai-hub/contract-review">注意检查当前固定表述标点是否使用规范。</explain>
      <paraID xmlns="http://schemas.wps.cn/vas-ai-hub/contract-review">  E47396</paraID>
      <start xmlns="http://schemas.wps.cn/vas-ai-hub/contract-review">96</start>
      <end xmlns="http://schemas.wps.cn/vas-ai-hub/contract-review">100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02a4d9dd-39fd-43e1-94a0-c4b2ec7882ea</errorID>
      <errorWord xmlns="http://schemas.wps.cn/vas-ai-hub/contract-review">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属于</item>
      </candidateList>
      <explain xmlns="http://schemas.wps.cn/vas-ai-hub/contract-review"/>
      <paraID xmlns="http://schemas.wps.cn/vas-ai-hub/contract-review">7F6274BC</paraID>
      <start xmlns="http://schemas.wps.cn/vas-ai-hub/contract-review">7</start>
      <end xmlns="http://schemas.wps.cn/vas-ai-hub/contract-review">8</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1686ae-4107-4783-b2c5-809228aec250}">
  <ds:schemaRefs/>
</ds:datastoreItem>
</file>

<file path=docProps/app.xml><?xml version="1.0" encoding="utf-8"?>
<Properties xmlns="http://schemas.openxmlformats.org/officeDocument/2006/extended-properties" xmlns:vt="http://schemas.openxmlformats.org/officeDocument/2006/docPropsVTypes">
  <Pages>91</Pages>
  <Words>7323</Words>
  <Characters>7523</Characters>
  <TotalTime>94</TotalTime>
  <ScaleCrop>false</ScaleCrop>
  <LinksUpToDate>false</LinksUpToDate>
  <CharactersWithSpaces>7940</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2025-06-05T06:58:00Z</dcterms:created>
  <dc:creator>PC</dc:creator>
  <cp:lastModifiedBy>肉晴晴</cp:lastModifiedBy>
  <dcterms:modified xsi:type="dcterms:W3CDTF">2026-02-28T03:42:46Z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2025-06-04T14:59:33Z</vt:filetime>
  </property>
  <property fmtid="{D5CDD505-2E9C-101B-9397-08002B2CF9AE}" pid="4" name="KSOTemplateDocerSaveRecord">
    <vt:lpwstr>eyJoZGlkIjoiZjljY2Q5YjI3OWFkZTE2NWRhMGM2ZGM5YTNhOGIwODAiLCJ1c2VySWQiOiIxODA0ODA0MjUzIn0=</vt:lpwstr>
  </property>
  <property fmtid="{D5CDD505-2E9C-101B-9397-08002B2CF9AE}" pid="5" name="KSOProductBuildVer">
    <vt:lpwstr>2052-12.1.0.25225</vt:lpwstr>
  </property>
  <property fmtid="{D5CDD505-2E9C-101B-9397-08002B2CF9AE}" pid="6" name="ICV">
    <vt:lpwstr>3299F3F32B9945D58F5D8CDB14D542BD_13</vt:lpwstr>
  </property>
</Properties>
</file>