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EC5274">
      <w:pPr>
        <w:rPr>
          <w:color w:val="auto"/>
          <w:sz w:val="36"/>
          <w:szCs w:val="36"/>
        </w:rPr>
      </w:pPr>
    </w:p>
    <w:p w14:paraId="338EB8A2">
      <w:pPr>
        <w:rPr>
          <w:b/>
          <w:bCs/>
          <w:color w:val="auto"/>
          <w:sz w:val="36"/>
          <w:szCs w:val="36"/>
        </w:rPr>
      </w:pPr>
    </w:p>
    <w:p w14:paraId="146B09BB">
      <w:pPr>
        <w:rPr>
          <w:b/>
          <w:bCs/>
          <w:color w:val="auto"/>
          <w:sz w:val="36"/>
          <w:szCs w:val="36"/>
        </w:rPr>
      </w:pPr>
    </w:p>
    <w:p w14:paraId="2A8D3571">
      <w:pPr>
        <w:rPr>
          <w:b/>
          <w:bCs/>
          <w:color w:val="auto"/>
          <w:sz w:val="36"/>
          <w:szCs w:val="36"/>
        </w:rPr>
      </w:pPr>
    </w:p>
    <w:p w14:paraId="6113F32E">
      <w:pPr>
        <w:rPr>
          <w:b/>
          <w:bCs/>
          <w:color w:val="auto"/>
          <w:sz w:val="36"/>
          <w:szCs w:val="36"/>
        </w:rPr>
      </w:pPr>
    </w:p>
    <w:p w14:paraId="7FD074BA">
      <w:pPr>
        <w:adjustRightInd w:val="0"/>
        <w:snapToGrid w:val="0"/>
        <w:jc w:val="center"/>
        <w:rPr>
          <w:b/>
          <w:bCs/>
          <w:color w:val="auto"/>
          <w:sz w:val="72"/>
          <w:szCs w:val="72"/>
        </w:rPr>
      </w:pPr>
      <w:r>
        <w:rPr>
          <w:b/>
          <w:bCs/>
          <w:color w:val="auto"/>
          <w:sz w:val="72"/>
          <w:szCs w:val="72"/>
        </w:rPr>
        <w:t>建设项目环境影响报告表</w:t>
      </w:r>
    </w:p>
    <w:p w14:paraId="7A751039">
      <w:pPr>
        <w:adjustRightInd w:val="0"/>
        <w:snapToGrid w:val="0"/>
        <w:spacing w:before="192" w:beforeLines="80"/>
        <w:jc w:val="center"/>
        <w:rPr>
          <w:b/>
          <w:bCs/>
          <w:color w:val="auto"/>
          <w:sz w:val="48"/>
          <w:szCs w:val="48"/>
        </w:rPr>
      </w:pPr>
      <w:r>
        <w:rPr>
          <w:b/>
          <w:bCs/>
          <w:color w:val="auto"/>
          <w:sz w:val="48"/>
          <w:szCs w:val="48"/>
        </w:rPr>
        <w:t>（污染影响类）</w:t>
      </w:r>
    </w:p>
    <w:p w14:paraId="49DA27D6">
      <w:pPr>
        <w:rPr>
          <w:b/>
          <w:bCs/>
          <w:color w:val="auto"/>
          <w:sz w:val="52"/>
          <w:szCs w:val="52"/>
        </w:rPr>
      </w:pPr>
    </w:p>
    <w:p w14:paraId="62A15F1D">
      <w:pPr>
        <w:pStyle w:val="6"/>
        <w:rPr>
          <w:b/>
          <w:bCs/>
          <w:color w:val="auto"/>
        </w:rPr>
      </w:pPr>
    </w:p>
    <w:p w14:paraId="04618990">
      <w:pPr>
        <w:ind w:firstLine="1040"/>
        <w:rPr>
          <w:b/>
          <w:bCs/>
          <w:color w:val="auto"/>
          <w:sz w:val="44"/>
          <w:szCs w:val="44"/>
        </w:rPr>
      </w:pPr>
    </w:p>
    <w:p w14:paraId="10B0B71B">
      <w:pPr>
        <w:pStyle w:val="13"/>
        <w:rPr>
          <w:rFonts w:ascii="Times New Roman" w:hAnsi="Times New Roman" w:cs="Times New Roman"/>
          <w:b/>
          <w:bCs/>
          <w:color w:val="auto"/>
          <w:sz w:val="44"/>
          <w:szCs w:val="44"/>
        </w:rPr>
      </w:pPr>
    </w:p>
    <w:p w14:paraId="3C0D54FC">
      <w:pPr>
        <w:pStyle w:val="13"/>
        <w:rPr>
          <w:rFonts w:ascii="Times New Roman" w:hAnsi="Times New Roman" w:cs="Times New Roman"/>
          <w:b/>
          <w:bCs/>
          <w:color w:val="auto"/>
          <w:sz w:val="44"/>
          <w:szCs w:val="44"/>
        </w:rPr>
      </w:pPr>
    </w:p>
    <w:p w14:paraId="64D5C873">
      <w:pPr>
        <w:pStyle w:val="13"/>
        <w:rPr>
          <w:rFonts w:ascii="Times New Roman" w:hAnsi="Times New Roman" w:cs="Times New Roman"/>
          <w:b/>
          <w:bCs/>
          <w:color w:val="auto"/>
          <w:sz w:val="44"/>
          <w:szCs w:val="44"/>
        </w:rPr>
      </w:pPr>
    </w:p>
    <w:p w14:paraId="03F31555">
      <w:pPr>
        <w:rPr>
          <w:b/>
          <w:bCs/>
          <w:color w:val="auto"/>
          <w:sz w:val="44"/>
          <w:szCs w:val="44"/>
        </w:rPr>
      </w:pPr>
    </w:p>
    <w:p w14:paraId="4445698C">
      <w:pPr>
        <w:adjustRightInd w:val="0"/>
        <w:snapToGrid w:val="0"/>
        <w:spacing w:line="360" w:lineRule="auto"/>
        <w:ind w:firstLine="1084" w:firstLineChars="300"/>
        <w:rPr>
          <w:rFonts w:hint="eastAsia" w:ascii="宋体" w:hAnsi="宋体" w:cs="宋体"/>
          <w:b/>
          <w:bCs/>
          <w:color w:val="auto"/>
          <w:sz w:val="36"/>
          <w:szCs w:val="36"/>
          <w:u w:val="single"/>
        </w:rPr>
      </w:pPr>
      <w:r>
        <w:rPr>
          <w:rFonts w:hint="eastAsia" w:ascii="宋体" w:hAnsi="宋体" w:cs="宋体"/>
          <w:b/>
          <w:bCs/>
          <w:color w:val="auto"/>
          <w:sz w:val="36"/>
          <w:szCs w:val="36"/>
        </w:rPr>
        <w:t>项目名称：</w:t>
      </w:r>
      <w:r>
        <w:rPr>
          <w:rFonts w:hint="eastAsia" w:ascii="宋体" w:hAnsi="宋体" w:cs="宋体"/>
          <w:b/>
          <w:bCs/>
          <w:color w:val="auto"/>
          <w:sz w:val="36"/>
          <w:szCs w:val="36"/>
          <w:u w:val="single"/>
        </w:rPr>
        <w:t xml:space="preserve">内蒙古华泽装备制造有限公司     </w:t>
      </w:r>
    </w:p>
    <w:p w14:paraId="512A709D">
      <w:pPr>
        <w:tabs>
          <w:tab w:val="left" w:pos="4311"/>
        </w:tabs>
        <w:adjustRightInd w:val="0"/>
        <w:snapToGrid w:val="0"/>
        <w:spacing w:line="360" w:lineRule="auto"/>
        <w:ind w:firstLine="2891" w:firstLineChars="800"/>
        <w:rPr>
          <w:rFonts w:hint="eastAsia" w:ascii="宋体" w:hAnsi="宋体" w:cs="宋体"/>
          <w:b/>
          <w:bCs/>
          <w:color w:val="auto"/>
          <w:sz w:val="36"/>
          <w:szCs w:val="36"/>
          <w:u w:val="single"/>
        </w:rPr>
      </w:pPr>
      <w:r>
        <w:rPr>
          <w:rFonts w:hint="eastAsia" w:ascii="宋体" w:hAnsi="宋体" w:cs="宋体"/>
          <w:b/>
          <w:bCs/>
          <w:color w:val="auto"/>
          <w:sz w:val="36"/>
          <w:szCs w:val="36"/>
          <w:u w:val="single"/>
        </w:rPr>
        <w:t xml:space="preserve">金属再生资源综合利用项目       </w:t>
      </w:r>
    </w:p>
    <w:p w14:paraId="3E9E90B0">
      <w:pPr>
        <w:adjustRightInd w:val="0"/>
        <w:snapToGrid w:val="0"/>
        <w:spacing w:line="360" w:lineRule="auto"/>
        <w:ind w:firstLine="1084" w:firstLineChars="300"/>
        <w:jc w:val="left"/>
        <w:rPr>
          <w:rFonts w:hint="eastAsia" w:ascii="宋体" w:hAnsi="宋体" w:cs="宋体"/>
          <w:b/>
          <w:bCs/>
          <w:color w:val="auto"/>
          <w:sz w:val="36"/>
          <w:szCs w:val="36"/>
          <w:u w:val="single"/>
        </w:rPr>
      </w:pPr>
      <w:r>
        <w:rPr>
          <w:rFonts w:hint="eastAsia" w:ascii="宋体" w:hAnsi="宋体" w:cs="宋体"/>
          <w:b/>
          <w:bCs/>
          <w:color w:val="auto"/>
          <w:sz w:val="36"/>
          <w:szCs w:val="36"/>
        </w:rPr>
        <w:t>建设单位</w:t>
      </w:r>
      <w:r>
        <w:rPr>
          <w:rFonts w:hint="eastAsia" w:ascii="宋体" w:hAnsi="宋体" w:cs="宋体"/>
          <w:b/>
          <w:bCs/>
          <w:color w:val="auto"/>
          <w:w w:val="90"/>
          <w:sz w:val="36"/>
          <w:szCs w:val="36"/>
        </w:rPr>
        <w:t>(盖章)：</w:t>
      </w:r>
      <w:r>
        <w:rPr>
          <w:rFonts w:hint="eastAsia" w:ascii="宋体" w:hAnsi="宋体" w:cs="宋体"/>
          <w:b/>
          <w:bCs/>
          <w:color w:val="auto"/>
          <w:sz w:val="36"/>
          <w:szCs w:val="36"/>
          <w:u w:val="single"/>
        </w:rPr>
        <w:t>内蒙古华泽装备制造有限公司</w:t>
      </w:r>
    </w:p>
    <w:p w14:paraId="07EE3869">
      <w:pPr>
        <w:adjustRightInd w:val="0"/>
        <w:snapToGrid w:val="0"/>
        <w:spacing w:line="360" w:lineRule="auto"/>
        <w:ind w:firstLine="1084" w:firstLineChars="300"/>
        <w:rPr>
          <w:rFonts w:hint="eastAsia" w:ascii="宋体" w:hAnsi="宋体" w:cs="宋体"/>
          <w:b/>
          <w:bCs/>
          <w:color w:val="auto"/>
          <w:sz w:val="36"/>
          <w:szCs w:val="36"/>
        </w:rPr>
      </w:pPr>
      <w:r>
        <w:rPr>
          <w:rFonts w:hint="eastAsia" w:ascii="宋体" w:hAnsi="宋体" w:cs="宋体"/>
          <w:b/>
          <w:bCs/>
          <w:color w:val="auto"/>
          <w:sz w:val="36"/>
          <w:szCs w:val="36"/>
        </w:rPr>
        <w:t>编制日期：</w:t>
      </w:r>
      <w:bookmarkStart w:id="0" w:name="_Hlk57884087"/>
      <w:r>
        <w:rPr>
          <w:rFonts w:hint="eastAsia" w:ascii="宋体" w:hAnsi="宋体" w:cs="宋体"/>
          <w:b/>
          <w:bCs/>
          <w:color w:val="auto"/>
          <w:sz w:val="36"/>
          <w:szCs w:val="36"/>
          <w:u w:val="single"/>
        </w:rPr>
        <w:t xml:space="preserve">         2026年</w:t>
      </w:r>
      <w:r>
        <w:rPr>
          <w:rFonts w:hint="eastAsia" w:ascii="宋体" w:hAnsi="宋体" w:cs="宋体"/>
          <w:b/>
          <w:bCs/>
          <w:color w:val="auto"/>
          <w:sz w:val="36"/>
          <w:szCs w:val="36"/>
          <w:u w:val="single"/>
          <w:lang w:val="en-US" w:eastAsia="zh-CN"/>
        </w:rPr>
        <w:t>5</w:t>
      </w:r>
      <w:r>
        <w:rPr>
          <w:rFonts w:hint="eastAsia" w:ascii="宋体" w:hAnsi="宋体" w:cs="宋体"/>
          <w:b/>
          <w:bCs/>
          <w:color w:val="auto"/>
          <w:sz w:val="36"/>
          <w:szCs w:val="36"/>
          <w:u w:val="single"/>
        </w:rPr>
        <w:t xml:space="preserve">月           </w:t>
      </w:r>
    </w:p>
    <w:bookmarkEnd w:id="0"/>
    <w:p w14:paraId="2CB8FC0A">
      <w:pPr>
        <w:adjustRightInd w:val="0"/>
        <w:snapToGrid w:val="0"/>
        <w:spacing w:line="288" w:lineRule="auto"/>
        <w:jc w:val="center"/>
        <w:rPr>
          <w:b/>
          <w:bCs/>
          <w:color w:val="auto"/>
          <w:sz w:val="36"/>
          <w:szCs w:val="36"/>
        </w:rPr>
      </w:pPr>
    </w:p>
    <w:p w14:paraId="10DDD9D9">
      <w:pPr>
        <w:pStyle w:val="6"/>
        <w:rPr>
          <w:b/>
          <w:bCs/>
          <w:color w:val="auto"/>
          <w:sz w:val="36"/>
          <w:szCs w:val="36"/>
        </w:rPr>
      </w:pPr>
    </w:p>
    <w:p w14:paraId="79A0D5D7">
      <w:pPr>
        <w:rPr>
          <w:b/>
          <w:bCs/>
          <w:color w:val="auto"/>
          <w:sz w:val="36"/>
          <w:szCs w:val="36"/>
        </w:rPr>
      </w:pPr>
    </w:p>
    <w:p w14:paraId="42C8B7F6">
      <w:pPr>
        <w:pStyle w:val="6"/>
        <w:rPr>
          <w:b/>
          <w:bCs/>
          <w:color w:val="auto"/>
        </w:rPr>
      </w:pPr>
    </w:p>
    <w:p w14:paraId="70230951">
      <w:pPr>
        <w:pStyle w:val="24"/>
        <w:ind w:left="480"/>
        <w:rPr>
          <w:b/>
          <w:bCs/>
          <w:color w:val="auto"/>
        </w:rPr>
      </w:pPr>
    </w:p>
    <w:p w14:paraId="5998BB70">
      <w:pPr>
        <w:adjustRightInd w:val="0"/>
        <w:snapToGrid w:val="0"/>
        <w:spacing w:line="288" w:lineRule="auto"/>
        <w:jc w:val="center"/>
        <w:rPr>
          <w:b/>
          <w:bCs/>
          <w:color w:val="auto"/>
          <w:sz w:val="36"/>
          <w:szCs w:val="36"/>
        </w:rPr>
      </w:pPr>
    </w:p>
    <w:p w14:paraId="7568E4E3">
      <w:pPr>
        <w:adjustRightInd w:val="0"/>
        <w:snapToGrid w:val="0"/>
        <w:spacing w:line="288" w:lineRule="auto"/>
        <w:jc w:val="center"/>
        <w:rPr>
          <w:b/>
          <w:bCs/>
          <w:color w:val="auto"/>
          <w:sz w:val="36"/>
          <w:szCs w:val="36"/>
        </w:rPr>
      </w:pPr>
      <w:r>
        <w:rPr>
          <w:b/>
          <w:bCs/>
          <w:color w:val="auto"/>
          <w:sz w:val="36"/>
          <w:szCs w:val="36"/>
        </w:rPr>
        <w:t>中华人民共和国生态环境部制</w:t>
      </w:r>
    </w:p>
    <w:p w14:paraId="6CF3E62F">
      <w:pPr>
        <w:adjustRightInd w:val="0"/>
        <w:snapToGrid w:val="0"/>
        <w:spacing w:line="288" w:lineRule="auto"/>
        <w:ind w:firstLine="1040"/>
        <w:rPr>
          <w:b/>
          <w:bCs/>
          <w:color w:val="auto"/>
          <w:sz w:val="36"/>
          <w:szCs w:val="36"/>
        </w:rPr>
        <w:sectPr>
          <w:headerReference r:id="rId5" w:type="default"/>
          <w:footerReference r:id="rId6" w:type="default"/>
          <w:footerReference r:id="rId7" w:type="even"/>
          <w:pgSz w:w="11906" w:h="16838"/>
          <w:pgMar w:top="1417" w:right="1417" w:bottom="1417" w:left="1417" w:header="851" w:footer="1077" w:gutter="0"/>
          <w:pgBorders>
            <w:top w:val="none" w:sz="0" w:space="0"/>
            <w:left w:val="none" w:sz="0" w:space="0"/>
            <w:bottom w:val="none" w:sz="0" w:space="0"/>
            <w:right w:val="none" w:sz="0" w:space="0"/>
          </w:pgBorders>
          <w:pgNumType w:start="3"/>
          <w:cols w:space="0" w:num="1"/>
          <w:docGrid w:linePitch="312" w:charSpace="0"/>
        </w:sectPr>
      </w:pPr>
    </w:p>
    <w:p w14:paraId="23AE6D32">
      <w:pPr>
        <w:pStyle w:val="21"/>
        <w:jc w:val="center"/>
        <w:outlineLvl w:val="0"/>
        <w:rPr>
          <w:rFonts w:ascii="Times New Roman" w:hAnsi="Times New Roman"/>
          <w:b/>
          <w:bCs/>
          <w:snapToGrid w:val="0"/>
          <w:color w:val="auto"/>
          <w:sz w:val="30"/>
          <w:szCs w:val="30"/>
        </w:rPr>
      </w:pPr>
      <w:r>
        <w:rPr>
          <w:rFonts w:ascii="Times New Roman" w:hAnsi="Times New Roman"/>
          <w:b/>
          <w:bCs/>
          <w:snapToGrid w:val="0"/>
          <w:color w:val="auto"/>
          <w:sz w:val="30"/>
          <w:szCs w:val="30"/>
        </w:rPr>
        <w:t>一、建设项目基本情况</w:t>
      </w:r>
    </w:p>
    <w:tbl>
      <w:tblPr>
        <w:tblStyle w:val="25"/>
        <w:tblW w:w="903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225"/>
        <w:gridCol w:w="2957"/>
        <w:gridCol w:w="2069"/>
        <w:gridCol w:w="2782"/>
      </w:tblGrid>
      <w:tr w14:paraId="49E6A2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25" w:type="dxa"/>
            <w:tcMar>
              <w:top w:w="16" w:type="dxa"/>
              <w:left w:w="16" w:type="dxa"/>
              <w:right w:w="16" w:type="dxa"/>
            </w:tcMar>
            <w:vAlign w:val="center"/>
          </w:tcPr>
          <w:p w14:paraId="66C87EFD">
            <w:pPr>
              <w:adjustRightInd w:val="0"/>
              <w:snapToGrid w:val="0"/>
              <w:jc w:val="center"/>
              <w:rPr>
                <w:color w:val="auto"/>
              </w:rPr>
            </w:pPr>
            <w:r>
              <w:rPr>
                <w:color w:val="auto"/>
              </w:rPr>
              <w:t>建设项目名称</w:t>
            </w:r>
          </w:p>
        </w:tc>
        <w:tc>
          <w:tcPr>
            <w:tcW w:w="7808" w:type="dxa"/>
            <w:gridSpan w:val="3"/>
            <w:vAlign w:val="center"/>
          </w:tcPr>
          <w:p w14:paraId="3D0E45FF">
            <w:pPr>
              <w:adjustRightInd w:val="0"/>
              <w:snapToGrid w:val="0"/>
              <w:jc w:val="center"/>
              <w:rPr>
                <w:color w:val="auto"/>
              </w:rPr>
            </w:pPr>
            <w:r>
              <w:rPr>
                <w:rFonts w:hint="eastAsia"/>
                <w:color w:val="auto"/>
              </w:rPr>
              <w:t>内蒙古华泽装备制造有限公司金属再生资源综合利用项目</w:t>
            </w:r>
          </w:p>
        </w:tc>
      </w:tr>
      <w:tr w14:paraId="4034B4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25" w:type="dxa"/>
            <w:tcMar>
              <w:top w:w="16" w:type="dxa"/>
              <w:left w:w="16" w:type="dxa"/>
              <w:right w:w="16" w:type="dxa"/>
            </w:tcMar>
            <w:vAlign w:val="center"/>
          </w:tcPr>
          <w:p w14:paraId="7C55B2E6">
            <w:pPr>
              <w:adjustRightInd w:val="0"/>
              <w:snapToGrid w:val="0"/>
              <w:jc w:val="center"/>
              <w:rPr>
                <w:color w:val="auto"/>
              </w:rPr>
            </w:pPr>
            <w:r>
              <w:rPr>
                <w:color w:val="auto"/>
              </w:rPr>
              <w:t>项目代码</w:t>
            </w:r>
          </w:p>
        </w:tc>
        <w:tc>
          <w:tcPr>
            <w:tcW w:w="7808" w:type="dxa"/>
            <w:gridSpan w:val="3"/>
            <w:vAlign w:val="center"/>
          </w:tcPr>
          <w:p w14:paraId="14D2BF90">
            <w:pPr>
              <w:adjustRightInd w:val="0"/>
              <w:snapToGrid w:val="0"/>
              <w:jc w:val="center"/>
              <w:rPr>
                <w:color w:val="auto"/>
              </w:rPr>
            </w:pPr>
            <w:r>
              <w:rPr>
                <w:color w:val="auto"/>
              </w:rPr>
              <w:t>2307-150624-04-01-507613</w:t>
            </w:r>
          </w:p>
        </w:tc>
      </w:tr>
      <w:tr w14:paraId="3582EA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25" w:type="dxa"/>
            <w:tcMar>
              <w:top w:w="16" w:type="dxa"/>
              <w:left w:w="16" w:type="dxa"/>
              <w:right w:w="16" w:type="dxa"/>
            </w:tcMar>
            <w:vAlign w:val="center"/>
          </w:tcPr>
          <w:p w14:paraId="47F3152B">
            <w:pPr>
              <w:adjustRightInd w:val="0"/>
              <w:snapToGrid w:val="0"/>
              <w:jc w:val="center"/>
              <w:rPr>
                <w:color w:val="auto"/>
                <w:highlight w:val="yellow"/>
              </w:rPr>
            </w:pPr>
            <w:r>
              <w:rPr>
                <w:color w:val="auto"/>
              </w:rPr>
              <w:t>建设单位联系人</w:t>
            </w:r>
          </w:p>
        </w:tc>
        <w:tc>
          <w:tcPr>
            <w:tcW w:w="2957" w:type="dxa"/>
            <w:vAlign w:val="center"/>
          </w:tcPr>
          <w:p w14:paraId="617D6A51">
            <w:pPr>
              <w:adjustRightInd w:val="0"/>
              <w:snapToGrid w:val="0"/>
              <w:jc w:val="center"/>
              <w:rPr>
                <w:color w:val="auto"/>
                <w:highlight w:val="yellow"/>
              </w:rPr>
            </w:pPr>
            <w:r>
              <w:rPr>
                <w:rFonts w:hint="eastAsia"/>
                <w:color w:val="auto"/>
              </w:rPr>
              <w:t>党树茂</w:t>
            </w:r>
          </w:p>
        </w:tc>
        <w:tc>
          <w:tcPr>
            <w:tcW w:w="2069" w:type="dxa"/>
            <w:vAlign w:val="center"/>
          </w:tcPr>
          <w:p w14:paraId="3C1DE41B">
            <w:pPr>
              <w:adjustRightInd w:val="0"/>
              <w:snapToGrid w:val="0"/>
              <w:jc w:val="center"/>
              <w:rPr>
                <w:color w:val="auto"/>
                <w:highlight w:val="yellow"/>
              </w:rPr>
            </w:pPr>
            <w:r>
              <w:rPr>
                <w:color w:val="auto"/>
              </w:rPr>
              <w:t>联系方式</w:t>
            </w:r>
          </w:p>
        </w:tc>
        <w:tc>
          <w:tcPr>
            <w:tcW w:w="2782" w:type="dxa"/>
            <w:vAlign w:val="center"/>
          </w:tcPr>
          <w:p w14:paraId="4EBEB917">
            <w:pPr>
              <w:adjustRightInd w:val="0"/>
              <w:snapToGrid w:val="0"/>
              <w:jc w:val="center"/>
              <w:rPr>
                <w:color w:val="auto"/>
                <w:highlight w:val="yellow"/>
              </w:rPr>
            </w:pPr>
            <w:r>
              <w:rPr>
                <w:rFonts w:hint="eastAsia"/>
                <w:color w:val="auto"/>
              </w:rPr>
              <w:t>18704739988</w:t>
            </w:r>
          </w:p>
        </w:tc>
      </w:tr>
      <w:tr w14:paraId="1A8E6F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25" w:type="dxa"/>
            <w:tcMar>
              <w:top w:w="16" w:type="dxa"/>
              <w:left w:w="16" w:type="dxa"/>
              <w:right w:w="16" w:type="dxa"/>
            </w:tcMar>
            <w:vAlign w:val="center"/>
          </w:tcPr>
          <w:p w14:paraId="294763A1">
            <w:pPr>
              <w:adjustRightInd w:val="0"/>
              <w:snapToGrid w:val="0"/>
              <w:jc w:val="center"/>
              <w:rPr>
                <w:color w:val="auto"/>
              </w:rPr>
            </w:pPr>
            <w:r>
              <w:rPr>
                <w:color w:val="auto"/>
              </w:rPr>
              <w:t>建设地点</w:t>
            </w:r>
          </w:p>
        </w:tc>
        <w:tc>
          <w:tcPr>
            <w:tcW w:w="7808" w:type="dxa"/>
            <w:gridSpan w:val="3"/>
            <w:vAlign w:val="center"/>
          </w:tcPr>
          <w:p w14:paraId="737AB8D0">
            <w:pPr>
              <w:widowControl/>
              <w:jc w:val="center"/>
              <w:rPr>
                <w:color w:val="auto"/>
              </w:rPr>
            </w:pPr>
            <w:r>
              <w:rPr>
                <w:rFonts w:hint="eastAsia"/>
                <w:color w:val="auto"/>
              </w:rPr>
              <w:t>内蒙古自治区鄂尔多斯市鄂托克经济开发区蒙西产业园</w:t>
            </w:r>
          </w:p>
        </w:tc>
      </w:tr>
      <w:tr w14:paraId="331C8E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25" w:type="dxa"/>
            <w:tcMar>
              <w:top w:w="16" w:type="dxa"/>
              <w:left w:w="16" w:type="dxa"/>
              <w:right w:w="16" w:type="dxa"/>
            </w:tcMar>
            <w:vAlign w:val="center"/>
          </w:tcPr>
          <w:p w14:paraId="496C26F4">
            <w:pPr>
              <w:adjustRightInd w:val="0"/>
              <w:snapToGrid w:val="0"/>
              <w:jc w:val="center"/>
              <w:rPr>
                <w:color w:val="auto"/>
              </w:rPr>
            </w:pPr>
            <w:r>
              <w:rPr>
                <w:color w:val="auto"/>
              </w:rPr>
              <w:t>地理坐标</w:t>
            </w:r>
          </w:p>
        </w:tc>
        <w:tc>
          <w:tcPr>
            <w:tcW w:w="7808" w:type="dxa"/>
            <w:gridSpan w:val="3"/>
            <w:vAlign w:val="center"/>
          </w:tcPr>
          <w:p w14:paraId="375A6AF3">
            <w:pPr>
              <w:jc w:val="center"/>
              <w:rPr>
                <w:color w:val="auto"/>
              </w:rPr>
            </w:pPr>
            <w:r>
              <w:rPr>
                <w:color w:val="auto"/>
              </w:rPr>
              <w:t>（</w:t>
            </w:r>
            <w:r>
              <w:rPr>
                <w:color w:val="auto"/>
                <w:u w:val="single"/>
              </w:rPr>
              <w:t>1</w:t>
            </w:r>
            <w:r>
              <w:rPr>
                <w:rFonts w:hint="eastAsia"/>
                <w:color w:val="auto"/>
                <w:u w:val="single"/>
              </w:rPr>
              <w:t>06</w:t>
            </w:r>
            <w:r>
              <w:rPr>
                <w:color w:val="auto"/>
              </w:rPr>
              <w:t>度</w:t>
            </w:r>
            <w:r>
              <w:rPr>
                <w:rFonts w:hint="eastAsia"/>
                <w:color w:val="auto"/>
                <w:u w:val="single"/>
              </w:rPr>
              <w:t>45</w:t>
            </w:r>
            <w:r>
              <w:rPr>
                <w:color w:val="auto"/>
              </w:rPr>
              <w:t>分</w:t>
            </w:r>
            <w:r>
              <w:rPr>
                <w:rFonts w:hint="eastAsia"/>
                <w:color w:val="auto"/>
                <w:u w:val="single"/>
              </w:rPr>
              <w:t>59.602</w:t>
            </w:r>
            <w:r>
              <w:rPr>
                <w:color w:val="auto"/>
              </w:rPr>
              <w:t>秒，</w:t>
            </w:r>
            <w:r>
              <w:rPr>
                <w:rFonts w:hint="eastAsia"/>
                <w:color w:val="auto"/>
                <w:u w:val="single"/>
              </w:rPr>
              <w:t>39</w:t>
            </w:r>
            <w:r>
              <w:rPr>
                <w:color w:val="auto"/>
              </w:rPr>
              <w:t>度</w:t>
            </w:r>
            <w:r>
              <w:rPr>
                <w:rFonts w:hint="eastAsia"/>
                <w:color w:val="auto"/>
                <w:u w:val="single"/>
              </w:rPr>
              <w:t>53</w:t>
            </w:r>
            <w:r>
              <w:rPr>
                <w:color w:val="auto"/>
              </w:rPr>
              <w:t>分</w:t>
            </w:r>
            <w:r>
              <w:rPr>
                <w:rFonts w:hint="eastAsia"/>
                <w:color w:val="auto"/>
                <w:u w:val="single"/>
              </w:rPr>
              <w:t>0.744</w:t>
            </w:r>
            <w:r>
              <w:rPr>
                <w:color w:val="auto"/>
              </w:rPr>
              <w:t>秒）</w:t>
            </w:r>
          </w:p>
        </w:tc>
      </w:tr>
      <w:tr w14:paraId="4ACA2D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225" w:type="dxa"/>
            <w:tcMar>
              <w:top w:w="16" w:type="dxa"/>
              <w:left w:w="16" w:type="dxa"/>
              <w:right w:w="16" w:type="dxa"/>
            </w:tcMar>
            <w:vAlign w:val="center"/>
          </w:tcPr>
          <w:p w14:paraId="49AA70F5">
            <w:pPr>
              <w:adjustRightInd w:val="0"/>
              <w:snapToGrid w:val="0"/>
              <w:jc w:val="center"/>
              <w:rPr>
                <w:color w:val="auto"/>
              </w:rPr>
            </w:pPr>
            <w:r>
              <w:rPr>
                <w:color w:val="auto"/>
              </w:rPr>
              <w:t>国民经济</w:t>
            </w:r>
          </w:p>
          <w:p w14:paraId="1F3E86CE">
            <w:pPr>
              <w:adjustRightInd w:val="0"/>
              <w:snapToGrid w:val="0"/>
              <w:jc w:val="center"/>
              <w:rPr>
                <w:color w:val="auto"/>
              </w:rPr>
            </w:pPr>
            <w:r>
              <w:rPr>
                <w:color w:val="auto"/>
              </w:rPr>
              <w:t>行业类别</w:t>
            </w:r>
          </w:p>
        </w:tc>
        <w:tc>
          <w:tcPr>
            <w:tcW w:w="2957" w:type="dxa"/>
            <w:vAlign w:val="center"/>
          </w:tcPr>
          <w:p w14:paraId="2532A51A">
            <w:pPr>
              <w:adjustRightInd w:val="0"/>
              <w:snapToGrid w:val="0"/>
              <w:jc w:val="center"/>
              <w:rPr>
                <w:color w:val="auto"/>
              </w:rPr>
            </w:pPr>
            <w:r>
              <w:rPr>
                <w:rFonts w:hint="eastAsia"/>
                <w:color w:val="auto"/>
              </w:rPr>
              <w:t>C4210 金属废料和碎屑加工处理</w:t>
            </w:r>
          </w:p>
        </w:tc>
        <w:tc>
          <w:tcPr>
            <w:tcW w:w="2069" w:type="dxa"/>
            <w:vAlign w:val="center"/>
          </w:tcPr>
          <w:p w14:paraId="27E70FCD">
            <w:pPr>
              <w:adjustRightInd w:val="0"/>
              <w:snapToGrid w:val="0"/>
              <w:jc w:val="center"/>
              <w:rPr>
                <w:color w:val="auto"/>
              </w:rPr>
            </w:pPr>
            <w:bookmarkStart w:id="1" w:name="_Hlk49843745"/>
            <w:r>
              <w:rPr>
                <w:color w:val="auto"/>
              </w:rPr>
              <w:t>建设项目</w:t>
            </w:r>
          </w:p>
          <w:p w14:paraId="30A5A63B">
            <w:pPr>
              <w:adjustRightInd w:val="0"/>
              <w:snapToGrid w:val="0"/>
              <w:jc w:val="center"/>
              <w:rPr>
                <w:color w:val="auto"/>
              </w:rPr>
            </w:pPr>
            <w:r>
              <w:rPr>
                <w:color w:val="auto"/>
              </w:rPr>
              <w:t>行业类别</w:t>
            </w:r>
            <w:bookmarkEnd w:id="1"/>
          </w:p>
        </w:tc>
        <w:tc>
          <w:tcPr>
            <w:tcW w:w="2782" w:type="dxa"/>
            <w:vAlign w:val="center"/>
          </w:tcPr>
          <w:p w14:paraId="1963D255">
            <w:pPr>
              <w:adjustRightInd w:val="0"/>
              <w:snapToGrid w:val="0"/>
              <w:jc w:val="center"/>
              <w:rPr>
                <w:color w:val="auto"/>
              </w:rPr>
            </w:pPr>
            <w:r>
              <w:rPr>
                <w:rFonts w:hint="eastAsia" w:cs="宋体"/>
                <w:color w:val="auto"/>
              </w:rPr>
              <w:t>三十九、废弃资源综合利用业-85金属废料和碎屑加工处理421</w:t>
            </w:r>
          </w:p>
        </w:tc>
      </w:tr>
      <w:tr w14:paraId="122DDF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225" w:type="dxa"/>
            <w:tcMar>
              <w:top w:w="16" w:type="dxa"/>
              <w:left w:w="16" w:type="dxa"/>
              <w:right w:w="16" w:type="dxa"/>
            </w:tcMar>
            <w:vAlign w:val="center"/>
          </w:tcPr>
          <w:p w14:paraId="2E988F48">
            <w:pPr>
              <w:adjustRightInd w:val="0"/>
              <w:snapToGrid w:val="0"/>
              <w:jc w:val="center"/>
              <w:rPr>
                <w:color w:val="auto"/>
              </w:rPr>
            </w:pPr>
            <w:r>
              <w:rPr>
                <w:color w:val="auto"/>
              </w:rPr>
              <w:t>建设性质</w:t>
            </w:r>
          </w:p>
        </w:tc>
        <w:tc>
          <w:tcPr>
            <w:tcW w:w="2957" w:type="dxa"/>
            <w:vAlign w:val="center"/>
          </w:tcPr>
          <w:p w14:paraId="2C43D6F2">
            <w:pPr>
              <w:jc w:val="left"/>
              <w:rPr>
                <w:color w:val="auto"/>
              </w:rPr>
            </w:pPr>
            <w:r>
              <w:rPr>
                <w:rFonts w:hint="eastAsia" w:ascii="宋体" w:hAnsi="宋体" w:cs="宋体"/>
                <w:color w:val="auto"/>
              </w:rPr>
              <w:t>☑</w:t>
            </w:r>
            <w:r>
              <w:rPr>
                <w:color w:val="auto"/>
              </w:rPr>
              <w:t>新建（迁建）</w:t>
            </w:r>
          </w:p>
          <w:p w14:paraId="2C88C4F2">
            <w:pPr>
              <w:jc w:val="left"/>
              <w:rPr>
                <w:color w:val="auto"/>
              </w:rPr>
            </w:pPr>
            <w:r>
              <w:rPr>
                <w:rFonts w:hint="eastAsia" w:ascii="宋体" w:hAnsi="宋体" w:cs="宋体"/>
                <w:color w:val="auto"/>
              </w:rPr>
              <w:t>□</w:t>
            </w:r>
            <w:r>
              <w:rPr>
                <w:color w:val="auto"/>
              </w:rPr>
              <w:t>改建</w:t>
            </w:r>
          </w:p>
          <w:p w14:paraId="7EC901D9">
            <w:pPr>
              <w:jc w:val="left"/>
              <w:rPr>
                <w:color w:val="auto"/>
              </w:rPr>
            </w:pPr>
            <w:r>
              <w:rPr>
                <w:rFonts w:hint="eastAsia" w:ascii="宋体" w:hAnsi="宋体" w:cs="宋体"/>
                <w:color w:val="auto"/>
              </w:rPr>
              <w:t>□</w:t>
            </w:r>
            <w:r>
              <w:rPr>
                <w:color w:val="auto"/>
              </w:rPr>
              <w:t>扩建</w:t>
            </w:r>
          </w:p>
          <w:p w14:paraId="3DAED2F8">
            <w:pPr>
              <w:jc w:val="left"/>
              <w:rPr>
                <w:color w:val="auto"/>
              </w:rPr>
            </w:pPr>
            <w:r>
              <w:rPr>
                <w:rFonts w:hint="eastAsia" w:ascii="宋体" w:hAnsi="宋体" w:cs="宋体"/>
                <w:color w:val="auto"/>
              </w:rPr>
              <w:t>□</w:t>
            </w:r>
            <w:r>
              <w:rPr>
                <w:color w:val="auto"/>
              </w:rPr>
              <w:t>技术改造</w:t>
            </w:r>
          </w:p>
        </w:tc>
        <w:tc>
          <w:tcPr>
            <w:tcW w:w="2069" w:type="dxa"/>
            <w:vAlign w:val="center"/>
          </w:tcPr>
          <w:p w14:paraId="36221AAB">
            <w:pPr>
              <w:adjustRightInd w:val="0"/>
              <w:snapToGrid w:val="0"/>
              <w:jc w:val="center"/>
              <w:rPr>
                <w:color w:val="auto"/>
              </w:rPr>
            </w:pPr>
            <w:r>
              <w:rPr>
                <w:color w:val="auto"/>
              </w:rPr>
              <w:t>建设项目</w:t>
            </w:r>
          </w:p>
          <w:p w14:paraId="4842A9CC">
            <w:pPr>
              <w:adjustRightInd w:val="0"/>
              <w:snapToGrid w:val="0"/>
              <w:jc w:val="center"/>
              <w:rPr>
                <w:color w:val="auto"/>
              </w:rPr>
            </w:pPr>
            <w:r>
              <w:rPr>
                <w:color w:val="auto"/>
              </w:rPr>
              <w:t>申报情形</w:t>
            </w:r>
          </w:p>
        </w:tc>
        <w:tc>
          <w:tcPr>
            <w:tcW w:w="2782" w:type="dxa"/>
            <w:vAlign w:val="center"/>
          </w:tcPr>
          <w:p w14:paraId="5C45242B">
            <w:pPr>
              <w:jc w:val="left"/>
              <w:rPr>
                <w:color w:val="auto"/>
              </w:rPr>
            </w:pPr>
            <w:r>
              <w:rPr>
                <w:rFonts w:hint="eastAsia" w:ascii="宋体" w:hAnsi="宋体" w:cs="宋体"/>
                <w:color w:val="auto"/>
              </w:rPr>
              <w:t>☑</w:t>
            </w:r>
            <w:r>
              <w:rPr>
                <w:color w:val="auto"/>
              </w:rPr>
              <w:t>首次申报项目</w:t>
            </w:r>
          </w:p>
          <w:p w14:paraId="76F4EFEB">
            <w:pPr>
              <w:jc w:val="left"/>
              <w:rPr>
                <w:color w:val="auto"/>
              </w:rPr>
            </w:pPr>
            <w:r>
              <w:rPr>
                <w:rFonts w:hint="eastAsia" w:ascii="宋体" w:hAnsi="宋体" w:cs="宋体"/>
                <w:color w:val="auto"/>
              </w:rPr>
              <w:t>□</w:t>
            </w:r>
            <w:r>
              <w:rPr>
                <w:color w:val="auto"/>
              </w:rPr>
              <w:t>不予批准后再次申报项目</w:t>
            </w:r>
          </w:p>
          <w:p w14:paraId="37C23528">
            <w:pPr>
              <w:jc w:val="left"/>
              <w:rPr>
                <w:color w:val="auto"/>
              </w:rPr>
            </w:pPr>
            <w:r>
              <w:rPr>
                <w:rFonts w:hint="eastAsia" w:ascii="宋体" w:hAnsi="宋体" w:cs="宋体"/>
                <w:color w:val="auto"/>
              </w:rPr>
              <w:t>□</w:t>
            </w:r>
            <w:r>
              <w:rPr>
                <w:color w:val="auto"/>
              </w:rPr>
              <w:t>超五年重新审核项目</w:t>
            </w:r>
          </w:p>
          <w:p w14:paraId="32414BAE">
            <w:pPr>
              <w:jc w:val="left"/>
              <w:rPr>
                <w:color w:val="auto"/>
              </w:rPr>
            </w:pPr>
            <w:r>
              <w:rPr>
                <w:rFonts w:hint="eastAsia" w:ascii="宋体" w:hAnsi="宋体" w:cs="宋体"/>
                <w:color w:val="auto"/>
              </w:rPr>
              <w:t>□</w:t>
            </w:r>
            <w:r>
              <w:rPr>
                <w:color w:val="auto"/>
              </w:rPr>
              <w:t>重大变动重新报批项目</w:t>
            </w:r>
          </w:p>
        </w:tc>
      </w:tr>
      <w:tr w14:paraId="5A9F5E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225" w:type="dxa"/>
            <w:tcMar>
              <w:top w:w="16" w:type="dxa"/>
              <w:left w:w="16" w:type="dxa"/>
              <w:right w:w="16" w:type="dxa"/>
            </w:tcMar>
            <w:vAlign w:val="center"/>
          </w:tcPr>
          <w:p w14:paraId="709C1457">
            <w:pPr>
              <w:adjustRightInd w:val="0"/>
              <w:snapToGrid w:val="0"/>
              <w:jc w:val="center"/>
              <w:rPr>
                <w:color w:val="auto"/>
              </w:rPr>
            </w:pPr>
            <w:r>
              <w:rPr>
                <w:color w:val="auto"/>
              </w:rPr>
              <w:t>项目审批（核准/备案）部门（选填）</w:t>
            </w:r>
          </w:p>
        </w:tc>
        <w:tc>
          <w:tcPr>
            <w:tcW w:w="2957" w:type="dxa"/>
            <w:vAlign w:val="center"/>
          </w:tcPr>
          <w:p w14:paraId="0FB80BF2">
            <w:pPr>
              <w:adjustRightInd w:val="0"/>
              <w:snapToGrid w:val="0"/>
              <w:jc w:val="center"/>
              <w:rPr>
                <w:color w:val="auto"/>
              </w:rPr>
            </w:pPr>
            <w:r>
              <w:rPr>
                <w:color w:val="auto"/>
              </w:rPr>
              <w:t>鄂托克旗发展和改革委员会</w:t>
            </w:r>
          </w:p>
        </w:tc>
        <w:tc>
          <w:tcPr>
            <w:tcW w:w="2069" w:type="dxa"/>
            <w:vAlign w:val="center"/>
          </w:tcPr>
          <w:p w14:paraId="5735E4FB">
            <w:pPr>
              <w:adjustRightInd w:val="0"/>
              <w:snapToGrid w:val="0"/>
              <w:jc w:val="center"/>
              <w:rPr>
                <w:color w:val="auto"/>
              </w:rPr>
            </w:pPr>
            <w:r>
              <w:rPr>
                <w:color w:val="auto"/>
              </w:rPr>
              <w:t>项目审批（核准/</w:t>
            </w:r>
          </w:p>
          <w:p w14:paraId="44FDE76A">
            <w:pPr>
              <w:adjustRightInd w:val="0"/>
              <w:snapToGrid w:val="0"/>
              <w:jc w:val="center"/>
              <w:rPr>
                <w:color w:val="auto"/>
              </w:rPr>
            </w:pPr>
            <w:r>
              <w:rPr>
                <w:color w:val="auto"/>
              </w:rPr>
              <w:t>备案）文号（选填）</w:t>
            </w:r>
          </w:p>
        </w:tc>
        <w:tc>
          <w:tcPr>
            <w:tcW w:w="2782" w:type="dxa"/>
            <w:vAlign w:val="center"/>
          </w:tcPr>
          <w:p w14:paraId="11B29C6B">
            <w:pPr>
              <w:adjustRightInd w:val="0"/>
              <w:snapToGrid w:val="0"/>
              <w:jc w:val="center"/>
              <w:rPr>
                <w:color w:val="auto"/>
              </w:rPr>
            </w:pPr>
            <w:r>
              <w:rPr>
                <w:color w:val="auto"/>
              </w:rPr>
              <w:t>2307-150624-04-01-507613</w:t>
            </w:r>
          </w:p>
        </w:tc>
      </w:tr>
      <w:tr w14:paraId="7ECAFF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25" w:type="dxa"/>
            <w:tcMar>
              <w:top w:w="16" w:type="dxa"/>
              <w:left w:w="16" w:type="dxa"/>
              <w:right w:w="16" w:type="dxa"/>
            </w:tcMar>
            <w:vAlign w:val="center"/>
          </w:tcPr>
          <w:p w14:paraId="285C0AC4">
            <w:pPr>
              <w:adjustRightInd w:val="0"/>
              <w:snapToGrid w:val="0"/>
              <w:jc w:val="center"/>
              <w:rPr>
                <w:color w:val="auto"/>
              </w:rPr>
            </w:pPr>
            <w:r>
              <w:rPr>
                <w:color w:val="auto"/>
              </w:rPr>
              <w:t>总投资（万元）</w:t>
            </w:r>
          </w:p>
        </w:tc>
        <w:tc>
          <w:tcPr>
            <w:tcW w:w="2957" w:type="dxa"/>
            <w:vAlign w:val="center"/>
          </w:tcPr>
          <w:p w14:paraId="1D78F807">
            <w:pPr>
              <w:adjustRightInd w:val="0"/>
              <w:snapToGrid w:val="0"/>
              <w:jc w:val="center"/>
              <w:rPr>
                <w:color w:val="auto"/>
              </w:rPr>
            </w:pPr>
            <w:r>
              <w:rPr>
                <w:color w:val="auto"/>
              </w:rPr>
              <w:t>36585</w:t>
            </w:r>
          </w:p>
        </w:tc>
        <w:tc>
          <w:tcPr>
            <w:tcW w:w="2069" w:type="dxa"/>
            <w:tcMar>
              <w:top w:w="16" w:type="dxa"/>
              <w:left w:w="16" w:type="dxa"/>
              <w:right w:w="16" w:type="dxa"/>
            </w:tcMar>
            <w:vAlign w:val="center"/>
          </w:tcPr>
          <w:p w14:paraId="2EA14E37">
            <w:pPr>
              <w:adjustRightInd w:val="0"/>
              <w:snapToGrid w:val="0"/>
              <w:jc w:val="center"/>
              <w:rPr>
                <w:color w:val="auto"/>
              </w:rPr>
            </w:pPr>
            <w:r>
              <w:rPr>
                <w:color w:val="auto"/>
              </w:rPr>
              <w:t>环保投资（万元）</w:t>
            </w:r>
          </w:p>
        </w:tc>
        <w:tc>
          <w:tcPr>
            <w:tcW w:w="2782" w:type="dxa"/>
            <w:vAlign w:val="center"/>
          </w:tcPr>
          <w:p w14:paraId="3AF5B237">
            <w:pPr>
              <w:adjustRightInd w:val="0"/>
              <w:snapToGrid w:val="0"/>
              <w:jc w:val="center"/>
              <w:rPr>
                <w:color w:val="auto"/>
              </w:rPr>
            </w:pPr>
            <w:r>
              <w:rPr>
                <w:rFonts w:hint="eastAsia"/>
                <w:color w:val="auto"/>
              </w:rPr>
              <w:t>2</w:t>
            </w:r>
            <w:r>
              <w:rPr>
                <w:rFonts w:hint="eastAsia"/>
                <w:color w:val="auto"/>
                <w:lang w:val="en-US" w:eastAsia="zh-CN"/>
              </w:rPr>
              <w:t>0</w:t>
            </w:r>
            <w:r>
              <w:rPr>
                <w:rFonts w:hint="eastAsia"/>
                <w:color w:val="auto"/>
              </w:rPr>
              <w:t>1.5</w:t>
            </w:r>
          </w:p>
        </w:tc>
      </w:tr>
      <w:tr w14:paraId="4CBF08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25" w:type="dxa"/>
            <w:tcMar>
              <w:top w:w="16" w:type="dxa"/>
              <w:left w:w="16" w:type="dxa"/>
              <w:right w:w="16" w:type="dxa"/>
            </w:tcMar>
            <w:vAlign w:val="center"/>
          </w:tcPr>
          <w:p w14:paraId="1C484BF5">
            <w:pPr>
              <w:adjustRightInd w:val="0"/>
              <w:snapToGrid w:val="0"/>
              <w:jc w:val="center"/>
              <w:rPr>
                <w:color w:val="auto"/>
              </w:rPr>
            </w:pPr>
            <w:r>
              <w:rPr>
                <w:color w:val="auto"/>
              </w:rPr>
              <w:t>环保投资占比（%）</w:t>
            </w:r>
          </w:p>
        </w:tc>
        <w:tc>
          <w:tcPr>
            <w:tcW w:w="2957" w:type="dxa"/>
            <w:vAlign w:val="center"/>
          </w:tcPr>
          <w:p w14:paraId="033ECB13">
            <w:pPr>
              <w:adjustRightInd w:val="0"/>
              <w:snapToGrid w:val="0"/>
              <w:jc w:val="center"/>
              <w:rPr>
                <w:rFonts w:hint="default" w:eastAsia="宋体"/>
                <w:color w:val="auto"/>
                <w:lang w:val="en-US" w:eastAsia="zh-CN"/>
              </w:rPr>
            </w:pPr>
            <w:r>
              <w:rPr>
                <w:rFonts w:hint="eastAsia"/>
                <w:color w:val="auto"/>
              </w:rPr>
              <w:t>0.</w:t>
            </w:r>
            <w:r>
              <w:rPr>
                <w:rFonts w:hint="eastAsia"/>
                <w:color w:val="auto"/>
                <w:lang w:val="en-US" w:eastAsia="zh-CN"/>
              </w:rPr>
              <w:t>55</w:t>
            </w:r>
          </w:p>
        </w:tc>
        <w:tc>
          <w:tcPr>
            <w:tcW w:w="2069" w:type="dxa"/>
            <w:tcMar>
              <w:top w:w="16" w:type="dxa"/>
              <w:left w:w="16" w:type="dxa"/>
              <w:right w:w="16" w:type="dxa"/>
            </w:tcMar>
            <w:vAlign w:val="center"/>
          </w:tcPr>
          <w:p w14:paraId="5A73E5A7">
            <w:pPr>
              <w:adjustRightInd w:val="0"/>
              <w:snapToGrid w:val="0"/>
              <w:jc w:val="center"/>
              <w:rPr>
                <w:color w:val="auto"/>
              </w:rPr>
            </w:pPr>
            <w:r>
              <w:rPr>
                <w:color w:val="auto"/>
              </w:rPr>
              <w:t>施工工期</w:t>
            </w:r>
          </w:p>
        </w:tc>
        <w:tc>
          <w:tcPr>
            <w:tcW w:w="2782" w:type="dxa"/>
            <w:vAlign w:val="center"/>
          </w:tcPr>
          <w:p w14:paraId="7C4E113C">
            <w:pPr>
              <w:adjustRightInd w:val="0"/>
              <w:snapToGrid w:val="0"/>
              <w:jc w:val="center"/>
              <w:rPr>
                <w:color w:val="auto"/>
              </w:rPr>
            </w:pPr>
            <w:r>
              <w:rPr>
                <w:rFonts w:hint="eastAsia"/>
                <w:color w:val="auto"/>
              </w:rPr>
              <w:t>12个月</w:t>
            </w:r>
          </w:p>
        </w:tc>
      </w:tr>
      <w:tr w14:paraId="267BE3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25" w:type="dxa"/>
            <w:tcMar>
              <w:top w:w="16" w:type="dxa"/>
              <w:left w:w="16" w:type="dxa"/>
              <w:right w:w="16" w:type="dxa"/>
            </w:tcMar>
            <w:vAlign w:val="center"/>
          </w:tcPr>
          <w:p w14:paraId="39FB2366">
            <w:pPr>
              <w:adjustRightInd w:val="0"/>
              <w:snapToGrid w:val="0"/>
              <w:jc w:val="center"/>
              <w:rPr>
                <w:color w:val="auto"/>
              </w:rPr>
            </w:pPr>
            <w:r>
              <w:rPr>
                <w:color w:val="auto"/>
              </w:rPr>
              <w:t>是否开工建设</w:t>
            </w:r>
          </w:p>
        </w:tc>
        <w:tc>
          <w:tcPr>
            <w:tcW w:w="2957" w:type="dxa"/>
            <w:vAlign w:val="center"/>
          </w:tcPr>
          <w:p w14:paraId="777CDA7B">
            <w:pPr>
              <w:adjustRightInd w:val="0"/>
              <w:snapToGrid w:val="0"/>
              <w:rPr>
                <w:color w:val="auto"/>
              </w:rPr>
            </w:pPr>
            <w:r>
              <w:rPr>
                <w:rFonts w:hint="eastAsia" w:ascii="宋体" w:hAnsi="宋体" w:cs="宋体"/>
                <w:color w:val="auto"/>
              </w:rPr>
              <w:t>☑</w:t>
            </w:r>
            <w:r>
              <w:rPr>
                <w:color w:val="auto"/>
              </w:rPr>
              <w:t>否</w:t>
            </w:r>
          </w:p>
          <w:p w14:paraId="3A51CD49">
            <w:pPr>
              <w:adjustRightInd w:val="0"/>
              <w:snapToGrid w:val="0"/>
              <w:ind w:left="720" w:hanging="720" w:hangingChars="300"/>
              <w:rPr>
                <w:color w:val="auto"/>
              </w:rPr>
            </w:pPr>
            <w:r>
              <w:rPr>
                <w:rFonts w:hint="eastAsia" w:ascii="宋体" w:hAnsi="宋体" w:cs="宋体"/>
                <w:color w:val="auto"/>
              </w:rPr>
              <w:t>□</w:t>
            </w:r>
            <w:r>
              <w:rPr>
                <w:color w:val="auto"/>
              </w:rPr>
              <w:t>是：</w:t>
            </w:r>
            <w:r>
              <w:rPr>
                <w:rFonts w:hint="eastAsia"/>
                <w:color w:val="auto"/>
                <w:u w:val="single"/>
              </w:rPr>
              <w:t xml:space="preserve">              </w:t>
            </w:r>
          </w:p>
        </w:tc>
        <w:tc>
          <w:tcPr>
            <w:tcW w:w="2069" w:type="dxa"/>
            <w:tcMar>
              <w:top w:w="16" w:type="dxa"/>
              <w:left w:w="16" w:type="dxa"/>
              <w:right w:w="16" w:type="dxa"/>
            </w:tcMar>
            <w:vAlign w:val="center"/>
          </w:tcPr>
          <w:p w14:paraId="025DC0E8">
            <w:pPr>
              <w:adjustRightInd w:val="0"/>
              <w:snapToGrid w:val="0"/>
              <w:jc w:val="center"/>
              <w:rPr>
                <w:color w:val="auto"/>
                <w:spacing w:val="-6"/>
              </w:rPr>
            </w:pPr>
            <w:r>
              <w:rPr>
                <w:color w:val="auto"/>
                <w:spacing w:val="-6"/>
              </w:rPr>
              <w:t>用地（用海）</w:t>
            </w:r>
          </w:p>
          <w:p w14:paraId="5B1A8C35">
            <w:pPr>
              <w:adjustRightInd w:val="0"/>
              <w:snapToGrid w:val="0"/>
              <w:jc w:val="center"/>
              <w:rPr>
                <w:color w:val="auto"/>
              </w:rPr>
            </w:pPr>
            <w:r>
              <w:rPr>
                <w:color w:val="auto"/>
                <w:spacing w:val="-6"/>
              </w:rPr>
              <w:t>面积（m</w:t>
            </w:r>
            <w:r>
              <w:rPr>
                <w:color w:val="auto"/>
                <w:spacing w:val="-6"/>
                <w:vertAlign w:val="superscript"/>
              </w:rPr>
              <w:t>2</w:t>
            </w:r>
            <w:r>
              <w:rPr>
                <w:color w:val="auto"/>
                <w:spacing w:val="-6"/>
              </w:rPr>
              <w:t>）</w:t>
            </w:r>
          </w:p>
        </w:tc>
        <w:tc>
          <w:tcPr>
            <w:tcW w:w="2782" w:type="dxa"/>
            <w:vAlign w:val="center"/>
          </w:tcPr>
          <w:p w14:paraId="12731726">
            <w:pPr>
              <w:adjustRightInd w:val="0"/>
              <w:snapToGrid w:val="0"/>
              <w:jc w:val="center"/>
              <w:rPr>
                <w:color w:val="auto"/>
              </w:rPr>
            </w:pPr>
            <w:r>
              <w:rPr>
                <w:rFonts w:hint="eastAsia"/>
                <w:color w:val="auto"/>
              </w:rPr>
              <w:t>97948.10</w:t>
            </w:r>
          </w:p>
        </w:tc>
      </w:tr>
      <w:tr w14:paraId="4229A0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40" w:hRule="atLeast"/>
          <w:jc w:val="center"/>
        </w:trPr>
        <w:tc>
          <w:tcPr>
            <w:tcW w:w="1225" w:type="dxa"/>
            <w:vAlign w:val="center"/>
          </w:tcPr>
          <w:p w14:paraId="09BE12BF">
            <w:pPr>
              <w:autoSpaceDE w:val="0"/>
              <w:autoSpaceDN w:val="0"/>
              <w:adjustRightInd w:val="0"/>
              <w:snapToGrid w:val="0"/>
              <w:jc w:val="center"/>
              <w:rPr>
                <w:color w:val="auto"/>
                <w:kern w:val="0"/>
              </w:rPr>
            </w:pPr>
            <w:r>
              <w:rPr>
                <w:color w:val="auto"/>
                <w:kern w:val="0"/>
              </w:rPr>
              <w:t>专项评价设置情况</w:t>
            </w:r>
          </w:p>
        </w:tc>
        <w:tc>
          <w:tcPr>
            <w:tcW w:w="7808" w:type="dxa"/>
            <w:gridSpan w:val="3"/>
            <w:vAlign w:val="center"/>
          </w:tcPr>
          <w:p w14:paraId="4C73464C">
            <w:pPr>
              <w:widowControl/>
              <w:spacing w:line="500" w:lineRule="exact"/>
              <w:ind w:firstLine="480" w:firstLineChars="200"/>
              <w:jc w:val="left"/>
              <w:rPr>
                <w:color w:val="auto"/>
              </w:rPr>
            </w:pPr>
            <w:r>
              <w:rPr>
                <w:rFonts w:hint="eastAsia" w:ascii="宋体" w:hAnsi="宋体" w:cs="宋体"/>
                <w:color w:val="auto"/>
                <w:kern w:val="0"/>
              </w:rPr>
              <w:t>根据建设项目环境影响报告表编制技术指南（污染影响类），本项目不开展专项评价。</w:t>
            </w:r>
          </w:p>
          <w:p w14:paraId="7D32804C">
            <w:pPr>
              <w:widowControl/>
              <w:spacing w:line="500" w:lineRule="exact"/>
              <w:jc w:val="center"/>
              <w:rPr>
                <w:color w:val="auto"/>
              </w:rPr>
            </w:pPr>
            <w:r>
              <w:rPr>
                <w:rFonts w:hint="eastAsia" w:ascii="宋体" w:hAnsi="宋体" w:cs="宋体"/>
                <w:b/>
                <w:bCs/>
                <w:color w:val="auto"/>
                <w:kern w:val="0"/>
              </w:rPr>
              <w:t>表</w:t>
            </w:r>
            <w:r>
              <w:rPr>
                <w:b/>
                <w:bCs/>
                <w:color w:val="auto"/>
                <w:kern w:val="0"/>
              </w:rPr>
              <w:t xml:space="preserve">1-1 </w:t>
            </w:r>
            <w:r>
              <w:rPr>
                <w:rFonts w:hint="eastAsia"/>
                <w:b/>
                <w:bCs/>
                <w:color w:val="auto"/>
                <w:kern w:val="0"/>
              </w:rPr>
              <w:t xml:space="preserve"> </w:t>
            </w:r>
            <w:r>
              <w:rPr>
                <w:rFonts w:hint="eastAsia" w:ascii="宋体" w:hAnsi="宋体" w:cs="宋体"/>
                <w:b/>
                <w:bCs/>
                <w:color w:val="auto"/>
                <w:kern w:val="0"/>
              </w:rPr>
              <w:t>项目专项评价设置情况判定表</w:t>
            </w:r>
          </w:p>
          <w:tbl>
            <w:tblPr>
              <w:tblStyle w:val="26"/>
              <w:tblW w:w="50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4136"/>
              <w:gridCol w:w="2432"/>
            </w:tblGrid>
            <w:tr w14:paraId="00DE6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Align w:val="center"/>
                </w:tcPr>
                <w:p w14:paraId="33715ACE">
                  <w:pPr>
                    <w:autoSpaceDE w:val="0"/>
                    <w:autoSpaceDN w:val="0"/>
                    <w:adjustRightInd w:val="0"/>
                    <w:snapToGrid w:val="0"/>
                    <w:spacing w:line="320" w:lineRule="exact"/>
                    <w:jc w:val="center"/>
                    <w:rPr>
                      <w:color w:val="auto"/>
                      <w:kern w:val="0"/>
                      <w:sz w:val="21"/>
                      <w:szCs w:val="21"/>
                    </w:rPr>
                  </w:pPr>
                  <w:r>
                    <w:rPr>
                      <w:color w:val="auto"/>
                      <w:kern w:val="0"/>
                      <w:sz w:val="21"/>
                      <w:szCs w:val="21"/>
                    </w:rPr>
                    <w:t>专项评价的类别</w:t>
                  </w:r>
                </w:p>
              </w:tc>
              <w:tc>
                <w:tcPr>
                  <w:tcW w:w="4095" w:type="dxa"/>
                  <w:vAlign w:val="center"/>
                </w:tcPr>
                <w:p w14:paraId="06D8CFB0">
                  <w:pPr>
                    <w:autoSpaceDE w:val="0"/>
                    <w:autoSpaceDN w:val="0"/>
                    <w:adjustRightInd w:val="0"/>
                    <w:snapToGrid w:val="0"/>
                    <w:spacing w:line="320" w:lineRule="exact"/>
                    <w:jc w:val="center"/>
                    <w:rPr>
                      <w:color w:val="auto"/>
                      <w:kern w:val="0"/>
                      <w:sz w:val="21"/>
                      <w:szCs w:val="21"/>
                    </w:rPr>
                  </w:pPr>
                  <w:r>
                    <w:rPr>
                      <w:color w:val="auto"/>
                      <w:kern w:val="0"/>
                      <w:sz w:val="21"/>
                      <w:szCs w:val="21"/>
                    </w:rPr>
                    <w:t>设置原则</w:t>
                  </w:r>
                </w:p>
              </w:tc>
              <w:tc>
                <w:tcPr>
                  <w:tcW w:w="2408" w:type="dxa"/>
                  <w:vAlign w:val="center"/>
                </w:tcPr>
                <w:p w14:paraId="114A863D">
                  <w:pPr>
                    <w:autoSpaceDE w:val="0"/>
                    <w:autoSpaceDN w:val="0"/>
                    <w:adjustRightInd w:val="0"/>
                    <w:snapToGrid w:val="0"/>
                    <w:spacing w:line="320" w:lineRule="exact"/>
                    <w:jc w:val="center"/>
                    <w:rPr>
                      <w:color w:val="auto"/>
                      <w:kern w:val="0"/>
                      <w:sz w:val="21"/>
                      <w:szCs w:val="21"/>
                    </w:rPr>
                  </w:pPr>
                  <w:r>
                    <w:rPr>
                      <w:color w:val="auto"/>
                      <w:kern w:val="0"/>
                      <w:sz w:val="21"/>
                      <w:szCs w:val="21"/>
                    </w:rPr>
                    <w:t>本项目</w:t>
                  </w:r>
                </w:p>
              </w:tc>
            </w:tr>
            <w:tr w14:paraId="7690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Align w:val="center"/>
                </w:tcPr>
                <w:p w14:paraId="6EED66E2">
                  <w:pPr>
                    <w:autoSpaceDE w:val="0"/>
                    <w:autoSpaceDN w:val="0"/>
                    <w:adjustRightInd w:val="0"/>
                    <w:snapToGrid w:val="0"/>
                    <w:spacing w:line="320" w:lineRule="exact"/>
                    <w:jc w:val="center"/>
                    <w:rPr>
                      <w:color w:val="auto"/>
                      <w:kern w:val="0"/>
                      <w:sz w:val="21"/>
                      <w:szCs w:val="21"/>
                    </w:rPr>
                  </w:pPr>
                  <w:r>
                    <w:rPr>
                      <w:color w:val="auto"/>
                      <w:kern w:val="0"/>
                      <w:sz w:val="21"/>
                      <w:szCs w:val="21"/>
                    </w:rPr>
                    <w:t>大气</w:t>
                  </w:r>
                </w:p>
              </w:tc>
              <w:tc>
                <w:tcPr>
                  <w:tcW w:w="4095" w:type="dxa"/>
                  <w:vAlign w:val="center"/>
                </w:tcPr>
                <w:p w14:paraId="7F303A43">
                  <w:pPr>
                    <w:autoSpaceDE w:val="0"/>
                    <w:autoSpaceDN w:val="0"/>
                    <w:adjustRightInd w:val="0"/>
                    <w:snapToGrid w:val="0"/>
                    <w:spacing w:line="320" w:lineRule="exact"/>
                    <w:jc w:val="center"/>
                    <w:rPr>
                      <w:color w:val="auto"/>
                      <w:kern w:val="0"/>
                      <w:sz w:val="21"/>
                      <w:szCs w:val="21"/>
                    </w:rPr>
                  </w:pPr>
                  <w:r>
                    <w:rPr>
                      <w:color w:val="auto"/>
                      <w:kern w:val="0"/>
                      <w:sz w:val="21"/>
                      <w:szCs w:val="21"/>
                    </w:rPr>
                    <w:t>排放废气含有毒有害污染物、二噁英、苯并[a]芘、氰化物、氯气且厂界外500米范围内有环境空气保护目标的建设项目</w:t>
                  </w:r>
                </w:p>
              </w:tc>
              <w:tc>
                <w:tcPr>
                  <w:tcW w:w="2408" w:type="dxa"/>
                  <w:vAlign w:val="center"/>
                </w:tcPr>
                <w:p w14:paraId="2648DF41">
                  <w:pPr>
                    <w:autoSpaceDE w:val="0"/>
                    <w:autoSpaceDN w:val="0"/>
                    <w:adjustRightInd w:val="0"/>
                    <w:snapToGrid w:val="0"/>
                    <w:spacing w:line="320" w:lineRule="exact"/>
                    <w:jc w:val="center"/>
                    <w:rPr>
                      <w:color w:val="auto"/>
                      <w:kern w:val="0"/>
                      <w:sz w:val="21"/>
                      <w:szCs w:val="21"/>
                    </w:rPr>
                  </w:pPr>
                  <w:r>
                    <w:rPr>
                      <w:color w:val="auto"/>
                      <w:kern w:val="0"/>
                      <w:sz w:val="21"/>
                      <w:szCs w:val="21"/>
                    </w:rPr>
                    <w:t>本项目排放废气中不含有毒有害污染物等</w:t>
                  </w:r>
                </w:p>
              </w:tc>
            </w:tr>
            <w:tr w14:paraId="37EBD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Align w:val="center"/>
                </w:tcPr>
                <w:p w14:paraId="74099241">
                  <w:pPr>
                    <w:autoSpaceDE w:val="0"/>
                    <w:autoSpaceDN w:val="0"/>
                    <w:adjustRightInd w:val="0"/>
                    <w:snapToGrid w:val="0"/>
                    <w:spacing w:line="320" w:lineRule="exact"/>
                    <w:jc w:val="center"/>
                    <w:rPr>
                      <w:color w:val="auto"/>
                      <w:kern w:val="0"/>
                      <w:sz w:val="21"/>
                      <w:szCs w:val="21"/>
                    </w:rPr>
                  </w:pPr>
                  <w:r>
                    <w:rPr>
                      <w:color w:val="auto"/>
                      <w:kern w:val="0"/>
                      <w:sz w:val="21"/>
                      <w:szCs w:val="21"/>
                    </w:rPr>
                    <w:t>地表水</w:t>
                  </w:r>
                </w:p>
              </w:tc>
              <w:tc>
                <w:tcPr>
                  <w:tcW w:w="4095" w:type="dxa"/>
                  <w:vAlign w:val="center"/>
                </w:tcPr>
                <w:p w14:paraId="4677F724">
                  <w:pPr>
                    <w:autoSpaceDE w:val="0"/>
                    <w:autoSpaceDN w:val="0"/>
                    <w:adjustRightInd w:val="0"/>
                    <w:snapToGrid w:val="0"/>
                    <w:spacing w:line="320" w:lineRule="exact"/>
                    <w:jc w:val="center"/>
                    <w:rPr>
                      <w:color w:val="auto"/>
                      <w:kern w:val="0"/>
                      <w:sz w:val="21"/>
                      <w:szCs w:val="21"/>
                    </w:rPr>
                  </w:pPr>
                  <w:r>
                    <w:rPr>
                      <w:color w:val="auto"/>
                      <w:kern w:val="0"/>
                      <w:sz w:val="21"/>
                      <w:szCs w:val="21"/>
                    </w:rPr>
                    <w:t>新增工业废水直排建设项目（槽罐车外送污水处理厂的除外）；新增废水直排的污水集中处理厂</w:t>
                  </w:r>
                </w:p>
              </w:tc>
              <w:tc>
                <w:tcPr>
                  <w:tcW w:w="2408" w:type="dxa"/>
                  <w:vAlign w:val="center"/>
                </w:tcPr>
                <w:p w14:paraId="5DEA394E">
                  <w:pPr>
                    <w:autoSpaceDE w:val="0"/>
                    <w:autoSpaceDN w:val="0"/>
                    <w:adjustRightInd w:val="0"/>
                    <w:snapToGrid w:val="0"/>
                    <w:spacing w:line="320" w:lineRule="exact"/>
                    <w:jc w:val="center"/>
                    <w:rPr>
                      <w:color w:val="auto"/>
                      <w:kern w:val="0"/>
                      <w:sz w:val="21"/>
                      <w:szCs w:val="21"/>
                    </w:rPr>
                  </w:pPr>
                  <w:r>
                    <w:rPr>
                      <w:color w:val="auto"/>
                      <w:kern w:val="0"/>
                      <w:sz w:val="21"/>
                      <w:szCs w:val="21"/>
                    </w:rPr>
                    <w:t>本项目不涉及废水的排放</w:t>
                  </w:r>
                </w:p>
              </w:tc>
            </w:tr>
            <w:tr w14:paraId="69BA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Align w:val="center"/>
                </w:tcPr>
                <w:p w14:paraId="369A4469">
                  <w:pPr>
                    <w:autoSpaceDE w:val="0"/>
                    <w:autoSpaceDN w:val="0"/>
                    <w:adjustRightInd w:val="0"/>
                    <w:snapToGrid w:val="0"/>
                    <w:spacing w:line="320" w:lineRule="exact"/>
                    <w:jc w:val="center"/>
                    <w:rPr>
                      <w:color w:val="auto"/>
                      <w:kern w:val="0"/>
                      <w:sz w:val="21"/>
                      <w:szCs w:val="21"/>
                    </w:rPr>
                  </w:pPr>
                  <w:r>
                    <w:rPr>
                      <w:color w:val="auto"/>
                      <w:kern w:val="0"/>
                      <w:sz w:val="21"/>
                      <w:szCs w:val="21"/>
                    </w:rPr>
                    <w:t>环境风险</w:t>
                  </w:r>
                </w:p>
              </w:tc>
              <w:tc>
                <w:tcPr>
                  <w:tcW w:w="4095" w:type="dxa"/>
                  <w:vAlign w:val="center"/>
                </w:tcPr>
                <w:p w14:paraId="699C6777">
                  <w:pPr>
                    <w:autoSpaceDE w:val="0"/>
                    <w:autoSpaceDN w:val="0"/>
                    <w:adjustRightInd w:val="0"/>
                    <w:snapToGrid w:val="0"/>
                    <w:spacing w:line="320" w:lineRule="exact"/>
                    <w:jc w:val="center"/>
                    <w:rPr>
                      <w:color w:val="auto"/>
                      <w:kern w:val="0"/>
                      <w:sz w:val="21"/>
                      <w:szCs w:val="21"/>
                    </w:rPr>
                  </w:pPr>
                  <w:r>
                    <w:rPr>
                      <w:color w:val="auto"/>
                      <w:kern w:val="0"/>
                      <w:sz w:val="21"/>
                      <w:szCs w:val="21"/>
                    </w:rPr>
                    <w:t>有毒有害和易燃易爆危险物质存储量超过临界量的建设项目</w:t>
                  </w:r>
                </w:p>
              </w:tc>
              <w:tc>
                <w:tcPr>
                  <w:tcW w:w="2408" w:type="dxa"/>
                  <w:vAlign w:val="center"/>
                </w:tcPr>
                <w:p w14:paraId="5B04570E">
                  <w:pPr>
                    <w:autoSpaceDE w:val="0"/>
                    <w:autoSpaceDN w:val="0"/>
                    <w:adjustRightInd w:val="0"/>
                    <w:snapToGrid w:val="0"/>
                    <w:spacing w:line="320" w:lineRule="exact"/>
                    <w:jc w:val="center"/>
                    <w:rPr>
                      <w:color w:val="auto"/>
                      <w:kern w:val="0"/>
                      <w:sz w:val="21"/>
                      <w:szCs w:val="21"/>
                    </w:rPr>
                  </w:pPr>
                  <w:r>
                    <w:rPr>
                      <w:rFonts w:hint="eastAsia"/>
                      <w:color w:val="auto"/>
                      <w:kern w:val="0"/>
                      <w:sz w:val="21"/>
                      <w:szCs w:val="21"/>
                    </w:rPr>
                    <w:t>风险物质的储量未超过临界量</w:t>
                  </w:r>
                </w:p>
              </w:tc>
            </w:tr>
            <w:tr w14:paraId="0FA2D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Align w:val="center"/>
                </w:tcPr>
                <w:p w14:paraId="55EDBC35">
                  <w:pPr>
                    <w:autoSpaceDE w:val="0"/>
                    <w:autoSpaceDN w:val="0"/>
                    <w:adjustRightInd w:val="0"/>
                    <w:snapToGrid w:val="0"/>
                    <w:spacing w:line="320" w:lineRule="exact"/>
                    <w:jc w:val="center"/>
                    <w:rPr>
                      <w:color w:val="auto"/>
                      <w:kern w:val="0"/>
                      <w:sz w:val="21"/>
                      <w:szCs w:val="21"/>
                    </w:rPr>
                  </w:pPr>
                  <w:r>
                    <w:rPr>
                      <w:color w:val="auto"/>
                      <w:kern w:val="0"/>
                      <w:sz w:val="21"/>
                      <w:szCs w:val="21"/>
                    </w:rPr>
                    <w:t>生态</w:t>
                  </w:r>
                </w:p>
              </w:tc>
              <w:tc>
                <w:tcPr>
                  <w:tcW w:w="4095" w:type="dxa"/>
                  <w:vAlign w:val="center"/>
                </w:tcPr>
                <w:p w14:paraId="10B76EBC">
                  <w:pPr>
                    <w:autoSpaceDE w:val="0"/>
                    <w:autoSpaceDN w:val="0"/>
                    <w:adjustRightInd w:val="0"/>
                    <w:snapToGrid w:val="0"/>
                    <w:spacing w:line="320" w:lineRule="exact"/>
                    <w:jc w:val="center"/>
                    <w:rPr>
                      <w:color w:val="auto"/>
                      <w:kern w:val="0"/>
                      <w:sz w:val="21"/>
                      <w:szCs w:val="21"/>
                    </w:rPr>
                  </w:pPr>
                  <w:r>
                    <w:rPr>
                      <w:color w:val="auto"/>
                      <w:kern w:val="0"/>
                      <w:sz w:val="21"/>
                      <w:szCs w:val="21"/>
                    </w:rPr>
                    <w:t>取水口下游500米范围内有重要水生生物的自然产卵场、索饵场、越冬场和洄游通道的新增河道取水的污染类建设项目</w:t>
                  </w:r>
                </w:p>
              </w:tc>
              <w:tc>
                <w:tcPr>
                  <w:tcW w:w="2408" w:type="dxa"/>
                  <w:vAlign w:val="center"/>
                </w:tcPr>
                <w:p w14:paraId="52470F07">
                  <w:pPr>
                    <w:autoSpaceDE w:val="0"/>
                    <w:autoSpaceDN w:val="0"/>
                    <w:adjustRightInd w:val="0"/>
                    <w:snapToGrid w:val="0"/>
                    <w:spacing w:line="320" w:lineRule="exact"/>
                    <w:jc w:val="center"/>
                    <w:rPr>
                      <w:color w:val="auto"/>
                      <w:kern w:val="0"/>
                      <w:sz w:val="21"/>
                      <w:szCs w:val="21"/>
                    </w:rPr>
                  </w:pPr>
                  <w:r>
                    <w:rPr>
                      <w:color w:val="auto"/>
                      <w:kern w:val="0"/>
                      <w:sz w:val="21"/>
                      <w:szCs w:val="21"/>
                    </w:rPr>
                    <w:t>无河道取水</w:t>
                  </w:r>
                </w:p>
              </w:tc>
            </w:tr>
            <w:tr w14:paraId="33D0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Align w:val="center"/>
                </w:tcPr>
                <w:p w14:paraId="3E923619">
                  <w:pPr>
                    <w:autoSpaceDE w:val="0"/>
                    <w:autoSpaceDN w:val="0"/>
                    <w:adjustRightInd w:val="0"/>
                    <w:snapToGrid w:val="0"/>
                    <w:spacing w:line="320" w:lineRule="exact"/>
                    <w:jc w:val="center"/>
                    <w:rPr>
                      <w:color w:val="auto"/>
                      <w:kern w:val="0"/>
                      <w:sz w:val="21"/>
                      <w:szCs w:val="21"/>
                    </w:rPr>
                  </w:pPr>
                  <w:r>
                    <w:rPr>
                      <w:color w:val="auto"/>
                      <w:kern w:val="0"/>
                      <w:sz w:val="21"/>
                      <w:szCs w:val="21"/>
                    </w:rPr>
                    <w:t>海洋</w:t>
                  </w:r>
                </w:p>
              </w:tc>
              <w:tc>
                <w:tcPr>
                  <w:tcW w:w="4095" w:type="dxa"/>
                  <w:vAlign w:val="center"/>
                </w:tcPr>
                <w:p w14:paraId="154BFAF0">
                  <w:pPr>
                    <w:autoSpaceDE w:val="0"/>
                    <w:autoSpaceDN w:val="0"/>
                    <w:adjustRightInd w:val="0"/>
                    <w:snapToGrid w:val="0"/>
                    <w:spacing w:line="320" w:lineRule="exact"/>
                    <w:jc w:val="center"/>
                    <w:rPr>
                      <w:color w:val="auto"/>
                      <w:kern w:val="0"/>
                      <w:sz w:val="21"/>
                      <w:szCs w:val="21"/>
                    </w:rPr>
                  </w:pPr>
                  <w:r>
                    <w:rPr>
                      <w:color w:val="auto"/>
                      <w:kern w:val="0"/>
                      <w:sz w:val="21"/>
                      <w:szCs w:val="21"/>
                    </w:rPr>
                    <w:t>直接向海排放污染物的海洋工程建设项目</w:t>
                  </w:r>
                </w:p>
              </w:tc>
              <w:tc>
                <w:tcPr>
                  <w:tcW w:w="2408" w:type="dxa"/>
                  <w:vAlign w:val="center"/>
                </w:tcPr>
                <w:p w14:paraId="29EC5A2C">
                  <w:pPr>
                    <w:autoSpaceDE w:val="0"/>
                    <w:autoSpaceDN w:val="0"/>
                    <w:adjustRightInd w:val="0"/>
                    <w:snapToGrid w:val="0"/>
                    <w:spacing w:line="320" w:lineRule="exact"/>
                    <w:jc w:val="center"/>
                    <w:rPr>
                      <w:color w:val="auto"/>
                      <w:kern w:val="0"/>
                      <w:sz w:val="21"/>
                      <w:szCs w:val="21"/>
                    </w:rPr>
                  </w:pPr>
                  <w:r>
                    <w:rPr>
                      <w:color w:val="auto"/>
                      <w:kern w:val="0"/>
                      <w:sz w:val="21"/>
                      <w:szCs w:val="21"/>
                    </w:rPr>
                    <w:t>无排放口</w:t>
                  </w:r>
                </w:p>
              </w:tc>
            </w:tr>
          </w:tbl>
          <w:p w14:paraId="5F916F12">
            <w:pPr>
              <w:autoSpaceDE w:val="0"/>
              <w:autoSpaceDN w:val="0"/>
              <w:adjustRightInd w:val="0"/>
              <w:snapToGrid w:val="0"/>
              <w:jc w:val="center"/>
              <w:rPr>
                <w:color w:val="auto"/>
                <w:kern w:val="0"/>
              </w:rPr>
            </w:pPr>
          </w:p>
        </w:tc>
      </w:tr>
      <w:tr w14:paraId="431624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1" w:hRule="atLeast"/>
          <w:jc w:val="center"/>
        </w:trPr>
        <w:tc>
          <w:tcPr>
            <w:tcW w:w="1225" w:type="dxa"/>
            <w:vAlign w:val="center"/>
          </w:tcPr>
          <w:p w14:paraId="2CFA173D">
            <w:pPr>
              <w:autoSpaceDE w:val="0"/>
              <w:autoSpaceDN w:val="0"/>
              <w:adjustRightInd w:val="0"/>
              <w:snapToGrid w:val="0"/>
              <w:jc w:val="center"/>
              <w:rPr>
                <w:color w:val="auto"/>
                <w:kern w:val="0"/>
              </w:rPr>
            </w:pPr>
            <w:r>
              <w:rPr>
                <w:color w:val="auto"/>
              </w:rPr>
              <w:t>规划情况</w:t>
            </w:r>
          </w:p>
        </w:tc>
        <w:tc>
          <w:tcPr>
            <w:tcW w:w="7808" w:type="dxa"/>
            <w:gridSpan w:val="3"/>
            <w:vAlign w:val="center"/>
          </w:tcPr>
          <w:p w14:paraId="5F18954A">
            <w:pPr>
              <w:autoSpaceDE w:val="0"/>
              <w:autoSpaceDN w:val="0"/>
              <w:adjustRightInd w:val="0"/>
              <w:snapToGrid w:val="0"/>
              <w:spacing w:line="360" w:lineRule="exact"/>
              <w:jc w:val="left"/>
              <w:rPr>
                <w:color w:val="auto"/>
                <w:kern w:val="0"/>
              </w:rPr>
            </w:pPr>
            <w:r>
              <w:rPr>
                <w:rFonts w:hint="eastAsia"/>
                <w:color w:val="auto"/>
                <w:kern w:val="0"/>
              </w:rPr>
              <w:t>规划名称：《鄂尔多斯鄂托克高新技术产业开发区产业发展规划（2023-2035年）》</w:t>
            </w:r>
          </w:p>
          <w:p w14:paraId="3A79E64C">
            <w:pPr>
              <w:autoSpaceDE w:val="0"/>
              <w:autoSpaceDN w:val="0"/>
              <w:adjustRightInd w:val="0"/>
              <w:snapToGrid w:val="0"/>
              <w:spacing w:line="360" w:lineRule="exact"/>
              <w:jc w:val="left"/>
              <w:rPr>
                <w:color w:val="auto"/>
                <w:kern w:val="0"/>
              </w:rPr>
            </w:pPr>
            <w:r>
              <w:rPr>
                <w:rFonts w:hint="eastAsia"/>
                <w:color w:val="auto"/>
                <w:kern w:val="0"/>
              </w:rPr>
              <w:t>审批部门：鄂尔多斯市人民政府</w:t>
            </w:r>
          </w:p>
          <w:p w14:paraId="26553DAA">
            <w:pPr>
              <w:autoSpaceDE w:val="0"/>
              <w:autoSpaceDN w:val="0"/>
              <w:adjustRightInd w:val="0"/>
              <w:snapToGrid w:val="0"/>
              <w:spacing w:line="360" w:lineRule="exact"/>
              <w:jc w:val="left"/>
              <w:rPr>
                <w:color w:val="auto"/>
                <w:kern w:val="0"/>
              </w:rPr>
            </w:pPr>
            <w:r>
              <w:rPr>
                <w:rFonts w:hint="eastAsia"/>
                <w:color w:val="auto"/>
                <w:kern w:val="0"/>
              </w:rPr>
              <w:t>审批时间：2024年6月13日</w:t>
            </w:r>
          </w:p>
          <w:p w14:paraId="59069AE6">
            <w:pPr>
              <w:autoSpaceDE w:val="0"/>
              <w:autoSpaceDN w:val="0"/>
              <w:adjustRightInd w:val="0"/>
              <w:snapToGrid w:val="0"/>
              <w:spacing w:line="360" w:lineRule="exact"/>
              <w:jc w:val="left"/>
              <w:rPr>
                <w:color w:val="auto"/>
                <w:kern w:val="0"/>
              </w:rPr>
            </w:pPr>
            <w:r>
              <w:rPr>
                <w:color w:val="auto"/>
                <w:kern w:val="0"/>
              </w:rPr>
              <w:t>规划名称：《鄂托克经济开发区国土空间总体规划（2021-2035）》</w:t>
            </w:r>
          </w:p>
          <w:p w14:paraId="4879DA71">
            <w:pPr>
              <w:autoSpaceDE w:val="0"/>
              <w:autoSpaceDN w:val="0"/>
              <w:adjustRightInd w:val="0"/>
              <w:snapToGrid w:val="0"/>
              <w:spacing w:line="360" w:lineRule="exact"/>
              <w:jc w:val="left"/>
              <w:rPr>
                <w:color w:val="auto"/>
                <w:kern w:val="0"/>
              </w:rPr>
            </w:pPr>
            <w:r>
              <w:rPr>
                <w:color w:val="auto"/>
                <w:kern w:val="0"/>
              </w:rPr>
              <w:t>审批部门：内蒙古自治区</w:t>
            </w:r>
            <w:r>
              <w:rPr>
                <w:rFonts w:hint="eastAsia"/>
                <w:color w:val="auto"/>
                <w:kern w:val="0"/>
              </w:rPr>
              <w:t>人民政府</w:t>
            </w:r>
          </w:p>
          <w:p w14:paraId="754AA7C9">
            <w:pPr>
              <w:autoSpaceDE w:val="0"/>
              <w:autoSpaceDN w:val="0"/>
              <w:adjustRightInd w:val="0"/>
              <w:snapToGrid w:val="0"/>
              <w:spacing w:line="360" w:lineRule="exact"/>
              <w:jc w:val="left"/>
              <w:rPr>
                <w:color w:val="auto"/>
                <w:kern w:val="0"/>
              </w:rPr>
            </w:pPr>
            <w:r>
              <w:rPr>
                <w:color w:val="auto"/>
                <w:kern w:val="0"/>
              </w:rPr>
              <w:t>审批时间：2024年</w:t>
            </w:r>
            <w:r>
              <w:rPr>
                <w:rFonts w:hint="eastAsia"/>
                <w:color w:val="auto"/>
                <w:kern w:val="0"/>
              </w:rPr>
              <w:t>4</w:t>
            </w:r>
            <w:r>
              <w:rPr>
                <w:color w:val="auto"/>
                <w:kern w:val="0"/>
              </w:rPr>
              <w:t>月1</w:t>
            </w:r>
            <w:r>
              <w:rPr>
                <w:rFonts w:hint="eastAsia"/>
                <w:color w:val="auto"/>
                <w:kern w:val="0"/>
              </w:rPr>
              <w:t>8</w:t>
            </w:r>
            <w:r>
              <w:rPr>
                <w:color w:val="auto"/>
                <w:kern w:val="0"/>
              </w:rPr>
              <w:t>日</w:t>
            </w:r>
          </w:p>
          <w:p w14:paraId="4A21DD9B">
            <w:pPr>
              <w:autoSpaceDE w:val="0"/>
              <w:autoSpaceDN w:val="0"/>
              <w:adjustRightInd w:val="0"/>
              <w:snapToGrid w:val="0"/>
              <w:spacing w:line="360" w:lineRule="exact"/>
              <w:jc w:val="left"/>
              <w:rPr>
                <w:color w:val="auto"/>
                <w:kern w:val="0"/>
              </w:rPr>
            </w:pPr>
            <w:r>
              <w:rPr>
                <w:color w:val="auto"/>
                <w:kern w:val="0"/>
              </w:rPr>
              <w:t>规划审批</w:t>
            </w:r>
            <w:r>
              <w:rPr>
                <w:rFonts w:hint="eastAsia"/>
                <w:color w:val="auto"/>
                <w:kern w:val="0"/>
              </w:rPr>
              <w:t>文件</w:t>
            </w:r>
            <w:r>
              <w:rPr>
                <w:color w:val="auto"/>
                <w:kern w:val="0"/>
              </w:rPr>
              <w:t>及文号</w:t>
            </w:r>
            <w:r>
              <w:rPr>
                <w:rFonts w:hint="eastAsia"/>
                <w:color w:val="auto"/>
                <w:kern w:val="0"/>
              </w:rPr>
              <w:t>：</w:t>
            </w:r>
            <w:r>
              <w:rPr>
                <w:color w:val="auto"/>
                <w:kern w:val="0"/>
              </w:rPr>
              <w:t>2024年4月18日，内</w:t>
            </w:r>
            <w:r>
              <w:rPr>
                <w:rFonts w:hint="eastAsia"/>
                <w:color w:val="auto"/>
                <w:kern w:val="0"/>
              </w:rPr>
              <w:t>蒙古</w:t>
            </w:r>
            <w:r>
              <w:rPr>
                <w:color w:val="auto"/>
                <w:kern w:val="0"/>
              </w:rPr>
              <w:t>自治区人民政府出具了内政了</w:t>
            </w:r>
            <w:r>
              <w:rPr>
                <w:rFonts w:hint="eastAsia"/>
                <w:color w:val="auto"/>
                <w:kern w:val="0"/>
              </w:rPr>
              <w:t>[</w:t>
            </w:r>
            <w:r>
              <w:rPr>
                <w:color w:val="auto"/>
                <w:kern w:val="0"/>
              </w:rPr>
              <w:t>2024</w:t>
            </w:r>
            <w:r>
              <w:rPr>
                <w:rFonts w:hint="eastAsia"/>
                <w:color w:val="auto"/>
                <w:kern w:val="0"/>
              </w:rPr>
              <w:t>]</w:t>
            </w:r>
            <w:r>
              <w:rPr>
                <w:color w:val="auto"/>
                <w:kern w:val="0"/>
              </w:rPr>
              <w:t>86号文件。</w:t>
            </w:r>
          </w:p>
        </w:tc>
      </w:tr>
      <w:tr w14:paraId="5CE3F6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1225" w:type="dxa"/>
            <w:vAlign w:val="center"/>
          </w:tcPr>
          <w:p w14:paraId="64B383AD">
            <w:pPr>
              <w:adjustRightInd w:val="0"/>
              <w:snapToGrid w:val="0"/>
              <w:jc w:val="center"/>
              <w:rPr>
                <w:color w:val="auto"/>
                <w:kern w:val="0"/>
              </w:rPr>
            </w:pPr>
            <w:r>
              <w:rPr>
                <w:color w:val="auto"/>
              </w:rPr>
              <w:t>规划环境影响评价情况</w:t>
            </w:r>
          </w:p>
        </w:tc>
        <w:tc>
          <w:tcPr>
            <w:tcW w:w="7808" w:type="dxa"/>
            <w:gridSpan w:val="3"/>
            <w:vAlign w:val="center"/>
          </w:tcPr>
          <w:p w14:paraId="735CE42E">
            <w:pPr>
              <w:autoSpaceDE w:val="0"/>
              <w:autoSpaceDN w:val="0"/>
              <w:adjustRightInd w:val="0"/>
              <w:snapToGrid w:val="0"/>
              <w:spacing w:line="360" w:lineRule="exact"/>
              <w:jc w:val="left"/>
              <w:rPr>
                <w:color w:val="auto"/>
                <w:kern w:val="0"/>
              </w:rPr>
            </w:pPr>
            <w:r>
              <w:rPr>
                <w:color w:val="auto"/>
                <w:kern w:val="0"/>
              </w:rPr>
              <w:t>规划环评名称：《鄂托克经济开发区国土空间总体规划（2021-2035）蒙西产业园环境影响报告书》</w:t>
            </w:r>
          </w:p>
          <w:p w14:paraId="303A161A">
            <w:pPr>
              <w:autoSpaceDE w:val="0"/>
              <w:autoSpaceDN w:val="0"/>
              <w:adjustRightInd w:val="0"/>
              <w:snapToGrid w:val="0"/>
              <w:spacing w:line="360" w:lineRule="exact"/>
              <w:jc w:val="left"/>
              <w:rPr>
                <w:color w:val="auto"/>
                <w:kern w:val="0"/>
              </w:rPr>
            </w:pPr>
            <w:r>
              <w:rPr>
                <w:color w:val="auto"/>
                <w:kern w:val="0"/>
              </w:rPr>
              <w:t>审批部门：内蒙古自治区生态环境厅</w:t>
            </w:r>
          </w:p>
          <w:p w14:paraId="5B1F1786">
            <w:pPr>
              <w:autoSpaceDE w:val="0"/>
              <w:autoSpaceDN w:val="0"/>
              <w:adjustRightInd w:val="0"/>
              <w:snapToGrid w:val="0"/>
              <w:spacing w:line="360" w:lineRule="exact"/>
              <w:jc w:val="left"/>
              <w:rPr>
                <w:color w:val="auto"/>
                <w:kern w:val="0"/>
              </w:rPr>
            </w:pPr>
            <w:r>
              <w:rPr>
                <w:color w:val="auto"/>
                <w:kern w:val="0"/>
              </w:rPr>
              <w:t>审批时间：2024年6月11日</w:t>
            </w:r>
          </w:p>
          <w:p w14:paraId="7DCEE810">
            <w:pPr>
              <w:autoSpaceDE w:val="0"/>
              <w:autoSpaceDN w:val="0"/>
              <w:adjustRightInd w:val="0"/>
              <w:snapToGrid w:val="0"/>
              <w:spacing w:line="360" w:lineRule="exact"/>
              <w:jc w:val="left"/>
              <w:rPr>
                <w:color w:val="auto"/>
                <w:kern w:val="0"/>
              </w:rPr>
            </w:pPr>
            <w:r>
              <w:rPr>
                <w:color w:val="auto"/>
                <w:kern w:val="0"/>
              </w:rPr>
              <w:t>规划审批意见及文号</w:t>
            </w:r>
            <w:r>
              <w:rPr>
                <w:rFonts w:hint="eastAsia"/>
                <w:color w:val="auto"/>
                <w:kern w:val="0"/>
              </w:rPr>
              <w:t>：</w:t>
            </w:r>
            <w:r>
              <w:rPr>
                <w:color w:val="auto"/>
                <w:kern w:val="0"/>
              </w:rPr>
              <w:t>《鄂托克经济开发区国土空间总体规划(2021-2035)蒙西产业园环境影响报告书的审查意见》（内环审[2024]32号）</w:t>
            </w:r>
            <w:r>
              <w:rPr>
                <w:rFonts w:hint="eastAsia"/>
                <w:color w:val="auto"/>
                <w:kern w:val="0"/>
              </w:rPr>
              <w:t>。</w:t>
            </w:r>
          </w:p>
        </w:tc>
      </w:tr>
      <w:tr w14:paraId="65ED90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25" w:type="dxa"/>
            <w:vAlign w:val="center"/>
          </w:tcPr>
          <w:p w14:paraId="36E8D426">
            <w:pPr>
              <w:autoSpaceDE w:val="0"/>
              <w:autoSpaceDN w:val="0"/>
              <w:adjustRightInd w:val="0"/>
              <w:snapToGrid w:val="0"/>
              <w:jc w:val="center"/>
              <w:rPr>
                <w:color w:val="auto"/>
                <w:kern w:val="0"/>
              </w:rPr>
            </w:pPr>
            <w:r>
              <w:rPr>
                <w:color w:val="auto"/>
                <w:kern w:val="0"/>
              </w:rPr>
              <w:t>规划及规划环境影响评价符合性分析</w:t>
            </w:r>
          </w:p>
        </w:tc>
        <w:tc>
          <w:tcPr>
            <w:tcW w:w="7808" w:type="dxa"/>
            <w:gridSpan w:val="3"/>
            <w:vAlign w:val="center"/>
          </w:tcPr>
          <w:p w14:paraId="5762EAB2">
            <w:pPr>
              <w:pStyle w:val="2"/>
              <w:spacing w:before="0" w:after="0" w:line="480" w:lineRule="exact"/>
              <w:ind w:left="0" w:firstLine="482" w:firstLineChars="200"/>
              <w:rPr>
                <w:color w:val="auto"/>
                <w:kern w:val="0"/>
                <w:sz w:val="24"/>
                <w:szCs w:val="24"/>
              </w:rPr>
            </w:pPr>
            <w:r>
              <w:rPr>
                <w:rFonts w:hint="eastAsia"/>
                <w:color w:val="auto"/>
                <w:kern w:val="0"/>
                <w:sz w:val="24"/>
                <w:szCs w:val="24"/>
              </w:rPr>
              <w:t>1、与《鄂尔多斯鄂托克高新技术产业开发区产业发展规划（2023-2035年）》符合性分析</w:t>
            </w:r>
          </w:p>
          <w:p w14:paraId="160E3A8C">
            <w:pPr>
              <w:autoSpaceDE w:val="0"/>
              <w:autoSpaceDN w:val="0"/>
              <w:adjustRightInd w:val="0"/>
              <w:snapToGrid w:val="0"/>
              <w:spacing w:line="480" w:lineRule="exact"/>
              <w:ind w:firstLine="480" w:firstLineChars="200"/>
              <w:rPr>
                <w:color w:val="auto"/>
                <w:kern w:val="0"/>
              </w:rPr>
            </w:pPr>
            <w:r>
              <w:rPr>
                <w:rFonts w:hint="eastAsia"/>
                <w:color w:val="auto"/>
                <w:kern w:val="0"/>
              </w:rPr>
              <w:t>蒙西产业园循环型产业体系初步建成。按照减量化、再利用、资源化，减量化优先原则，大力推进新型化工、特种冶金、高新建材等产业循环化改造，形成了煤（煤矸石）—电—铝（氧化铝）—建材、煤—焦（焦炉煤气）—冶金、煤—焦（焦炉煤气、焦油）—化工（甲醇、苯加氢）、石灰石—煤炭—PVA/PVC—土壤改良剂/水泥制品等多条循环产业链。工业固体废弃物和副产品资源化利用规模不断扩大、领域持续拓宽。</w:t>
            </w:r>
          </w:p>
          <w:p w14:paraId="72331709">
            <w:pPr>
              <w:autoSpaceDE w:val="0"/>
              <w:autoSpaceDN w:val="0"/>
              <w:adjustRightInd w:val="0"/>
              <w:snapToGrid w:val="0"/>
              <w:spacing w:line="480" w:lineRule="exact"/>
              <w:ind w:firstLine="480" w:firstLineChars="200"/>
              <w:rPr>
                <w:color w:val="auto"/>
                <w:kern w:val="0"/>
              </w:rPr>
            </w:pPr>
            <w:r>
              <w:rPr>
                <w:rFonts w:hint="eastAsia"/>
                <w:color w:val="auto"/>
                <w:kern w:val="0"/>
              </w:rPr>
              <w:t>《</w:t>
            </w:r>
            <w:r>
              <w:rPr>
                <w:color w:val="auto"/>
                <w:kern w:val="0"/>
              </w:rPr>
              <w:t>鄂尔多斯鄂托克高新技术产业开发区产业发展规划（2023-2035 年）</w:t>
            </w:r>
            <w:r>
              <w:rPr>
                <w:rFonts w:hint="eastAsia"/>
                <w:color w:val="auto"/>
                <w:kern w:val="0"/>
              </w:rPr>
              <w:t>》文本中P43-P47叙述了蒙西产业园在建和拟建项目的具体内容，其中包含本项目，年加工金属100万吨，总投资3.66亿元，具体详见附件8。</w:t>
            </w:r>
          </w:p>
          <w:p w14:paraId="06E3F721">
            <w:pPr>
              <w:autoSpaceDE w:val="0"/>
              <w:autoSpaceDN w:val="0"/>
              <w:adjustRightInd w:val="0"/>
              <w:snapToGrid w:val="0"/>
              <w:spacing w:line="480" w:lineRule="exact"/>
              <w:ind w:firstLine="480" w:firstLineChars="200"/>
              <w:rPr>
                <w:color w:val="auto"/>
                <w:kern w:val="0"/>
              </w:rPr>
            </w:pPr>
            <w:r>
              <w:rPr>
                <w:rFonts w:hint="eastAsia"/>
                <w:color w:val="auto"/>
                <w:kern w:val="0"/>
              </w:rPr>
              <w:t>本项目为废钢综合利用项目，属于资源循环利用产业，项目建成后将服务于园区内相关企业及周边企业，且项目已列入蒙西产业园拟建项目清单中，符合蒙西产业园的产业发展规划。</w:t>
            </w:r>
          </w:p>
          <w:p w14:paraId="6F08E0C5">
            <w:pPr>
              <w:pStyle w:val="2"/>
              <w:spacing w:before="0" w:after="0" w:line="480" w:lineRule="exact"/>
              <w:ind w:left="0" w:firstLine="482" w:firstLineChars="200"/>
              <w:rPr>
                <w:color w:val="auto"/>
                <w:kern w:val="0"/>
                <w:sz w:val="24"/>
                <w:szCs w:val="24"/>
              </w:rPr>
            </w:pPr>
            <w:r>
              <w:rPr>
                <w:rFonts w:hint="eastAsia"/>
                <w:color w:val="auto"/>
                <w:kern w:val="0"/>
                <w:sz w:val="24"/>
                <w:szCs w:val="24"/>
              </w:rPr>
              <w:t>2、与《内蒙古鄂托克经济开发区国土空间总体规划（2021-2035）》符合性分析</w:t>
            </w:r>
          </w:p>
          <w:p w14:paraId="2D542679">
            <w:pPr>
              <w:autoSpaceDE w:val="0"/>
              <w:autoSpaceDN w:val="0"/>
              <w:adjustRightInd w:val="0"/>
              <w:snapToGrid w:val="0"/>
              <w:spacing w:line="480" w:lineRule="exact"/>
              <w:ind w:firstLine="480" w:firstLineChars="200"/>
              <w:rPr>
                <w:color w:val="auto"/>
                <w:kern w:val="0"/>
              </w:rPr>
            </w:pPr>
            <w:r>
              <w:rPr>
                <w:color w:val="auto"/>
                <w:kern w:val="0"/>
              </w:rPr>
              <w:t>蒙西产业园区块面积为45.6965km</w:t>
            </w:r>
            <w:r>
              <w:rPr>
                <w:color w:val="auto"/>
                <w:kern w:val="0"/>
                <w:vertAlign w:val="superscript"/>
              </w:rPr>
              <w:t>2</w:t>
            </w:r>
            <w:r>
              <w:rPr>
                <w:color w:val="auto"/>
                <w:kern w:val="0"/>
              </w:rPr>
              <w:t>，纳入城镇开发边界面积25.70km</w:t>
            </w:r>
            <w:r>
              <w:rPr>
                <w:color w:val="auto"/>
                <w:kern w:val="0"/>
                <w:vertAlign w:val="superscript"/>
              </w:rPr>
              <w:t>2</w:t>
            </w:r>
            <w:r>
              <w:rPr>
                <w:color w:val="auto"/>
                <w:kern w:val="0"/>
              </w:rPr>
              <w:t>。四至范围为规划范围东至京藏高速、南至新千公路、西至包兰铁路、北至千里山500KV变电站南规划路。</w:t>
            </w:r>
          </w:p>
          <w:p w14:paraId="34EF8888">
            <w:pPr>
              <w:autoSpaceDE w:val="0"/>
              <w:autoSpaceDN w:val="0"/>
              <w:adjustRightInd w:val="0"/>
              <w:snapToGrid w:val="0"/>
              <w:spacing w:line="480" w:lineRule="exact"/>
              <w:ind w:firstLine="480" w:firstLineChars="200"/>
              <w:rPr>
                <w:color w:val="auto"/>
                <w:kern w:val="0"/>
              </w:rPr>
            </w:pPr>
            <w:r>
              <w:rPr>
                <w:color w:val="auto"/>
                <w:kern w:val="0"/>
              </w:rPr>
              <w:t>（</w:t>
            </w:r>
            <w:r>
              <w:rPr>
                <w:rFonts w:hint="eastAsia"/>
                <w:color w:val="auto"/>
                <w:kern w:val="0"/>
              </w:rPr>
              <w:t>1</w:t>
            </w:r>
            <w:r>
              <w:rPr>
                <w:color w:val="auto"/>
                <w:kern w:val="0"/>
              </w:rPr>
              <w:t>）产业功能布局符合性分析</w:t>
            </w:r>
          </w:p>
          <w:p w14:paraId="48C7C7EA">
            <w:pPr>
              <w:autoSpaceDE w:val="0"/>
              <w:autoSpaceDN w:val="0"/>
              <w:adjustRightInd w:val="0"/>
              <w:snapToGrid w:val="0"/>
              <w:spacing w:line="480" w:lineRule="exact"/>
              <w:ind w:firstLine="480" w:firstLineChars="200"/>
              <w:rPr>
                <w:color w:val="auto"/>
                <w:kern w:val="0"/>
              </w:rPr>
            </w:pPr>
            <w:r>
              <w:rPr>
                <w:color w:val="auto"/>
                <w:kern w:val="0"/>
              </w:rPr>
              <w:t>蒙西产业园分为四类产业功能分区。</w:t>
            </w:r>
          </w:p>
          <w:p w14:paraId="5CA9AAF3">
            <w:pPr>
              <w:autoSpaceDE w:val="0"/>
              <w:autoSpaceDN w:val="0"/>
              <w:adjustRightInd w:val="0"/>
              <w:snapToGrid w:val="0"/>
              <w:spacing w:line="480" w:lineRule="exact"/>
              <w:ind w:firstLine="480" w:firstLineChars="200"/>
              <w:rPr>
                <w:color w:val="auto"/>
                <w:kern w:val="0"/>
              </w:rPr>
            </w:pPr>
            <w:r>
              <w:rPr>
                <w:color w:val="auto"/>
                <w:kern w:val="0"/>
              </w:rPr>
              <w:t>既有项目建成区（南）：现状以焦化项目为主，充分利用焦化副产物，实行焦化联产，发展循环经济。</w:t>
            </w:r>
          </w:p>
          <w:p w14:paraId="19D9A346">
            <w:pPr>
              <w:autoSpaceDE w:val="0"/>
              <w:autoSpaceDN w:val="0"/>
              <w:adjustRightInd w:val="0"/>
              <w:snapToGrid w:val="0"/>
              <w:spacing w:line="480" w:lineRule="exact"/>
              <w:ind w:firstLine="480" w:firstLineChars="200"/>
              <w:rPr>
                <w:color w:val="auto"/>
                <w:kern w:val="0"/>
              </w:rPr>
            </w:pPr>
            <w:r>
              <w:rPr>
                <w:color w:val="auto"/>
                <w:kern w:val="0"/>
              </w:rPr>
              <w:t>既有项目建成区（北）：在现有特钢及其制品等特种冶金产业基础上，发展高端专用化金属制品，采用创新技术实现冶炼废渣高附加值利用；实现绿色发展</w:t>
            </w:r>
            <w:r>
              <w:rPr>
                <w:rFonts w:hint="eastAsia"/>
                <w:color w:val="auto"/>
                <w:kern w:val="0"/>
              </w:rPr>
              <w:t>。</w:t>
            </w:r>
          </w:p>
          <w:p w14:paraId="765E0D49">
            <w:pPr>
              <w:autoSpaceDE w:val="0"/>
              <w:autoSpaceDN w:val="0"/>
              <w:adjustRightInd w:val="0"/>
              <w:snapToGrid w:val="0"/>
              <w:spacing w:line="480" w:lineRule="exact"/>
              <w:ind w:firstLine="480" w:firstLineChars="200"/>
              <w:rPr>
                <w:color w:val="auto"/>
                <w:kern w:val="0"/>
              </w:rPr>
            </w:pPr>
            <w:r>
              <w:rPr>
                <w:color w:val="auto"/>
                <w:kern w:val="0"/>
              </w:rPr>
              <w:t>精细化工板块：围绕氯碱化工，重点发展氯化高聚物、耗氯精细化工产品、聚氯乙烯（PVC）高端差异化产品、聚乙烯醇（PVA）下游等高技术含量、高附加值的耗氯精细化学品和专用化工新材料产品。以焦化副产煤焦油为原料，重点发展焦炉煤气综合利用、煤焦油深加工、己内酰胺、负极材料等，同时向苯下游延伸，构建绿色循环产业链。</w:t>
            </w:r>
          </w:p>
          <w:p w14:paraId="405F1A97">
            <w:pPr>
              <w:autoSpaceDE w:val="0"/>
              <w:autoSpaceDN w:val="0"/>
              <w:adjustRightInd w:val="0"/>
              <w:snapToGrid w:val="0"/>
              <w:spacing w:line="480" w:lineRule="exact"/>
              <w:ind w:firstLine="480" w:firstLineChars="200"/>
              <w:rPr>
                <w:color w:val="auto"/>
                <w:kern w:val="0"/>
              </w:rPr>
            </w:pPr>
            <w:r>
              <w:rPr>
                <w:color w:val="auto"/>
                <w:kern w:val="0"/>
              </w:rPr>
              <w:t>新材料板块：发展新材料，主要包括可生物降解塑料、高性能纤维、功能性膜材料、硅基新材料和建筑新材料五个产业方向。</w:t>
            </w:r>
          </w:p>
          <w:p w14:paraId="6D58DD84">
            <w:pPr>
              <w:spacing w:line="480" w:lineRule="exact"/>
              <w:ind w:firstLine="480" w:firstLineChars="200"/>
              <w:rPr>
                <w:color w:val="auto"/>
                <w:kern w:val="0"/>
              </w:rPr>
            </w:pPr>
            <w:r>
              <w:rPr>
                <w:rFonts w:hint="eastAsia"/>
                <w:color w:val="auto"/>
                <w:kern w:val="0"/>
              </w:rPr>
              <w:t>本项目为废钢综合利用项目，属于资源循环利用产业，在《产业结构调整指导目录》中为鼓励类，位于精细化工板块，项目建成后将服务于园区内相关企业及周边企业，不与</w:t>
            </w:r>
            <w:r>
              <w:rPr>
                <w:color w:val="auto"/>
                <w:kern w:val="0"/>
              </w:rPr>
              <w:t>精细化工板块</w:t>
            </w:r>
            <w:r>
              <w:rPr>
                <w:rFonts w:hint="eastAsia"/>
                <w:color w:val="auto"/>
                <w:kern w:val="0"/>
              </w:rPr>
              <w:t>冲突，企业已签订入园协议（附件3），同意本项目入驻蒙西产业园，符合蒙西产业园产业功能布局。</w:t>
            </w:r>
            <w:r>
              <w:rPr>
                <w:color w:val="auto"/>
                <w:kern w:val="0"/>
              </w:rPr>
              <w:t>本项目在蒙西产业园的</w:t>
            </w:r>
            <w:r>
              <w:rPr>
                <w:rFonts w:hint="eastAsia"/>
                <w:color w:val="auto"/>
                <w:kern w:val="0"/>
              </w:rPr>
              <w:t>产业布局</w:t>
            </w:r>
            <w:r>
              <w:rPr>
                <w:color w:val="auto"/>
                <w:kern w:val="0"/>
              </w:rPr>
              <w:t>见附图</w:t>
            </w:r>
            <w:r>
              <w:rPr>
                <w:rFonts w:hint="eastAsia"/>
                <w:color w:val="auto"/>
                <w:kern w:val="0"/>
              </w:rPr>
              <w:t>4</w:t>
            </w:r>
            <w:r>
              <w:rPr>
                <w:color w:val="auto"/>
                <w:kern w:val="0"/>
              </w:rPr>
              <w:t>。</w:t>
            </w:r>
          </w:p>
          <w:p w14:paraId="3AB61C63">
            <w:pPr>
              <w:spacing w:line="480" w:lineRule="exact"/>
              <w:ind w:firstLine="480" w:firstLineChars="200"/>
              <w:rPr>
                <w:color w:val="auto"/>
                <w:kern w:val="0"/>
              </w:rPr>
            </w:pPr>
            <w:r>
              <w:rPr>
                <w:color w:val="auto"/>
                <w:kern w:val="0"/>
              </w:rPr>
              <w:t>（</w:t>
            </w:r>
            <w:r>
              <w:rPr>
                <w:rFonts w:hint="eastAsia"/>
                <w:color w:val="auto"/>
                <w:kern w:val="0"/>
              </w:rPr>
              <w:t>2</w:t>
            </w:r>
            <w:r>
              <w:rPr>
                <w:color w:val="auto"/>
                <w:kern w:val="0"/>
              </w:rPr>
              <w:t>）用地布局符合性分析</w:t>
            </w:r>
          </w:p>
          <w:p w14:paraId="22BBD671">
            <w:pPr>
              <w:spacing w:line="480" w:lineRule="exact"/>
              <w:ind w:firstLine="480" w:firstLineChars="200"/>
              <w:rPr>
                <w:color w:val="auto"/>
                <w:kern w:val="0"/>
              </w:rPr>
            </w:pPr>
            <w:r>
              <w:rPr>
                <w:color w:val="auto"/>
                <w:kern w:val="0"/>
              </w:rPr>
              <w:t>根据项目《不动产权证书》</w:t>
            </w:r>
            <w:r>
              <w:rPr>
                <w:rFonts w:hint="eastAsia" w:ascii="宋体" w:hAnsi="宋体" w:cs="宋体"/>
                <w:color w:val="auto"/>
              </w:rPr>
              <w:t>和《建设用地规划许可证》</w:t>
            </w:r>
            <w:r>
              <w:rPr>
                <w:color w:val="auto"/>
                <w:kern w:val="0"/>
              </w:rPr>
              <w:t>，厂区土地性质为工业用地，符合园区用地发展规划，本项目在蒙西产业园的用地类型见附图</w:t>
            </w:r>
            <w:r>
              <w:rPr>
                <w:rFonts w:hint="eastAsia"/>
                <w:color w:val="auto"/>
                <w:kern w:val="0"/>
              </w:rPr>
              <w:t>5</w:t>
            </w:r>
            <w:r>
              <w:rPr>
                <w:color w:val="auto"/>
                <w:kern w:val="0"/>
              </w:rPr>
              <w:t>。</w:t>
            </w:r>
          </w:p>
          <w:p w14:paraId="4A2CCEE7">
            <w:pPr>
              <w:pStyle w:val="2"/>
              <w:spacing w:before="0" w:after="0" w:line="480" w:lineRule="exact"/>
              <w:ind w:left="0" w:firstLine="482" w:firstLineChars="200"/>
              <w:rPr>
                <w:color w:val="auto"/>
                <w:kern w:val="0"/>
                <w:sz w:val="24"/>
                <w:szCs w:val="24"/>
              </w:rPr>
            </w:pPr>
            <w:r>
              <w:rPr>
                <w:rFonts w:hint="eastAsia"/>
                <w:color w:val="auto"/>
                <w:kern w:val="0"/>
                <w:sz w:val="24"/>
                <w:szCs w:val="24"/>
              </w:rPr>
              <w:t>3、</w:t>
            </w:r>
            <w:r>
              <w:rPr>
                <w:color w:val="auto"/>
                <w:kern w:val="0"/>
                <w:sz w:val="24"/>
                <w:szCs w:val="24"/>
              </w:rPr>
              <w:t>与《鄂托克经济开发区国土空间总体规划（2021-2035）蒙西产业园环境影响报告书》及其审查意见的符合性分析</w:t>
            </w:r>
          </w:p>
          <w:p w14:paraId="381B8B95">
            <w:pPr>
              <w:autoSpaceDE w:val="0"/>
              <w:autoSpaceDN w:val="0"/>
              <w:adjustRightInd w:val="0"/>
              <w:snapToGrid w:val="0"/>
              <w:spacing w:line="480" w:lineRule="exact"/>
              <w:ind w:firstLine="480" w:firstLineChars="200"/>
              <w:rPr>
                <w:color w:val="auto"/>
                <w:kern w:val="0"/>
              </w:rPr>
            </w:pPr>
            <w:r>
              <w:rPr>
                <w:color w:val="auto"/>
                <w:kern w:val="0"/>
              </w:rPr>
              <w:t>根据《鄂托克经济开发区国土空间总体规划（2021-2035）蒙西产业园环境影响报告书》以及《鄂托克经济开发区国土空间总体规划（2021-2035）蒙西产业园环境影响报告书》的审查意见（内环审[2024]32号），本项目与其符合性见表1-</w:t>
            </w:r>
            <w:r>
              <w:rPr>
                <w:rFonts w:hint="eastAsia"/>
                <w:color w:val="auto"/>
                <w:kern w:val="0"/>
              </w:rPr>
              <w:t>2</w:t>
            </w:r>
            <w:r>
              <w:rPr>
                <w:color w:val="auto"/>
                <w:kern w:val="0"/>
              </w:rPr>
              <w:t>，表1-</w:t>
            </w:r>
            <w:r>
              <w:rPr>
                <w:rFonts w:hint="eastAsia"/>
                <w:color w:val="auto"/>
                <w:kern w:val="0"/>
              </w:rPr>
              <w:t>3。</w:t>
            </w:r>
          </w:p>
          <w:p w14:paraId="28F7087B">
            <w:pPr>
              <w:autoSpaceDE w:val="0"/>
              <w:autoSpaceDN w:val="0"/>
              <w:adjustRightInd w:val="0"/>
              <w:snapToGrid w:val="0"/>
              <w:spacing w:line="500" w:lineRule="exact"/>
              <w:jc w:val="center"/>
              <w:rPr>
                <w:color w:val="auto"/>
                <w:kern w:val="0"/>
              </w:rPr>
            </w:pPr>
            <w:r>
              <w:rPr>
                <w:b/>
                <w:bCs/>
                <w:color w:val="auto"/>
                <w:kern w:val="0"/>
              </w:rPr>
              <w:t>表1-</w:t>
            </w:r>
            <w:r>
              <w:rPr>
                <w:rFonts w:hint="eastAsia"/>
                <w:b/>
                <w:bCs/>
                <w:color w:val="auto"/>
                <w:kern w:val="0"/>
              </w:rPr>
              <w:t>2</w:t>
            </w:r>
            <w:r>
              <w:rPr>
                <w:b/>
                <w:bCs/>
                <w:color w:val="auto"/>
                <w:kern w:val="0"/>
              </w:rPr>
              <w:t xml:space="preserve">  项目与园区规划环评的相符性分析表</w:t>
            </w:r>
          </w:p>
          <w:tbl>
            <w:tblPr>
              <w:tblStyle w:val="26"/>
              <w:tblW w:w="4993"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29"/>
              <w:gridCol w:w="3184"/>
              <w:gridCol w:w="3509"/>
              <w:gridCol w:w="444"/>
            </w:tblGrid>
            <w:tr w14:paraId="05982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4" w:type="pct"/>
                  <w:tcBorders>
                    <w:tl2br w:val="nil"/>
                    <w:tr2bl w:val="nil"/>
                  </w:tcBorders>
                  <w:vAlign w:val="center"/>
                </w:tcPr>
                <w:p w14:paraId="3FCB4356">
                  <w:pPr>
                    <w:autoSpaceDE w:val="0"/>
                    <w:autoSpaceDN w:val="0"/>
                    <w:adjustRightInd w:val="0"/>
                    <w:snapToGrid w:val="0"/>
                    <w:jc w:val="center"/>
                    <w:rPr>
                      <w:color w:val="auto"/>
                      <w:kern w:val="0"/>
                      <w:sz w:val="21"/>
                      <w:szCs w:val="21"/>
                    </w:rPr>
                  </w:pPr>
                  <w:r>
                    <w:rPr>
                      <w:rFonts w:hint="eastAsia"/>
                      <w:color w:val="auto"/>
                      <w:kern w:val="0"/>
                      <w:sz w:val="21"/>
                      <w:szCs w:val="21"/>
                    </w:rPr>
                    <w:t>序号</w:t>
                  </w:r>
                </w:p>
              </w:tc>
              <w:tc>
                <w:tcPr>
                  <w:tcW w:w="2103" w:type="pct"/>
                  <w:tcBorders>
                    <w:tl2br w:val="nil"/>
                    <w:tr2bl w:val="nil"/>
                  </w:tcBorders>
                  <w:vAlign w:val="center"/>
                </w:tcPr>
                <w:p w14:paraId="5CB03EF7">
                  <w:pPr>
                    <w:autoSpaceDE w:val="0"/>
                    <w:autoSpaceDN w:val="0"/>
                    <w:adjustRightInd w:val="0"/>
                    <w:snapToGrid w:val="0"/>
                    <w:jc w:val="center"/>
                    <w:rPr>
                      <w:color w:val="auto"/>
                      <w:kern w:val="0"/>
                      <w:sz w:val="21"/>
                      <w:szCs w:val="21"/>
                    </w:rPr>
                  </w:pPr>
                  <w:r>
                    <w:rPr>
                      <w:color w:val="auto"/>
                      <w:kern w:val="0"/>
                      <w:sz w:val="21"/>
                      <w:szCs w:val="21"/>
                    </w:rPr>
                    <w:t>规划环评提出的主要环保措施</w:t>
                  </w:r>
                </w:p>
              </w:tc>
              <w:tc>
                <w:tcPr>
                  <w:tcW w:w="2318" w:type="pct"/>
                  <w:tcBorders>
                    <w:tl2br w:val="nil"/>
                    <w:tr2bl w:val="nil"/>
                  </w:tcBorders>
                  <w:vAlign w:val="center"/>
                </w:tcPr>
                <w:p w14:paraId="46D23E50">
                  <w:pPr>
                    <w:autoSpaceDE w:val="0"/>
                    <w:autoSpaceDN w:val="0"/>
                    <w:adjustRightInd w:val="0"/>
                    <w:snapToGrid w:val="0"/>
                    <w:jc w:val="center"/>
                    <w:rPr>
                      <w:color w:val="auto"/>
                      <w:kern w:val="0"/>
                      <w:sz w:val="21"/>
                      <w:szCs w:val="21"/>
                    </w:rPr>
                  </w:pPr>
                  <w:r>
                    <w:rPr>
                      <w:color w:val="auto"/>
                      <w:kern w:val="0"/>
                      <w:sz w:val="21"/>
                      <w:szCs w:val="21"/>
                    </w:rPr>
                    <w:t>本项目环评落实情况</w:t>
                  </w:r>
                </w:p>
              </w:tc>
              <w:tc>
                <w:tcPr>
                  <w:tcW w:w="293" w:type="pct"/>
                  <w:tcBorders>
                    <w:tl2br w:val="nil"/>
                    <w:tr2bl w:val="nil"/>
                  </w:tcBorders>
                  <w:vAlign w:val="center"/>
                </w:tcPr>
                <w:p w14:paraId="39341389">
                  <w:pPr>
                    <w:autoSpaceDE w:val="0"/>
                    <w:autoSpaceDN w:val="0"/>
                    <w:adjustRightInd w:val="0"/>
                    <w:snapToGrid w:val="0"/>
                    <w:jc w:val="center"/>
                    <w:rPr>
                      <w:color w:val="auto"/>
                      <w:kern w:val="0"/>
                      <w:sz w:val="21"/>
                      <w:szCs w:val="21"/>
                    </w:rPr>
                  </w:pPr>
                  <w:r>
                    <w:rPr>
                      <w:color w:val="auto"/>
                      <w:kern w:val="0"/>
                      <w:sz w:val="21"/>
                      <w:szCs w:val="21"/>
                    </w:rPr>
                    <w:t>符合</w:t>
                  </w:r>
                  <w:r>
                    <w:rPr>
                      <w:rFonts w:hint="eastAsia"/>
                      <w:color w:val="auto"/>
                      <w:kern w:val="0"/>
                      <w:sz w:val="21"/>
                      <w:szCs w:val="21"/>
                    </w:rPr>
                    <w:t>性</w:t>
                  </w:r>
                </w:p>
              </w:tc>
            </w:tr>
            <w:tr w14:paraId="097E0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4" w:type="pct"/>
                  <w:tcBorders>
                    <w:tl2br w:val="nil"/>
                    <w:tr2bl w:val="nil"/>
                  </w:tcBorders>
                  <w:vAlign w:val="center"/>
                </w:tcPr>
                <w:p w14:paraId="7BBEAC7E">
                  <w:pPr>
                    <w:jc w:val="center"/>
                    <w:rPr>
                      <w:color w:val="auto"/>
                      <w:sz w:val="21"/>
                      <w:szCs w:val="21"/>
                    </w:rPr>
                  </w:pPr>
                  <w:r>
                    <w:rPr>
                      <w:rFonts w:hint="eastAsia"/>
                      <w:color w:val="auto"/>
                      <w:sz w:val="21"/>
                      <w:szCs w:val="21"/>
                    </w:rPr>
                    <w:t>1</w:t>
                  </w:r>
                </w:p>
              </w:tc>
              <w:tc>
                <w:tcPr>
                  <w:tcW w:w="2103" w:type="pct"/>
                  <w:tcBorders>
                    <w:tl2br w:val="nil"/>
                    <w:tr2bl w:val="nil"/>
                  </w:tcBorders>
                  <w:vAlign w:val="center"/>
                </w:tcPr>
                <w:p w14:paraId="299AAD77">
                  <w:pPr>
                    <w:jc w:val="left"/>
                    <w:rPr>
                      <w:color w:val="auto"/>
                      <w:sz w:val="21"/>
                      <w:szCs w:val="21"/>
                    </w:rPr>
                  </w:pPr>
                  <w:r>
                    <w:rPr>
                      <w:color w:val="auto"/>
                      <w:sz w:val="21"/>
                      <w:szCs w:val="21"/>
                    </w:rPr>
                    <w:t>应满足相关行业准入条件。</w:t>
                  </w:r>
                </w:p>
              </w:tc>
              <w:tc>
                <w:tcPr>
                  <w:tcW w:w="2318" w:type="pct"/>
                  <w:tcBorders>
                    <w:tl2br w:val="nil"/>
                    <w:tr2bl w:val="nil"/>
                  </w:tcBorders>
                  <w:vAlign w:val="center"/>
                </w:tcPr>
                <w:p w14:paraId="408A003B">
                  <w:pPr>
                    <w:autoSpaceDE w:val="0"/>
                    <w:autoSpaceDN w:val="0"/>
                    <w:adjustRightInd w:val="0"/>
                    <w:snapToGrid w:val="0"/>
                    <w:jc w:val="left"/>
                    <w:rPr>
                      <w:color w:val="auto"/>
                      <w:kern w:val="0"/>
                      <w:sz w:val="21"/>
                      <w:szCs w:val="21"/>
                    </w:rPr>
                  </w:pPr>
                  <w:r>
                    <w:rPr>
                      <w:bCs/>
                      <w:color w:val="auto"/>
                      <w:sz w:val="21"/>
                      <w:szCs w:val="21"/>
                    </w:rPr>
                    <w:t>本项目为鼓励类，符合国家的产业政策</w:t>
                  </w:r>
                </w:p>
              </w:tc>
              <w:tc>
                <w:tcPr>
                  <w:tcW w:w="293" w:type="pct"/>
                  <w:tcBorders>
                    <w:tl2br w:val="nil"/>
                    <w:tr2bl w:val="nil"/>
                  </w:tcBorders>
                  <w:vAlign w:val="center"/>
                </w:tcPr>
                <w:p w14:paraId="3581B079">
                  <w:pPr>
                    <w:autoSpaceDE w:val="0"/>
                    <w:autoSpaceDN w:val="0"/>
                    <w:adjustRightInd w:val="0"/>
                    <w:snapToGrid w:val="0"/>
                    <w:jc w:val="center"/>
                    <w:rPr>
                      <w:color w:val="auto"/>
                      <w:kern w:val="0"/>
                      <w:sz w:val="21"/>
                      <w:szCs w:val="21"/>
                    </w:rPr>
                  </w:pPr>
                  <w:r>
                    <w:rPr>
                      <w:color w:val="auto"/>
                      <w:kern w:val="0"/>
                      <w:sz w:val="21"/>
                      <w:szCs w:val="21"/>
                    </w:rPr>
                    <w:t>符合</w:t>
                  </w:r>
                </w:p>
              </w:tc>
            </w:tr>
            <w:tr w14:paraId="30EC6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4" w:type="pct"/>
                  <w:tcBorders>
                    <w:tl2br w:val="nil"/>
                    <w:tr2bl w:val="nil"/>
                  </w:tcBorders>
                  <w:vAlign w:val="center"/>
                </w:tcPr>
                <w:p w14:paraId="062503B3">
                  <w:pPr>
                    <w:jc w:val="center"/>
                    <w:rPr>
                      <w:color w:val="auto"/>
                      <w:sz w:val="21"/>
                      <w:szCs w:val="21"/>
                    </w:rPr>
                  </w:pPr>
                  <w:r>
                    <w:rPr>
                      <w:rFonts w:hint="eastAsia"/>
                      <w:color w:val="auto"/>
                      <w:sz w:val="21"/>
                      <w:szCs w:val="21"/>
                    </w:rPr>
                    <w:t>2</w:t>
                  </w:r>
                </w:p>
              </w:tc>
              <w:tc>
                <w:tcPr>
                  <w:tcW w:w="2103" w:type="pct"/>
                  <w:tcBorders>
                    <w:tl2br w:val="nil"/>
                    <w:tr2bl w:val="nil"/>
                  </w:tcBorders>
                  <w:vAlign w:val="center"/>
                </w:tcPr>
                <w:p w14:paraId="72C87AA6">
                  <w:pPr>
                    <w:jc w:val="left"/>
                    <w:rPr>
                      <w:color w:val="auto"/>
                      <w:sz w:val="21"/>
                      <w:szCs w:val="21"/>
                    </w:rPr>
                  </w:pPr>
                  <w:r>
                    <w:rPr>
                      <w:color w:val="auto"/>
                      <w:sz w:val="21"/>
                      <w:szCs w:val="21"/>
                    </w:rPr>
                    <w:t>必须根据清污分流、污污分流、深度处理、分质回用的原则设计废水处理处置方案，选用经工业化应用或中试成熟、经济可行的技术。园区存在无纳污水体的环境限制，拟入区项目产生的废水，必须有可靠的处理去向，不得进入周边水体</w:t>
                  </w:r>
                </w:p>
              </w:tc>
              <w:tc>
                <w:tcPr>
                  <w:tcW w:w="2318" w:type="pct"/>
                  <w:tcBorders>
                    <w:tl2br w:val="nil"/>
                    <w:tr2bl w:val="nil"/>
                  </w:tcBorders>
                  <w:vAlign w:val="center"/>
                </w:tcPr>
                <w:p w14:paraId="36997740">
                  <w:pPr>
                    <w:autoSpaceDE w:val="0"/>
                    <w:autoSpaceDN w:val="0"/>
                    <w:adjustRightInd w:val="0"/>
                    <w:snapToGrid w:val="0"/>
                    <w:jc w:val="left"/>
                    <w:rPr>
                      <w:color w:val="auto"/>
                      <w:kern w:val="0"/>
                      <w:sz w:val="21"/>
                      <w:szCs w:val="21"/>
                    </w:rPr>
                  </w:pPr>
                  <w:r>
                    <w:rPr>
                      <w:rFonts w:hint="eastAsia"/>
                      <w:bCs/>
                      <w:color w:val="auto"/>
                      <w:sz w:val="21"/>
                      <w:szCs w:val="21"/>
                      <w:lang w:bidi="ar"/>
                    </w:rPr>
                    <w:t>项目清洗废水经一体化污水处理设施处理后</w:t>
                  </w:r>
                  <w:r>
                    <w:rPr>
                      <w:rFonts w:hint="eastAsia"/>
                      <w:color w:val="auto"/>
                      <w:sz w:val="21"/>
                      <w:lang w:val="en-US" w:eastAsia="zh-CN"/>
                    </w:rPr>
                    <w:t>用于厂区绿化、道路洒水</w:t>
                  </w:r>
                  <w:r>
                    <w:rPr>
                      <w:rFonts w:hint="eastAsia"/>
                      <w:color w:val="auto"/>
                      <w:sz w:val="21"/>
                    </w:rPr>
                    <w:t>；生活污水经化粪池处理后经园区污水管网排入蒙西工业园区生活污水处理厂</w:t>
                  </w:r>
                  <w:r>
                    <w:rPr>
                      <w:rFonts w:hint="eastAsia"/>
                      <w:color w:val="auto"/>
                      <w:kern w:val="0"/>
                      <w:sz w:val="21"/>
                      <w:szCs w:val="21"/>
                    </w:rPr>
                    <w:t>；园区已建污水处理厂产生中水回用全部回用</w:t>
                  </w:r>
                  <w:r>
                    <w:rPr>
                      <w:rFonts w:hint="eastAsia"/>
                      <w:color w:val="auto"/>
                      <w:sz w:val="21"/>
                    </w:rPr>
                    <w:t>园区的绿化以及其他工业企业，不外排。</w:t>
                  </w:r>
                </w:p>
              </w:tc>
              <w:tc>
                <w:tcPr>
                  <w:tcW w:w="293" w:type="pct"/>
                  <w:tcBorders>
                    <w:tl2br w:val="nil"/>
                    <w:tr2bl w:val="nil"/>
                  </w:tcBorders>
                  <w:vAlign w:val="center"/>
                </w:tcPr>
                <w:p w14:paraId="2EB62E7B">
                  <w:pPr>
                    <w:autoSpaceDE w:val="0"/>
                    <w:autoSpaceDN w:val="0"/>
                    <w:adjustRightInd w:val="0"/>
                    <w:snapToGrid w:val="0"/>
                    <w:jc w:val="center"/>
                    <w:rPr>
                      <w:color w:val="auto"/>
                      <w:kern w:val="0"/>
                      <w:sz w:val="21"/>
                      <w:szCs w:val="21"/>
                    </w:rPr>
                  </w:pPr>
                  <w:r>
                    <w:rPr>
                      <w:color w:val="auto"/>
                      <w:kern w:val="0"/>
                      <w:sz w:val="21"/>
                      <w:szCs w:val="21"/>
                    </w:rPr>
                    <w:t>符合</w:t>
                  </w:r>
                </w:p>
              </w:tc>
            </w:tr>
            <w:tr w14:paraId="54E07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4" w:type="pct"/>
                  <w:tcBorders>
                    <w:tl2br w:val="nil"/>
                    <w:tr2bl w:val="nil"/>
                  </w:tcBorders>
                  <w:vAlign w:val="center"/>
                </w:tcPr>
                <w:p w14:paraId="38988301">
                  <w:pPr>
                    <w:jc w:val="center"/>
                    <w:rPr>
                      <w:color w:val="auto"/>
                      <w:sz w:val="21"/>
                      <w:szCs w:val="21"/>
                    </w:rPr>
                  </w:pPr>
                  <w:r>
                    <w:rPr>
                      <w:rFonts w:hint="eastAsia"/>
                      <w:color w:val="auto"/>
                      <w:sz w:val="21"/>
                      <w:szCs w:val="21"/>
                    </w:rPr>
                    <w:t>3</w:t>
                  </w:r>
                </w:p>
              </w:tc>
              <w:tc>
                <w:tcPr>
                  <w:tcW w:w="2103" w:type="pct"/>
                  <w:tcBorders>
                    <w:tl2br w:val="nil"/>
                    <w:tr2bl w:val="nil"/>
                  </w:tcBorders>
                  <w:vAlign w:val="center"/>
                </w:tcPr>
                <w:p w14:paraId="2CDC07EC">
                  <w:pPr>
                    <w:jc w:val="left"/>
                    <w:rPr>
                      <w:color w:val="auto"/>
                      <w:sz w:val="21"/>
                      <w:szCs w:val="21"/>
                    </w:rPr>
                  </w:pPr>
                  <w:r>
                    <w:rPr>
                      <w:color w:val="auto"/>
                      <w:sz w:val="21"/>
                      <w:szCs w:val="21"/>
                    </w:rPr>
                    <w:t>园区存在无纳污水体的环境限制，园区大型化工企业废水必须实现零排放的限制要求，在废水处理技术、废水处置方案等方面具有环保示范意义的项目，</w:t>
                  </w:r>
                </w:p>
              </w:tc>
              <w:tc>
                <w:tcPr>
                  <w:tcW w:w="2318" w:type="pct"/>
                  <w:tcBorders>
                    <w:tl2br w:val="nil"/>
                    <w:tr2bl w:val="nil"/>
                  </w:tcBorders>
                  <w:vAlign w:val="center"/>
                </w:tcPr>
                <w:p w14:paraId="6D9B21BC">
                  <w:pPr>
                    <w:autoSpaceDE w:val="0"/>
                    <w:autoSpaceDN w:val="0"/>
                    <w:adjustRightInd w:val="0"/>
                    <w:snapToGrid w:val="0"/>
                    <w:jc w:val="left"/>
                    <w:rPr>
                      <w:color w:val="auto"/>
                      <w:kern w:val="0"/>
                      <w:sz w:val="21"/>
                      <w:szCs w:val="21"/>
                    </w:rPr>
                  </w:pPr>
                  <w:r>
                    <w:rPr>
                      <w:color w:val="auto"/>
                      <w:kern w:val="0"/>
                      <w:sz w:val="21"/>
                      <w:szCs w:val="21"/>
                    </w:rPr>
                    <w:t>本项目不是</w:t>
                  </w:r>
                  <w:r>
                    <w:rPr>
                      <w:color w:val="auto"/>
                      <w:sz w:val="21"/>
                      <w:szCs w:val="21"/>
                    </w:rPr>
                    <w:t>大型化工</w:t>
                  </w:r>
                  <w:r>
                    <w:rPr>
                      <w:rFonts w:hint="eastAsia"/>
                      <w:color w:val="auto"/>
                      <w:sz w:val="21"/>
                      <w:szCs w:val="21"/>
                    </w:rPr>
                    <w:t>项目。</w:t>
                  </w:r>
                </w:p>
              </w:tc>
              <w:tc>
                <w:tcPr>
                  <w:tcW w:w="293" w:type="pct"/>
                  <w:tcBorders>
                    <w:tl2br w:val="nil"/>
                    <w:tr2bl w:val="nil"/>
                  </w:tcBorders>
                  <w:vAlign w:val="center"/>
                </w:tcPr>
                <w:p w14:paraId="3C4614D6">
                  <w:pPr>
                    <w:autoSpaceDE w:val="0"/>
                    <w:autoSpaceDN w:val="0"/>
                    <w:adjustRightInd w:val="0"/>
                    <w:snapToGrid w:val="0"/>
                    <w:jc w:val="center"/>
                    <w:rPr>
                      <w:color w:val="auto"/>
                      <w:kern w:val="0"/>
                      <w:sz w:val="21"/>
                      <w:szCs w:val="21"/>
                    </w:rPr>
                  </w:pPr>
                  <w:r>
                    <w:rPr>
                      <w:color w:val="auto"/>
                      <w:kern w:val="0"/>
                      <w:sz w:val="21"/>
                      <w:szCs w:val="21"/>
                    </w:rPr>
                    <w:t>符合</w:t>
                  </w:r>
                </w:p>
              </w:tc>
            </w:tr>
            <w:tr w14:paraId="43AD3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4" w:type="pct"/>
                  <w:tcBorders>
                    <w:tl2br w:val="nil"/>
                    <w:tr2bl w:val="nil"/>
                  </w:tcBorders>
                  <w:vAlign w:val="center"/>
                </w:tcPr>
                <w:p w14:paraId="17593B8F">
                  <w:pPr>
                    <w:jc w:val="center"/>
                    <w:rPr>
                      <w:color w:val="auto"/>
                      <w:sz w:val="21"/>
                      <w:szCs w:val="21"/>
                    </w:rPr>
                  </w:pPr>
                  <w:r>
                    <w:rPr>
                      <w:rFonts w:hint="eastAsia"/>
                      <w:color w:val="auto"/>
                      <w:sz w:val="21"/>
                      <w:szCs w:val="21"/>
                    </w:rPr>
                    <w:t>4</w:t>
                  </w:r>
                </w:p>
              </w:tc>
              <w:tc>
                <w:tcPr>
                  <w:tcW w:w="2103" w:type="pct"/>
                  <w:tcBorders>
                    <w:tl2br w:val="nil"/>
                    <w:tr2bl w:val="nil"/>
                  </w:tcBorders>
                  <w:vAlign w:val="center"/>
                </w:tcPr>
                <w:p w14:paraId="3456C4F3">
                  <w:pPr>
                    <w:jc w:val="left"/>
                    <w:rPr>
                      <w:color w:val="auto"/>
                      <w:sz w:val="21"/>
                      <w:szCs w:val="21"/>
                    </w:rPr>
                  </w:pPr>
                  <w:r>
                    <w:rPr>
                      <w:color w:val="auto"/>
                      <w:sz w:val="21"/>
                      <w:szCs w:val="21"/>
                    </w:rPr>
                    <w:t>以水定产，园区引入项目应重点评估水耗指标，取用地表水不得挤占生态用水、生活用水和黄河水。禁止取用地下水作为生产用水</w:t>
                  </w:r>
                </w:p>
              </w:tc>
              <w:tc>
                <w:tcPr>
                  <w:tcW w:w="2318" w:type="pct"/>
                  <w:tcBorders>
                    <w:tl2br w:val="nil"/>
                    <w:tr2bl w:val="nil"/>
                  </w:tcBorders>
                  <w:vAlign w:val="center"/>
                </w:tcPr>
                <w:p w14:paraId="7F42F3FD">
                  <w:pPr>
                    <w:autoSpaceDE w:val="0"/>
                    <w:autoSpaceDN w:val="0"/>
                    <w:adjustRightInd w:val="0"/>
                    <w:snapToGrid w:val="0"/>
                    <w:jc w:val="left"/>
                    <w:rPr>
                      <w:color w:val="auto"/>
                      <w:kern w:val="0"/>
                      <w:sz w:val="21"/>
                      <w:szCs w:val="21"/>
                    </w:rPr>
                  </w:pPr>
                  <w:r>
                    <w:rPr>
                      <w:color w:val="auto"/>
                      <w:kern w:val="0"/>
                      <w:sz w:val="21"/>
                      <w:szCs w:val="21"/>
                    </w:rPr>
                    <w:t>本项目</w:t>
                  </w:r>
                  <w:r>
                    <w:rPr>
                      <w:rFonts w:hint="eastAsia"/>
                      <w:bCs/>
                      <w:color w:val="auto"/>
                      <w:sz w:val="21"/>
                      <w:szCs w:val="21"/>
                    </w:rPr>
                    <w:t>用水依托园区供水管网，园区目前的工业生产供水来源为引黄水和污水处理厂中水，不取用地下水。</w:t>
                  </w:r>
                </w:p>
              </w:tc>
              <w:tc>
                <w:tcPr>
                  <w:tcW w:w="293" w:type="pct"/>
                  <w:tcBorders>
                    <w:tl2br w:val="nil"/>
                    <w:tr2bl w:val="nil"/>
                  </w:tcBorders>
                  <w:vAlign w:val="center"/>
                </w:tcPr>
                <w:p w14:paraId="5F25F9BA">
                  <w:pPr>
                    <w:autoSpaceDE w:val="0"/>
                    <w:autoSpaceDN w:val="0"/>
                    <w:adjustRightInd w:val="0"/>
                    <w:snapToGrid w:val="0"/>
                    <w:jc w:val="center"/>
                    <w:rPr>
                      <w:color w:val="auto"/>
                      <w:kern w:val="0"/>
                      <w:sz w:val="21"/>
                      <w:szCs w:val="21"/>
                    </w:rPr>
                  </w:pPr>
                  <w:r>
                    <w:rPr>
                      <w:color w:val="auto"/>
                      <w:kern w:val="0"/>
                      <w:sz w:val="21"/>
                      <w:szCs w:val="21"/>
                    </w:rPr>
                    <w:t>符合</w:t>
                  </w:r>
                </w:p>
              </w:tc>
            </w:tr>
            <w:tr w14:paraId="6E6E5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4" w:type="pct"/>
                  <w:tcBorders>
                    <w:tl2br w:val="nil"/>
                    <w:tr2bl w:val="nil"/>
                  </w:tcBorders>
                  <w:vAlign w:val="center"/>
                </w:tcPr>
                <w:p w14:paraId="115C1799">
                  <w:pPr>
                    <w:jc w:val="center"/>
                    <w:rPr>
                      <w:color w:val="auto"/>
                      <w:sz w:val="21"/>
                      <w:szCs w:val="21"/>
                    </w:rPr>
                  </w:pPr>
                  <w:r>
                    <w:rPr>
                      <w:rFonts w:hint="eastAsia"/>
                      <w:color w:val="auto"/>
                      <w:sz w:val="21"/>
                      <w:szCs w:val="21"/>
                    </w:rPr>
                    <w:t>5</w:t>
                  </w:r>
                </w:p>
              </w:tc>
              <w:tc>
                <w:tcPr>
                  <w:tcW w:w="2103" w:type="pct"/>
                  <w:tcBorders>
                    <w:tl2br w:val="nil"/>
                    <w:tr2bl w:val="nil"/>
                  </w:tcBorders>
                  <w:vAlign w:val="center"/>
                </w:tcPr>
                <w:p w14:paraId="4E32FE04">
                  <w:pPr>
                    <w:jc w:val="left"/>
                    <w:rPr>
                      <w:color w:val="auto"/>
                      <w:sz w:val="21"/>
                      <w:szCs w:val="21"/>
                    </w:rPr>
                  </w:pPr>
                  <w:r>
                    <w:rPr>
                      <w:color w:val="auto"/>
                      <w:sz w:val="21"/>
                      <w:szCs w:val="21"/>
                    </w:rPr>
                    <w:t>园区内企业产生的工业固废临时贮存，应分类管理、隔离分区贮存，尤其是煤矸石、脱硫渣、灰渣应单独贮存，以便分别运往园区渣场隔离分区贮存，方便后续综合利用</w:t>
                  </w:r>
                </w:p>
              </w:tc>
              <w:tc>
                <w:tcPr>
                  <w:tcW w:w="2318" w:type="pct"/>
                  <w:tcBorders>
                    <w:tl2br w:val="nil"/>
                    <w:tr2bl w:val="nil"/>
                  </w:tcBorders>
                  <w:vAlign w:val="center"/>
                </w:tcPr>
                <w:p w14:paraId="1FFF82C0">
                  <w:pPr>
                    <w:autoSpaceDE w:val="0"/>
                    <w:autoSpaceDN w:val="0"/>
                    <w:adjustRightInd w:val="0"/>
                    <w:snapToGrid w:val="0"/>
                    <w:jc w:val="left"/>
                    <w:rPr>
                      <w:color w:val="auto"/>
                      <w:kern w:val="0"/>
                      <w:sz w:val="21"/>
                      <w:szCs w:val="21"/>
                    </w:rPr>
                  </w:pPr>
                  <w:r>
                    <w:rPr>
                      <w:color w:val="auto"/>
                      <w:kern w:val="0"/>
                      <w:sz w:val="21"/>
                      <w:szCs w:val="21"/>
                    </w:rPr>
                    <w:t>本项目危险废物</w:t>
                  </w:r>
                  <w:r>
                    <w:rPr>
                      <w:rFonts w:hint="eastAsia"/>
                      <w:color w:val="auto"/>
                      <w:kern w:val="0"/>
                      <w:sz w:val="21"/>
                      <w:szCs w:val="21"/>
                    </w:rPr>
                    <w:t>暂存于</w:t>
                  </w:r>
                  <w:r>
                    <w:rPr>
                      <w:color w:val="auto"/>
                      <w:kern w:val="0"/>
                      <w:sz w:val="21"/>
                      <w:szCs w:val="21"/>
                    </w:rPr>
                    <w:t>危废库，</w:t>
                  </w:r>
                  <w:r>
                    <w:rPr>
                      <w:rFonts w:hint="eastAsia"/>
                      <w:color w:val="auto"/>
                      <w:kern w:val="0"/>
                      <w:sz w:val="21"/>
                      <w:szCs w:val="21"/>
                    </w:rPr>
                    <w:t>并</w:t>
                  </w:r>
                  <w:r>
                    <w:rPr>
                      <w:color w:val="auto"/>
                      <w:kern w:val="0"/>
                      <w:sz w:val="21"/>
                      <w:szCs w:val="21"/>
                    </w:rPr>
                    <w:t>进行</w:t>
                  </w:r>
                  <w:r>
                    <w:rPr>
                      <w:color w:val="auto"/>
                      <w:sz w:val="21"/>
                      <w:szCs w:val="21"/>
                    </w:rPr>
                    <w:t>分类管理和隔离分区储存。</w:t>
                  </w:r>
                </w:p>
              </w:tc>
              <w:tc>
                <w:tcPr>
                  <w:tcW w:w="293" w:type="pct"/>
                  <w:tcBorders>
                    <w:tl2br w:val="nil"/>
                    <w:tr2bl w:val="nil"/>
                  </w:tcBorders>
                  <w:vAlign w:val="center"/>
                </w:tcPr>
                <w:p w14:paraId="1AF2CEA4">
                  <w:pPr>
                    <w:autoSpaceDE w:val="0"/>
                    <w:autoSpaceDN w:val="0"/>
                    <w:adjustRightInd w:val="0"/>
                    <w:snapToGrid w:val="0"/>
                    <w:jc w:val="center"/>
                    <w:rPr>
                      <w:color w:val="auto"/>
                      <w:kern w:val="0"/>
                      <w:sz w:val="21"/>
                      <w:szCs w:val="21"/>
                    </w:rPr>
                  </w:pPr>
                  <w:r>
                    <w:rPr>
                      <w:color w:val="auto"/>
                      <w:kern w:val="0"/>
                      <w:sz w:val="21"/>
                      <w:szCs w:val="21"/>
                    </w:rPr>
                    <w:t>符合</w:t>
                  </w:r>
                </w:p>
              </w:tc>
            </w:tr>
            <w:tr w14:paraId="5A177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4" w:type="pct"/>
                  <w:tcBorders>
                    <w:tl2br w:val="nil"/>
                    <w:tr2bl w:val="nil"/>
                  </w:tcBorders>
                  <w:vAlign w:val="center"/>
                </w:tcPr>
                <w:p w14:paraId="5BD3D17B">
                  <w:pPr>
                    <w:jc w:val="center"/>
                    <w:rPr>
                      <w:color w:val="auto"/>
                      <w:sz w:val="21"/>
                      <w:szCs w:val="21"/>
                    </w:rPr>
                  </w:pPr>
                  <w:r>
                    <w:rPr>
                      <w:rFonts w:hint="eastAsia"/>
                      <w:color w:val="auto"/>
                      <w:sz w:val="21"/>
                      <w:szCs w:val="21"/>
                    </w:rPr>
                    <w:t>6</w:t>
                  </w:r>
                </w:p>
              </w:tc>
              <w:tc>
                <w:tcPr>
                  <w:tcW w:w="2103" w:type="pct"/>
                  <w:tcBorders>
                    <w:tl2br w:val="nil"/>
                    <w:tr2bl w:val="nil"/>
                  </w:tcBorders>
                  <w:vAlign w:val="center"/>
                </w:tcPr>
                <w:p w14:paraId="00BB45FD">
                  <w:pPr>
                    <w:jc w:val="left"/>
                    <w:rPr>
                      <w:color w:val="auto"/>
                      <w:sz w:val="21"/>
                      <w:szCs w:val="21"/>
                    </w:rPr>
                  </w:pPr>
                  <w:r>
                    <w:rPr>
                      <w:color w:val="auto"/>
                      <w:sz w:val="21"/>
                      <w:szCs w:val="21"/>
                    </w:rPr>
                    <w:t>必须落实地下水污染防治工作。根据地下水水文地质情况，合理确定污染防治分区，厂区开展分区防渗，并制定有效的地下水监控和应急措施。暂存池等设施的选址及地下水防渗、监控措施还应参照《危险废物填埋污染控制标准》</w:t>
                  </w:r>
                  <w:commentRangeStart w:id="0"/>
                  <w:commentRangeStart w:id="1"/>
                  <w:r>
                    <w:rPr>
                      <w:color w:val="auto"/>
                      <w:sz w:val="21"/>
                      <w:szCs w:val="21"/>
                    </w:rPr>
                    <w:t>（GB18598</w:t>
                  </w:r>
                  <w:r>
                    <w:rPr>
                      <w:rFonts w:hint="eastAsia"/>
                      <w:color w:val="auto"/>
                      <w:sz w:val="21"/>
                      <w:szCs w:val="21"/>
                      <w:lang w:val="en-US" w:eastAsia="zh-CN"/>
                    </w:rPr>
                    <w:t>-</w:t>
                  </w:r>
                  <w:r>
                    <w:rPr>
                      <w:rFonts w:hint="eastAsia"/>
                      <w:color w:val="0000FF"/>
                      <w:sz w:val="21"/>
                      <w:szCs w:val="21"/>
                      <w:lang w:val="en-US" w:eastAsia="zh-CN"/>
                    </w:rPr>
                    <w:t>2019</w:t>
                  </w:r>
                  <w:r>
                    <w:rPr>
                      <w:color w:val="auto"/>
                      <w:sz w:val="21"/>
                      <w:szCs w:val="21"/>
                    </w:rPr>
                    <w:t>）</w:t>
                  </w:r>
                  <w:commentRangeEnd w:id="0"/>
                  <w:r>
                    <w:rPr>
                      <w:color w:val="auto"/>
                    </w:rPr>
                    <w:commentReference w:id="0"/>
                  </w:r>
                  <w:commentRangeEnd w:id="1"/>
                  <w:r>
                    <w:commentReference w:id="1"/>
                  </w:r>
                  <w:r>
                    <w:rPr>
                      <w:color w:val="auto"/>
                      <w:sz w:val="21"/>
                      <w:szCs w:val="21"/>
                    </w:rPr>
                    <w:t>，防止污染地下水</w:t>
                  </w:r>
                </w:p>
              </w:tc>
              <w:tc>
                <w:tcPr>
                  <w:tcW w:w="2318" w:type="pct"/>
                  <w:tcBorders>
                    <w:tl2br w:val="nil"/>
                    <w:tr2bl w:val="nil"/>
                  </w:tcBorders>
                  <w:vAlign w:val="center"/>
                </w:tcPr>
                <w:p w14:paraId="43E0228D">
                  <w:pPr>
                    <w:autoSpaceDE w:val="0"/>
                    <w:autoSpaceDN w:val="0"/>
                    <w:adjustRightInd w:val="0"/>
                    <w:snapToGrid w:val="0"/>
                    <w:jc w:val="left"/>
                    <w:rPr>
                      <w:color w:val="auto"/>
                      <w:kern w:val="0"/>
                      <w:sz w:val="21"/>
                      <w:szCs w:val="21"/>
                    </w:rPr>
                  </w:pPr>
                  <w:r>
                    <w:rPr>
                      <w:color w:val="auto"/>
                      <w:kern w:val="0"/>
                      <w:sz w:val="21"/>
                      <w:szCs w:val="21"/>
                    </w:rPr>
                    <w:t>本项目采取了合理的地下水</w:t>
                  </w:r>
                  <w:r>
                    <w:rPr>
                      <w:color w:val="auto"/>
                      <w:sz w:val="21"/>
                      <w:szCs w:val="21"/>
                    </w:rPr>
                    <w:t>污染防治分区，厂区内采取了分区防渗。</w:t>
                  </w:r>
                </w:p>
              </w:tc>
              <w:tc>
                <w:tcPr>
                  <w:tcW w:w="293" w:type="pct"/>
                  <w:tcBorders>
                    <w:tl2br w:val="nil"/>
                    <w:tr2bl w:val="nil"/>
                  </w:tcBorders>
                  <w:vAlign w:val="center"/>
                </w:tcPr>
                <w:p w14:paraId="687CF009">
                  <w:pPr>
                    <w:autoSpaceDE w:val="0"/>
                    <w:autoSpaceDN w:val="0"/>
                    <w:adjustRightInd w:val="0"/>
                    <w:snapToGrid w:val="0"/>
                    <w:jc w:val="center"/>
                    <w:rPr>
                      <w:color w:val="auto"/>
                      <w:kern w:val="0"/>
                      <w:sz w:val="21"/>
                      <w:szCs w:val="21"/>
                    </w:rPr>
                  </w:pPr>
                  <w:r>
                    <w:rPr>
                      <w:color w:val="auto"/>
                      <w:kern w:val="0"/>
                      <w:sz w:val="21"/>
                      <w:szCs w:val="21"/>
                    </w:rPr>
                    <w:t>符合</w:t>
                  </w:r>
                </w:p>
              </w:tc>
            </w:tr>
            <w:tr w14:paraId="04A56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4" w:type="pct"/>
                  <w:tcBorders>
                    <w:tl2br w:val="nil"/>
                    <w:tr2bl w:val="nil"/>
                  </w:tcBorders>
                  <w:vAlign w:val="center"/>
                </w:tcPr>
                <w:p w14:paraId="17A819DE">
                  <w:pPr>
                    <w:jc w:val="center"/>
                    <w:rPr>
                      <w:color w:val="auto"/>
                      <w:sz w:val="21"/>
                      <w:szCs w:val="21"/>
                    </w:rPr>
                  </w:pPr>
                  <w:r>
                    <w:rPr>
                      <w:rFonts w:hint="eastAsia"/>
                      <w:color w:val="auto"/>
                      <w:sz w:val="21"/>
                      <w:szCs w:val="21"/>
                    </w:rPr>
                    <w:t>7</w:t>
                  </w:r>
                </w:p>
              </w:tc>
              <w:tc>
                <w:tcPr>
                  <w:tcW w:w="2103" w:type="pct"/>
                  <w:tcBorders>
                    <w:tl2br w:val="nil"/>
                    <w:tr2bl w:val="nil"/>
                  </w:tcBorders>
                  <w:vAlign w:val="center"/>
                </w:tcPr>
                <w:p w14:paraId="4F3B1B9B">
                  <w:pPr>
                    <w:jc w:val="left"/>
                    <w:rPr>
                      <w:color w:val="auto"/>
                      <w:sz w:val="21"/>
                      <w:szCs w:val="21"/>
                    </w:rPr>
                  </w:pPr>
                  <w:r>
                    <w:rPr>
                      <w:color w:val="auto"/>
                      <w:sz w:val="21"/>
                      <w:szCs w:val="21"/>
                    </w:rPr>
                    <w:t>应加强土地沙化的预防与治理，全过程防治水土流失。进入园区的项目不得占用林地、基本草原等，改善区域生态环境</w:t>
                  </w:r>
                </w:p>
              </w:tc>
              <w:tc>
                <w:tcPr>
                  <w:tcW w:w="2318" w:type="pct"/>
                  <w:tcBorders>
                    <w:tl2br w:val="nil"/>
                    <w:tr2bl w:val="nil"/>
                  </w:tcBorders>
                  <w:vAlign w:val="center"/>
                </w:tcPr>
                <w:p w14:paraId="3B1CE8E9">
                  <w:pPr>
                    <w:autoSpaceDE w:val="0"/>
                    <w:autoSpaceDN w:val="0"/>
                    <w:adjustRightInd w:val="0"/>
                    <w:snapToGrid w:val="0"/>
                    <w:jc w:val="left"/>
                    <w:rPr>
                      <w:color w:val="auto"/>
                      <w:kern w:val="0"/>
                      <w:sz w:val="21"/>
                      <w:szCs w:val="21"/>
                    </w:rPr>
                  </w:pPr>
                  <w:r>
                    <w:rPr>
                      <w:color w:val="auto"/>
                      <w:kern w:val="0"/>
                      <w:sz w:val="21"/>
                      <w:szCs w:val="21"/>
                    </w:rPr>
                    <w:t>本项目按照水土保持三同时进行建设</w:t>
                  </w:r>
                  <w:r>
                    <w:rPr>
                      <w:color w:val="auto"/>
                      <w:sz w:val="21"/>
                      <w:szCs w:val="21"/>
                    </w:rPr>
                    <w:t>，全过程防治水土流失，本</w:t>
                  </w:r>
                  <w:r>
                    <w:rPr>
                      <w:color w:val="auto"/>
                      <w:kern w:val="0"/>
                      <w:sz w:val="21"/>
                      <w:szCs w:val="21"/>
                    </w:rPr>
                    <w:t>项目位于蒙西产业园区，不占用</w:t>
                  </w:r>
                  <w:r>
                    <w:rPr>
                      <w:color w:val="auto"/>
                      <w:sz w:val="21"/>
                      <w:szCs w:val="21"/>
                    </w:rPr>
                    <w:t>林地、基本草原等</w:t>
                  </w:r>
                </w:p>
              </w:tc>
              <w:tc>
                <w:tcPr>
                  <w:tcW w:w="293" w:type="pct"/>
                  <w:tcBorders>
                    <w:tl2br w:val="nil"/>
                    <w:tr2bl w:val="nil"/>
                  </w:tcBorders>
                  <w:vAlign w:val="center"/>
                </w:tcPr>
                <w:p w14:paraId="2C7DF7D9">
                  <w:pPr>
                    <w:autoSpaceDE w:val="0"/>
                    <w:autoSpaceDN w:val="0"/>
                    <w:adjustRightInd w:val="0"/>
                    <w:snapToGrid w:val="0"/>
                    <w:jc w:val="center"/>
                    <w:rPr>
                      <w:color w:val="auto"/>
                      <w:kern w:val="0"/>
                      <w:sz w:val="21"/>
                      <w:szCs w:val="21"/>
                    </w:rPr>
                  </w:pPr>
                  <w:r>
                    <w:rPr>
                      <w:color w:val="auto"/>
                      <w:kern w:val="0"/>
                      <w:sz w:val="21"/>
                      <w:szCs w:val="21"/>
                    </w:rPr>
                    <w:t>符合</w:t>
                  </w:r>
                </w:p>
              </w:tc>
            </w:tr>
            <w:tr w14:paraId="2B7CE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4" w:type="pct"/>
                  <w:tcBorders>
                    <w:tl2br w:val="nil"/>
                    <w:tr2bl w:val="nil"/>
                  </w:tcBorders>
                  <w:vAlign w:val="center"/>
                </w:tcPr>
                <w:p w14:paraId="6547AF94">
                  <w:pPr>
                    <w:jc w:val="center"/>
                    <w:rPr>
                      <w:color w:val="auto"/>
                      <w:sz w:val="21"/>
                      <w:szCs w:val="21"/>
                    </w:rPr>
                  </w:pPr>
                  <w:r>
                    <w:rPr>
                      <w:rFonts w:hint="eastAsia"/>
                      <w:color w:val="auto"/>
                      <w:sz w:val="21"/>
                      <w:szCs w:val="21"/>
                    </w:rPr>
                    <w:t>8</w:t>
                  </w:r>
                </w:p>
              </w:tc>
              <w:tc>
                <w:tcPr>
                  <w:tcW w:w="2103" w:type="pct"/>
                  <w:tcBorders>
                    <w:tl2br w:val="nil"/>
                    <w:tr2bl w:val="nil"/>
                  </w:tcBorders>
                  <w:vAlign w:val="center"/>
                </w:tcPr>
                <w:p w14:paraId="2B655284">
                  <w:pPr>
                    <w:jc w:val="left"/>
                    <w:rPr>
                      <w:color w:val="auto"/>
                      <w:sz w:val="21"/>
                      <w:szCs w:val="21"/>
                    </w:rPr>
                  </w:pPr>
                  <w:r>
                    <w:rPr>
                      <w:color w:val="auto"/>
                      <w:sz w:val="21"/>
                      <w:szCs w:val="21"/>
                    </w:rPr>
                    <w:t>必须强化环境风险防范措施。必须同时分别设置初期雨水收集池和事故水池，不得“一池两用”；建设合理规模的风险事故应急池及其他应急设施，确保在任何情况下，企业产生的废水均不会进入周边水体。并对事故废水进行有效收集，妥善处理后全部回用，禁止外排。构建与园区管委会、区政府和相关部门以及周边企业、项目区相衔接的区域环境风险联防联控机制</w:t>
                  </w:r>
                </w:p>
              </w:tc>
              <w:tc>
                <w:tcPr>
                  <w:tcW w:w="2318" w:type="pct"/>
                  <w:tcBorders>
                    <w:tl2br w:val="nil"/>
                    <w:tr2bl w:val="nil"/>
                  </w:tcBorders>
                  <w:vAlign w:val="center"/>
                </w:tcPr>
                <w:p w14:paraId="1B1F0A62">
                  <w:pPr>
                    <w:autoSpaceDE w:val="0"/>
                    <w:autoSpaceDN w:val="0"/>
                    <w:adjustRightInd w:val="0"/>
                    <w:snapToGrid w:val="0"/>
                    <w:jc w:val="left"/>
                    <w:rPr>
                      <w:rFonts w:hint="default" w:eastAsia="宋体"/>
                      <w:color w:val="auto"/>
                      <w:kern w:val="0"/>
                      <w:sz w:val="21"/>
                      <w:szCs w:val="21"/>
                      <w:lang w:val="en-US" w:eastAsia="zh-CN"/>
                    </w:rPr>
                  </w:pPr>
                  <w:r>
                    <w:rPr>
                      <w:color w:val="auto"/>
                      <w:sz w:val="21"/>
                      <w:szCs w:val="21"/>
                    </w:rPr>
                    <w:t>本项目</w:t>
                  </w:r>
                  <w:r>
                    <w:rPr>
                      <w:rFonts w:hint="eastAsia"/>
                      <w:color w:val="auto"/>
                      <w:sz w:val="21"/>
                      <w:szCs w:val="21"/>
                    </w:rPr>
                    <w:t>设置了</w:t>
                  </w:r>
                  <w:r>
                    <w:rPr>
                      <w:color w:val="auto"/>
                      <w:sz w:val="21"/>
                      <w:szCs w:val="21"/>
                    </w:rPr>
                    <w:t>事故水池（</w:t>
                  </w:r>
                  <w:r>
                    <w:rPr>
                      <w:rFonts w:hint="eastAsia"/>
                      <w:color w:val="auto"/>
                      <w:sz w:val="21"/>
                      <w:szCs w:val="21"/>
                    </w:rPr>
                    <w:t>4</w:t>
                  </w:r>
                  <w:r>
                    <w:rPr>
                      <w:color w:val="auto"/>
                      <w:sz w:val="21"/>
                      <w:szCs w:val="21"/>
                    </w:rPr>
                    <w:t>00m</w:t>
                  </w:r>
                  <w:r>
                    <w:rPr>
                      <w:color w:val="auto"/>
                      <w:sz w:val="21"/>
                      <w:szCs w:val="21"/>
                      <w:vertAlign w:val="superscript"/>
                    </w:rPr>
                    <w:t>3</w:t>
                  </w:r>
                  <w:r>
                    <w:rPr>
                      <w:color w:val="auto"/>
                      <w:sz w:val="21"/>
                      <w:szCs w:val="21"/>
                    </w:rPr>
                    <w:t>）和初期雨水收集池（</w:t>
                  </w:r>
                  <w:r>
                    <w:rPr>
                      <w:rFonts w:hint="eastAsia"/>
                      <w:color w:val="auto"/>
                      <w:sz w:val="21"/>
                      <w:szCs w:val="21"/>
                    </w:rPr>
                    <w:t>15</w:t>
                  </w:r>
                  <w:r>
                    <w:rPr>
                      <w:color w:val="auto"/>
                      <w:sz w:val="21"/>
                      <w:szCs w:val="21"/>
                    </w:rPr>
                    <w:t>0m</w:t>
                  </w:r>
                  <w:r>
                    <w:rPr>
                      <w:color w:val="auto"/>
                      <w:sz w:val="21"/>
                      <w:szCs w:val="21"/>
                      <w:vertAlign w:val="superscript"/>
                    </w:rPr>
                    <w:t>3</w:t>
                  </w:r>
                  <w:r>
                    <w:rPr>
                      <w:color w:val="auto"/>
                      <w:sz w:val="21"/>
                      <w:szCs w:val="21"/>
                    </w:rPr>
                    <w:t>），没有“一池两用”；</w:t>
                  </w:r>
                  <w:r>
                    <w:rPr>
                      <w:rFonts w:hint="eastAsia"/>
                      <w:bCs/>
                      <w:color w:val="auto"/>
                      <w:sz w:val="21"/>
                      <w:szCs w:val="21"/>
                      <w:lang w:bidi="ar"/>
                    </w:rPr>
                    <w:t>项目清洗废水经一体化污水处理设施处理后</w:t>
                  </w:r>
                  <w:r>
                    <w:rPr>
                      <w:rFonts w:hint="eastAsia"/>
                      <w:color w:val="auto"/>
                      <w:sz w:val="21"/>
                      <w:lang w:val="en-US" w:eastAsia="zh-CN"/>
                    </w:rPr>
                    <w:t>用于厂区绿化、道路洒水</w:t>
                  </w:r>
                </w:p>
              </w:tc>
              <w:tc>
                <w:tcPr>
                  <w:tcW w:w="293" w:type="pct"/>
                  <w:tcBorders>
                    <w:tl2br w:val="nil"/>
                    <w:tr2bl w:val="nil"/>
                  </w:tcBorders>
                  <w:vAlign w:val="center"/>
                </w:tcPr>
                <w:p w14:paraId="5A1D9259">
                  <w:pPr>
                    <w:autoSpaceDE w:val="0"/>
                    <w:autoSpaceDN w:val="0"/>
                    <w:adjustRightInd w:val="0"/>
                    <w:snapToGrid w:val="0"/>
                    <w:jc w:val="center"/>
                    <w:rPr>
                      <w:color w:val="auto"/>
                      <w:kern w:val="0"/>
                      <w:sz w:val="21"/>
                      <w:szCs w:val="21"/>
                    </w:rPr>
                  </w:pPr>
                  <w:r>
                    <w:rPr>
                      <w:color w:val="auto"/>
                      <w:kern w:val="0"/>
                      <w:sz w:val="21"/>
                      <w:szCs w:val="21"/>
                    </w:rPr>
                    <w:t>符合</w:t>
                  </w:r>
                </w:p>
              </w:tc>
            </w:tr>
            <w:tr w14:paraId="6E7F7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4" w:type="pct"/>
                  <w:tcBorders>
                    <w:tl2br w:val="nil"/>
                    <w:tr2bl w:val="nil"/>
                  </w:tcBorders>
                  <w:vAlign w:val="center"/>
                </w:tcPr>
                <w:p w14:paraId="65022B09">
                  <w:pPr>
                    <w:jc w:val="center"/>
                    <w:rPr>
                      <w:color w:val="auto"/>
                      <w:sz w:val="21"/>
                      <w:szCs w:val="21"/>
                    </w:rPr>
                  </w:pPr>
                  <w:r>
                    <w:rPr>
                      <w:rFonts w:hint="eastAsia"/>
                      <w:color w:val="auto"/>
                      <w:sz w:val="21"/>
                      <w:szCs w:val="21"/>
                    </w:rPr>
                    <w:t>9</w:t>
                  </w:r>
                </w:p>
              </w:tc>
              <w:tc>
                <w:tcPr>
                  <w:tcW w:w="2103" w:type="pct"/>
                  <w:tcBorders>
                    <w:tl2br w:val="nil"/>
                    <w:tr2bl w:val="nil"/>
                  </w:tcBorders>
                  <w:vAlign w:val="center"/>
                </w:tcPr>
                <w:p w14:paraId="61F0A83D">
                  <w:pPr>
                    <w:jc w:val="left"/>
                    <w:rPr>
                      <w:color w:val="auto"/>
                      <w:sz w:val="21"/>
                      <w:szCs w:val="21"/>
                    </w:rPr>
                  </w:pPr>
                  <w:r>
                    <w:rPr>
                      <w:color w:val="auto"/>
                      <w:sz w:val="21"/>
                      <w:szCs w:val="21"/>
                    </w:rPr>
                    <w:t>应加强环境监测和应急监测。入区企业应建立覆盖常规污染物、特征污染物的环境监测体系，并与当地环境保护部门联网。按照《企业事业单位环境信息公开办法》相关规定向社会公开环境信息</w:t>
                  </w:r>
                </w:p>
              </w:tc>
              <w:tc>
                <w:tcPr>
                  <w:tcW w:w="2318" w:type="pct"/>
                  <w:tcBorders>
                    <w:tl2br w:val="nil"/>
                    <w:tr2bl w:val="nil"/>
                  </w:tcBorders>
                  <w:vAlign w:val="center"/>
                </w:tcPr>
                <w:p w14:paraId="090EBCB6">
                  <w:pPr>
                    <w:autoSpaceDE w:val="0"/>
                    <w:autoSpaceDN w:val="0"/>
                    <w:adjustRightInd w:val="0"/>
                    <w:snapToGrid w:val="0"/>
                    <w:jc w:val="left"/>
                    <w:rPr>
                      <w:color w:val="auto"/>
                      <w:kern w:val="0"/>
                      <w:sz w:val="21"/>
                      <w:szCs w:val="21"/>
                    </w:rPr>
                  </w:pPr>
                  <w:r>
                    <w:rPr>
                      <w:color w:val="auto"/>
                      <w:kern w:val="0"/>
                      <w:sz w:val="21"/>
                      <w:szCs w:val="21"/>
                    </w:rPr>
                    <w:t>项目制定了环境监测计划，涵盖了</w:t>
                  </w:r>
                  <w:r>
                    <w:rPr>
                      <w:color w:val="auto"/>
                      <w:sz w:val="21"/>
                      <w:szCs w:val="21"/>
                    </w:rPr>
                    <w:t>常规污染物和特征污染物。</w:t>
                  </w:r>
                </w:p>
              </w:tc>
              <w:tc>
                <w:tcPr>
                  <w:tcW w:w="293" w:type="pct"/>
                  <w:tcBorders>
                    <w:tl2br w:val="nil"/>
                    <w:tr2bl w:val="nil"/>
                  </w:tcBorders>
                  <w:vAlign w:val="center"/>
                </w:tcPr>
                <w:p w14:paraId="693318F8">
                  <w:pPr>
                    <w:autoSpaceDE w:val="0"/>
                    <w:autoSpaceDN w:val="0"/>
                    <w:adjustRightInd w:val="0"/>
                    <w:snapToGrid w:val="0"/>
                    <w:jc w:val="center"/>
                    <w:rPr>
                      <w:color w:val="auto"/>
                      <w:kern w:val="0"/>
                      <w:sz w:val="21"/>
                      <w:szCs w:val="21"/>
                    </w:rPr>
                  </w:pPr>
                  <w:r>
                    <w:rPr>
                      <w:color w:val="auto"/>
                      <w:kern w:val="0"/>
                      <w:sz w:val="21"/>
                      <w:szCs w:val="21"/>
                    </w:rPr>
                    <w:t>符合</w:t>
                  </w:r>
                </w:p>
              </w:tc>
            </w:tr>
          </w:tbl>
          <w:p w14:paraId="239BFFF3">
            <w:pPr>
              <w:autoSpaceDE w:val="0"/>
              <w:autoSpaceDN w:val="0"/>
              <w:adjustRightInd w:val="0"/>
              <w:snapToGrid w:val="0"/>
              <w:spacing w:line="500" w:lineRule="exact"/>
              <w:jc w:val="center"/>
              <w:rPr>
                <w:color w:val="auto"/>
                <w:kern w:val="0"/>
              </w:rPr>
            </w:pPr>
            <w:r>
              <w:rPr>
                <w:b/>
                <w:bCs/>
                <w:color w:val="auto"/>
                <w:kern w:val="0"/>
              </w:rPr>
              <w:t>表1-</w:t>
            </w:r>
            <w:r>
              <w:rPr>
                <w:rFonts w:hint="eastAsia"/>
                <w:b/>
                <w:bCs/>
                <w:color w:val="auto"/>
                <w:kern w:val="0"/>
              </w:rPr>
              <w:t>3</w:t>
            </w:r>
            <w:r>
              <w:rPr>
                <w:b/>
                <w:bCs/>
                <w:color w:val="auto"/>
                <w:kern w:val="0"/>
              </w:rPr>
              <w:t xml:space="preserve">  项目与规划环评审查意见的相符性分析表</w:t>
            </w:r>
          </w:p>
          <w:tbl>
            <w:tblPr>
              <w:tblStyle w:val="26"/>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26"/>
              <w:gridCol w:w="4504"/>
              <w:gridCol w:w="2034"/>
              <w:gridCol w:w="610"/>
            </w:tblGrid>
            <w:tr w14:paraId="4AE71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64" w:type="pct"/>
                  <w:tcBorders>
                    <w:tl2br w:val="nil"/>
                    <w:tr2bl w:val="nil"/>
                  </w:tcBorders>
                  <w:vAlign w:val="center"/>
                </w:tcPr>
                <w:p w14:paraId="7882667E">
                  <w:pPr>
                    <w:autoSpaceDE w:val="0"/>
                    <w:autoSpaceDN w:val="0"/>
                    <w:adjustRightInd w:val="0"/>
                    <w:snapToGrid w:val="0"/>
                    <w:jc w:val="center"/>
                    <w:rPr>
                      <w:color w:val="auto"/>
                      <w:kern w:val="0"/>
                      <w:sz w:val="21"/>
                      <w:szCs w:val="21"/>
                    </w:rPr>
                  </w:pPr>
                  <w:r>
                    <w:rPr>
                      <w:color w:val="auto"/>
                      <w:kern w:val="0"/>
                      <w:sz w:val="21"/>
                      <w:szCs w:val="21"/>
                    </w:rPr>
                    <w:t>序号</w:t>
                  </w:r>
                </w:p>
              </w:tc>
              <w:tc>
                <w:tcPr>
                  <w:tcW w:w="2977" w:type="pct"/>
                  <w:tcBorders>
                    <w:tl2br w:val="nil"/>
                    <w:tr2bl w:val="nil"/>
                  </w:tcBorders>
                  <w:vAlign w:val="center"/>
                </w:tcPr>
                <w:p w14:paraId="787B60E8">
                  <w:pPr>
                    <w:autoSpaceDE w:val="0"/>
                    <w:autoSpaceDN w:val="0"/>
                    <w:adjustRightInd w:val="0"/>
                    <w:snapToGrid w:val="0"/>
                    <w:jc w:val="center"/>
                    <w:rPr>
                      <w:color w:val="auto"/>
                      <w:kern w:val="0"/>
                      <w:sz w:val="21"/>
                      <w:szCs w:val="21"/>
                    </w:rPr>
                  </w:pPr>
                  <w:r>
                    <w:rPr>
                      <w:color w:val="auto"/>
                      <w:kern w:val="0"/>
                      <w:sz w:val="21"/>
                      <w:szCs w:val="21"/>
                    </w:rPr>
                    <w:t>规划环评审查意见要求</w:t>
                  </w:r>
                </w:p>
              </w:tc>
              <w:tc>
                <w:tcPr>
                  <w:tcW w:w="1348" w:type="pct"/>
                  <w:tcBorders>
                    <w:tl2br w:val="nil"/>
                    <w:tr2bl w:val="nil"/>
                  </w:tcBorders>
                  <w:vAlign w:val="center"/>
                </w:tcPr>
                <w:p w14:paraId="416F9DA9">
                  <w:pPr>
                    <w:autoSpaceDE w:val="0"/>
                    <w:autoSpaceDN w:val="0"/>
                    <w:adjustRightInd w:val="0"/>
                    <w:snapToGrid w:val="0"/>
                    <w:jc w:val="center"/>
                    <w:rPr>
                      <w:color w:val="auto"/>
                      <w:kern w:val="0"/>
                      <w:sz w:val="21"/>
                      <w:szCs w:val="21"/>
                    </w:rPr>
                  </w:pPr>
                  <w:r>
                    <w:rPr>
                      <w:color w:val="auto"/>
                      <w:kern w:val="0"/>
                      <w:sz w:val="21"/>
                      <w:szCs w:val="21"/>
                    </w:rPr>
                    <w:t>本项目环评落实情况</w:t>
                  </w:r>
                </w:p>
              </w:tc>
              <w:tc>
                <w:tcPr>
                  <w:tcW w:w="408" w:type="pct"/>
                  <w:tcBorders>
                    <w:tl2br w:val="nil"/>
                    <w:tr2bl w:val="nil"/>
                  </w:tcBorders>
                  <w:vAlign w:val="center"/>
                </w:tcPr>
                <w:p w14:paraId="6235FCFA">
                  <w:pPr>
                    <w:autoSpaceDE w:val="0"/>
                    <w:autoSpaceDN w:val="0"/>
                    <w:adjustRightInd w:val="0"/>
                    <w:snapToGrid w:val="0"/>
                    <w:jc w:val="center"/>
                    <w:rPr>
                      <w:color w:val="auto"/>
                      <w:kern w:val="0"/>
                      <w:sz w:val="21"/>
                      <w:szCs w:val="21"/>
                    </w:rPr>
                  </w:pPr>
                  <w:r>
                    <w:rPr>
                      <w:color w:val="auto"/>
                      <w:kern w:val="0"/>
                      <w:sz w:val="21"/>
                      <w:szCs w:val="21"/>
                    </w:rPr>
                    <w:t>符合</w:t>
                  </w:r>
                  <w:r>
                    <w:rPr>
                      <w:rFonts w:hint="eastAsia"/>
                      <w:color w:val="auto"/>
                      <w:kern w:val="0"/>
                      <w:sz w:val="21"/>
                      <w:szCs w:val="21"/>
                    </w:rPr>
                    <w:t>性</w:t>
                  </w:r>
                </w:p>
              </w:tc>
            </w:tr>
            <w:tr w14:paraId="38203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64" w:type="pct"/>
                  <w:tcBorders>
                    <w:tl2br w:val="nil"/>
                    <w:tr2bl w:val="nil"/>
                  </w:tcBorders>
                  <w:vAlign w:val="center"/>
                </w:tcPr>
                <w:p w14:paraId="0E8CFE0C">
                  <w:pPr>
                    <w:autoSpaceDE w:val="0"/>
                    <w:autoSpaceDN w:val="0"/>
                    <w:adjustRightInd w:val="0"/>
                    <w:snapToGrid w:val="0"/>
                    <w:jc w:val="center"/>
                    <w:rPr>
                      <w:color w:val="auto"/>
                      <w:kern w:val="0"/>
                      <w:sz w:val="21"/>
                      <w:szCs w:val="21"/>
                    </w:rPr>
                  </w:pPr>
                  <w:r>
                    <w:rPr>
                      <w:color w:val="auto"/>
                      <w:kern w:val="0"/>
                      <w:sz w:val="21"/>
                      <w:szCs w:val="21"/>
                    </w:rPr>
                    <w:t>1</w:t>
                  </w:r>
                </w:p>
              </w:tc>
              <w:tc>
                <w:tcPr>
                  <w:tcW w:w="2977" w:type="pct"/>
                  <w:tcBorders>
                    <w:tl2br w:val="nil"/>
                    <w:tr2bl w:val="nil"/>
                  </w:tcBorders>
                  <w:vAlign w:val="center"/>
                </w:tcPr>
                <w:p w14:paraId="4594CD30">
                  <w:pPr>
                    <w:autoSpaceDE w:val="0"/>
                    <w:autoSpaceDN w:val="0"/>
                    <w:adjustRightInd w:val="0"/>
                    <w:snapToGrid w:val="0"/>
                    <w:jc w:val="left"/>
                    <w:rPr>
                      <w:color w:val="auto"/>
                      <w:kern w:val="0"/>
                      <w:sz w:val="21"/>
                      <w:szCs w:val="21"/>
                    </w:rPr>
                  </w:pPr>
                  <w:r>
                    <w:rPr>
                      <w:color w:val="auto"/>
                      <w:kern w:val="0"/>
                      <w:sz w:val="21"/>
                      <w:szCs w:val="21"/>
                    </w:rPr>
                    <w:t>坚持生态优先、绿色发展理念，加强规划引领。园区总体规划应做好与自治区、鄂尔多斯市国土空间总体规划及生态环境分区管控的协调衔接，并要与当地其它专项规划相协调。按照《内蒙古自治区人民政府关于促进工业园区高质量发展的若干意见》(内政发〔2019]21号)《内蒙古自治区人民政府办公厅关于进一步加强全区自治区级及以上工业园区环境保护工作的通知》(内政办发〔2018]88号)及自治区、鄂尔多斯市国民经济和社会发展第十四个五年规划和2035年远景目标纲要等要求，指导园区建设。</w:t>
                  </w:r>
                </w:p>
              </w:tc>
              <w:tc>
                <w:tcPr>
                  <w:tcW w:w="1348" w:type="pct"/>
                  <w:tcBorders>
                    <w:tl2br w:val="nil"/>
                    <w:tr2bl w:val="nil"/>
                  </w:tcBorders>
                  <w:vAlign w:val="center"/>
                </w:tcPr>
                <w:p w14:paraId="1E39229A">
                  <w:pPr>
                    <w:autoSpaceDE w:val="0"/>
                    <w:autoSpaceDN w:val="0"/>
                    <w:adjustRightInd w:val="0"/>
                    <w:snapToGrid w:val="0"/>
                    <w:jc w:val="left"/>
                    <w:rPr>
                      <w:color w:val="auto"/>
                      <w:kern w:val="0"/>
                      <w:sz w:val="21"/>
                      <w:szCs w:val="21"/>
                    </w:rPr>
                  </w:pPr>
                  <w:r>
                    <w:rPr>
                      <w:color w:val="auto"/>
                      <w:kern w:val="0"/>
                      <w:sz w:val="21"/>
                      <w:szCs w:val="21"/>
                    </w:rPr>
                    <w:t>不涉及对本项目的具体要求</w:t>
                  </w:r>
                </w:p>
              </w:tc>
              <w:tc>
                <w:tcPr>
                  <w:tcW w:w="408" w:type="pct"/>
                  <w:tcBorders>
                    <w:tl2br w:val="nil"/>
                    <w:tr2bl w:val="nil"/>
                  </w:tcBorders>
                  <w:vAlign w:val="center"/>
                </w:tcPr>
                <w:p w14:paraId="525CE909">
                  <w:pPr>
                    <w:autoSpaceDE w:val="0"/>
                    <w:autoSpaceDN w:val="0"/>
                    <w:adjustRightInd w:val="0"/>
                    <w:snapToGrid w:val="0"/>
                    <w:jc w:val="center"/>
                    <w:rPr>
                      <w:color w:val="auto"/>
                      <w:kern w:val="0"/>
                      <w:sz w:val="21"/>
                      <w:szCs w:val="21"/>
                    </w:rPr>
                  </w:pPr>
                  <w:r>
                    <w:rPr>
                      <w:color w:val="auto"/>
                      <w:kern w:val="0"/>
                      <w:sz w:val="21"/>
                      <w:szCs w:val="21"/>
                    </w:rPr>
                    <w:t>/</w:t>
                  </w:r>
                </w:p>
              </w:tc>
            </w:tr>
            <w:tr w14:paraId="681CA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64" w:type="pct"/>
                  <w:tcBorders>
                    <w:tl2br w:val="nil"/>
                    <w:tr2bl w:val="nil"/>
                  </w:tcBorders>
                  <w:vAlign w:val="center"/>
                </w:tcPr>
                <w:p w14:paraId="728254E7">
                  <w:pPr>
                    <w:autoSpaceDE w:val="0"/>
                    <w:autoSpaceDN w:val="0"/>
                    <w:adjustRightInd w:val="0"/>
                    <w:snapToGrid w:val="0"/>
                    <w:jc w:val="center"/>
                    <w:rPr>
                      <w:color w:val="auto"/>
                      <w:kern w:val="0"/>
                      <w:sz w:val="21"/>
                      <w:szCs w:val="21"/>
                    </w:rPr>
                  </w:pPr>
                  <w:r>
                    <w:rPr>
                      <w:color w:val="auto"/>
                      <w:kern w:val="0"/>
                      <w:sz w:val="21"/>
                      <w:szCs w:val="21"/>
                    </w:rPr>
                    <w:t>2</w:t>
                  </w:r>
                </w:p>
              </w:tc>
              <w:tc>
                <w:tcPr>
                  <w:tcW w:w="2977" w:type="pct"/>
                  <w:tcBorders>
                    <w:tl2br w:val="nil"/>
                    <w:tr2bl w:val="nil"/>
                  </w:tcBorders>
                  <w:vAlign w:val="center"/>
                </w:tcPr>
                <w:p w14:paraId="23E4AB55">
                  <w:pPr>
                    <w:autoSpaceDE w:val="0"/>
                    <w:autoSpaceDN w:val="0"/>
                    <w:adjustRightInd w:val="0"/>
                    <w:snapToGrid w:val="0"/>
                    <w:jc w:val="left"/>
                    <w:rPr>
                      <w:color w:val="auto"/>
                      <w:kern w:val="0"/>
                      <w:sz w:val="21"/>
                      <w:szCs w:val="21"/>
                    </w:rPr>
                  </w:pPr>
                  <w:r>
                    <w:rPr>
                      <w:color w:val="auto"/>
                      <w:kern w:val="0"/>
                      <w:sz w:val="21"/>
                      <w:szCs w:val="21"/>
                    </w:rPr>
                    <w:t>严格生态环境准入，推动高质量发展。园区应结合区域资源禀赋、生态敏感特征、生态功能保护、自治区及鄂尔多斯市“十四五”能耗双控、区域及行业碳达峰目标约束等要求，坚持循环经济和能源高效利用理念，严格按照《内蒙古自治区工业园区审核公告目录》、产业政策、生态环境分区管控、园区总体规划等要求及《报告书》产业发展推荐方案管理新入园项目不得引进污染物排放量大、环境风险高的非主导产业项目。根据区域环境质量目标管理要求，统筹做好产业发展和生态环境保护工作，全面执行国家、自治区“两高”项目准入相关规定，合理规划化工、冶金、新材料等发展规模和建设时序，原则上不得新建重化工项目，推动钢铁、焦化、铁合金、电石、碱等传统产业升级改造，延伸下游产业链条，实现绿色低碳高质量发展。严格落实“四水四定”要求，合理利用非常规水资源，审慎引进高耗水行业。</w:t>
                  </w:r>
                </w:p>
              </w:tc>
              <w:tc>
                <w:tcPr>
                  <w:tcW w:w="1348" w:type="pct"/>
                  <w:tcBorders>
                    <w:tl2br w:val="nil"/>
                    <w:tr2bl w:val="nil"/>
                  </w:tcBorders>
                  <w:vAlign w:val="center"/>
                </w:tcPr>
                <w:p w14:paraId="01192EDE">
                  <w:pPr>
                    <w:autoSpaceDE w:val="0"/>
                    <w:autoSpaceDN w:val="0"/>
                    <w:adjustRightInd w:val="0"/>
                    <w:snapToGrid w:val="0"/>
                    <w:jc w:val="left"/>
                    <w:rPr>
                      <w:color w:val="auto"/>
                      <w:kern w:val="0"/>
                      <w:sz w:val="21"/>
                      <w:szCs w:val="21"/>
                    </w:rPr>
                  </w:pPr>
                  <w:r>
                    <w:rPr>
                      <w:color w:val="auto"/>
                      <w:kern w:val="0"/>
                      <w:sz w:val="21"/>
                      <w:szCs w:val="21"/>
                    </w:rPr>
                    <w:t>本项目符合鄂尔多斯市的生态环境准入清单，项目总量见总量控制指标章节，环境风险</w:t>
                  </w:r>
                  <w:r>
                    <w:rPr>
                      <w:bCs/>
                      <w:color w:val="auto"/>
                      <w:sz w:val="21"/>
                      <w:szCs w:val="21"/>
                    </w:rPr>
                    <w:t>危险物质临界量比值小于1，</w:t>
                  </w:r>
                  <w:r>
                    <w:rPr>
                      <w:color w:val="auto"/>
                      <w:kern w:val="0"/>
                      <w:sz w:val="21"/>
                      <w:szCs w:val="21"/>
                    </w:rPr>
                    <w:t>不是污染物排放量大、环境风险高的非主导产业项目。本项目不是重化工项目，不属于高耗水行业。</w:t>
                  </w:r>
                </w:p>
              </w:tc>
              <w:tc>
                <w:tcPr>
                  <w:tcW w:w="408" w:type="pct"/>
                  <w:tcBorders>
                    <w:tl2br w:val="nil"/>
                    <w:tr2bl w:val="nil"/>
                  </w:tcBorders>
                  <w:vAlign w:val="center"/>
                </w:tcPr>
                <w:p w14:paraId="09DC6247">
                  <w:pPr>
                    <w:autoSpaceDE w:val="0"/>
                    <w:autoSpaceDN w:val="0"/>
                    <w:adjustRightInd w:val="0"/>
                    <w:snapToGrid w:val="0"/>
                    <w:jc w:val="center"/>
                    <w:rPr>
                      <w:color w:val="auto"/>
                      <w:kern w:val="0"/>
                      <w:sz w:val="21"/>
                      <w:szCs w:val="21"/>
                    </w:rPr>
                  </w:pPr>
                  <w:r>
                    <w:rPr>
                      <w:color w:val="auto"/>
                      <w:kern w:val="0"/>
                      <w:sz w:val="21"/>
                      <w:szCs w:val="21"/>
                    </w:rPr>
                    <w:t>符合</w:t>
                  </w:r>
                </w:p>
              </w:tc>
            </w:tr>
            <w:tr w14:paraId="19D38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64" w:type="pct"/>
                  <w:tcBorders>
                    <w:tl2br w:val="nil"/>
                    <w:tr2bl w:val="nil"/>
                  </w:tcBorders>
                  <w:vAlign w:val="center"/>
                </w:tcPr>
                <w:p w14:paraId="02E2B26D">
                  <w:pPr>
                    <w:autoSpaceDE w:val="0"/>
                    <w:autoSpaceDN w:val="0"/>
                    <w:adjustRightInd w:val="0"/>
                    <w:snapToGrid w:val="0"/>
                    <w:jc w:val="center"/>
                    <w:rPr>
                      <w:color w:val="auto"/>
                      <w:kern w:val="0"/>
                      <w:sz w:val="21"/>
                      <w:szCs w:val="21"/>
                    </w:rPr>
                  </w:pPr>
                  <w:r>
                    <w:rPr>
                      <w:color w:val="auto"/>
                      <w:kern w:val="0"/>
                      <w:sz w:val="21"/>
                      <w:szCs w:val="21"/>
                    </w:rPr>
                    <w:t>3</w:t>
                  </w:r>
                </w:p>
              </w:tc>
              <w:tc>
                <w:tcPr>
                  <w:tcW w:w="2977" w:type="pct"/>
                  <w:tcBorders>
                    <w:tl2br w:val="nil"/>
                    <w:tr2bl w:val="nil"/>
                  </w:tcBorders>
                  <w:vAlign w:val="center"/>
                </w:tcPr>
                <w:p w14:paraId="58E7497E">
                  <w:pPr>
                    <w:autoSpaceDE w:val="0"/>
                    <w:autoSpaceDN w:val="0"/>
                    <w:adjustRightInd w:val="0"/>
                    <w:snapToGrid w:val="0"/>
                    <w:jc w:val="left"/>
                    <w:rPr>
                      <w:color w:val="auto"/>
                      <w:kern w:val="0"/>
                      <w:sz w:val="21"/>
                      <w:szCs w:val="21"/>
                    </w:rPr>
                  </w:pPr>
                  <w:r>
                    <w:rPr>
                      <w:color w:val="auto"/>
                      <w:kern w:val="0"/>
                      <w:sz w:val="21"/>
                      <w:szCs w:val="21"/>
                    </w:rPr>
                    <w:t>严格空间管控，优化产业布局。按照相关要求做好规划控制和防护带建设，园区与城区、黄河岸线及支流、西鄂尔多斯自然保护区等环境敏感区之间应设置足够距离的隔离带并合理优化邻近区域产业布局，确保园区产业发展与生态环境、人居环境相协调。环境风险较高区块应向外设置一定的空间防护区并做好规划控制，有效防范环境污染和事故风险。配合鄂托克旗人民政府及其有关部门做好园区及周边区域的国土空间规划和优化调整，发现不符合管控要求的相关行为，应及时向鄂托克旗人民政府报告。清退园区内不符合产业政策及长期停产且无复产可能的项目，提高土地利用价值。加强土壤污染重点企业监管，开展腾退企业遗留场地的土壤环境调查和风险评估，合理确定土地利用方式</w:t>
                  </w:r>
                </w:p>
              </w:tc>
              <w:tc>
                <w:tcPr>
                  <w:tcW w:w="1348" w:type="pct"/>
                  <w:tcBorders>
                    <w:tl2br w:val="nil"/>
                    <w:tr2bl w:val="nil"/>
                  </w:tcBorders>
                  <w:vAlign w:val="center"/>
                </w:tcPr>
                <w:p w14:paraId="675DF1F8">
                  <w:pPr>
                    <w:autoSpaceDE w:val="0"/>
                    <w:autoSpaceDN w:val="0"/>
                    <w:adjustRightInd w:val="0"/>
                    <w:snapToGrid w:val="0"/>
                    <w:jc w:val="left"/>
                    <w:rPr>
                      <w:color w:val="auto"/>
                      <w:kern w:val="0"/>
                      <w:sz w:val="21"/>
                      <w:szCs w:val="21"/>
                    </w:rPr>
                  </w:pPr>
                  <w:r>
                    <w:rPr>
                      <w:rFonts w:hint="eastAsia"/>
                      <w:color w:val="auto"/>
                      <w:sz w:val="21"/>
                      <w:szCs w:val="21"/>
                    </w:rPr>
                    <w:t>本项目</w:t>
                  </w:r>
                  <w:r>
                    <w:rPr>
                      <w:rFonts w:hint="eastAsia" w:ascii="宋体" w:hAnsi="宋体" w:cs="宋体"/>
                      <w:bCs/>
                      <w:color w:val="auto"/>
                      <w:szCs w:val="21"/>
                    </w:rPr>
                    <w:t>位于</w:t>
                  </w:r>
                  <w:r>
                    <w:rPr>
                      <w:color w:val="auto"/>
                      <w:sz w:val="21"/>
                      <w:szCs w:val="21"/>
                    </w:rPr>
                    <w:t>蒙西</w:t>
                  </w:r>
                  <w:r>
                    <w:rPr>
                      <w:rFonts w:hint="eastAsia"/>
                      <w:color w:val="auto"/>
                      <w:sz w:val="21"/>
                      <w:szCs w:val="21"/>
                    </w:rPr>
                    <w:t>产业园内，</w:t>
                  </w:r>
                  <w:r>
                    <w:rPr>
                      <w:color w:val="auto"/>
                      <w:sz w:val="21"/>
                      <w:szCs w:val="21"/>
                    </w:rPr>
                    <w:t>不在西鄂尔多斯国家级自然保护区范围内</w:t>
                  </w:r>
                  <w:r>
                    <w:rPr>
                      <w:rFonts w:hint="eastAsia"/>
                      <w:color w:val="auto"/>
                      <w:sz w:val="21"/>
                      <w:szCs w:val="21"/>
                    </w:rPr>
                    <w:t>；</w:t>
                  </w:r>
                  <w:r>
                    <w:rPr>
                      <w:color w:val="auto"/>
                      <w:sz w:val="21"/>
                      <w:szCs w:val="21"/>
                    </w:rPr>
                    <w:t>距离西鄂尔多斯国家级自然保护区实验区边界约</w:t>
                  </w:r>
                  <w:r>
                    <w:rPr>
                      <w:rFonts w:hint="eastAsia"/>
                      <w:color w:val="auto"/>
                      <w:sz w:val="21"/>
                      <w:szCs w:val="21"/>
                    </w:rPr>
                    <w:t>3.4k</w:t>
                  </w:r>
                  <w:r>
                    <w:rPr>
                      <w:color w:val="auto"/>
                      <w:sz w:val="21"/>
                      <w:szCs w:val="21"/>
                    </w:rPr>
                    <w:t>m，见附图</w:t>
                  </w:r>
                  <w:r>
                    <w:rPr>
                      <w:rFonts w:hint="eastAsia"/>
                      <w:color w:val="auto"/>
                      <w:sz w:val="21"/>
                      <w:szCs w:val="21"/>
                    </w:rPr>
                    <w:t>6</w:t>
                  </w:r>
                  <w:r>
                    <w:rPr>
                      <w:rFonts w:hint="eastAsia" w:ascii="宋体" w:hAnsi="宋体" w:cs="宋体"/>
                      <w:bCs/>
                      <w:color w:val="auto"/>
                      <w:szCs w:val="21"/>
                    </w:rPr>
                    <w:t>。</w:t>
                  </w:r>
                </w:p>
              </w:tc>
              <w:tc>
                <w:tcPr>
                  <w:tcW w:w="408" w:type="pct"/>
                  <w:tcBorders>
                    <w:tl2br w:val="nil"/>
                    <w:tr2bl w:val="nil"/>
                  </w:tcBorders>
                  <w:vAlign w:val="center"/>
                </w:tcPr>
                <w:p w14:paraId="49019DB6">
                  <w:pPr>
                    <w:autoSpaceDE w:val="0"/>
                    <w:autoSpaceDN w:val="0"/>
                    <w:adjustRightInd w:val="0"/>
                    <w:snapToGrid w:val="0"/>
                    <w:jc w:val="center"/>
                    <w:rPr>
                      <w:color w:val="auto"/>
                      <w:kern w:val="0"/>
                      <w:sz w:val="21"/>
                      <w:szCs w:val="21"/>
                    </w:rPr>
                  </w:pPr>
                  <w:r>
                    <w:rPr>
                      <w:color w:val="auto"/>
                      <w:kern w:val="0"/>
                      <w:sz w:val="21"/>
                      <w:szCs w:val="21"/>
                    </w:rPr>
                    <w:t>符合</w:t>
                  </w:r>
                </w:p>
              </w:tc>
            </w:tr>
            <w:tr w14:paraId="2AAD8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64" w:type="pct"/>
                  <w:tcBorders>
                    <w:tl2br w:val="nil"/>
                    <w:tr2bl w:val="nil"/>
                  </w:tcBorders>
                  <w:vAlign w:val="center"/>
                </w:tcPr>
                <w:p w14:paraId="7C5AC45B">
                  <w:pPr>
                    <w:autoSpaceDE w:val="0"/>
                    <w:autoSpaceDN w:val="0"/>
                    <w:adjustRightInd w:val="0"/>
                    <w:snapToGrid w:val="0"/>
                    <w:jc w:val="center"/>
                    <w:rPr>
                      <w:color w:val="auto"/>
                      <w:kern w:val="0"/>
                      <w:sz w:val="21"/>
                      <w:szCs w:val="21"/>
                    </w:rPr>
                  </w:pPr>
                  <w:r>
                    <w:rPr>
                      <w:color w:val="auto"/>
                      <w:kern w:val="0"/>
                      <w:sz w:val="21"/>
                      <w:szCs w:val="21"/>
                    </w:rPr>
                    <w:t>4</w:t>
                  </w:r>
                </w:p>
              </w:tc>
              <w:tc>
                <w:tcPr>
                  <w:tcW w:w="2977" w:type="pct"/>
                  <w:tcBorders>
                    <w:tl2br w:val="nil"/>
                    <w:tr2bl w:val="nil"/>
                  </w:tcBorders>
                  <w:vAlign w:val="center"/>
                </w:tcPr>
                <w:p w14:paraId="18622C37">
                  <w:pPr>
                    <w:autoSpaceDE w:val="0"/>
                    <w:autoSpaceDN w:val="0"/>
                    <w:adjustRightInd w:val="0"/>
                    <w:snapToGrid w:val="0"/>
                    <w:jc w:val="left"/>
                    <w:rPr>
                      <w:color w:val="auto"/>
                      <w:kern w:val="0"/>
                      <w:sz w:val="21"/>
                      <w:szCs w:val="21"/>
                    </w:rPr>
                  </w:pPr>
                  <w:r>
                    <w:rPr>
                      <w:color w:val="auto"/>
                      <w:kern w:val="0"/>
                      <w:sz w:val="21"/>
                      <w:szCs w:val="21"/>
                    </w:rPr>
                    <w:t>严守环境质量底线，强化污染物排放总量管控。根据国家、自治区和鄂尔多斯市关于大气、水、土壤、挥发性有机物污染防治相关要求，落实与区域环境空气质量改善目标相匹配的区域削减措施，推动重点行业按照大气污染物超低排放或者特别排放限值进行建设或改造升级，持续减少主要污染物、挥发性有机物、恶臭污染物等有组织和无组织排放量，保障区域环境质量改善。</w:t>
                  </w:r>
                </w:p>
              </w:tc>
              <w:tc>
                <w:tcPr>
                  <w:tcW w:w="1348" w:type="pct"/>
                  <w:tcBorders>
                    <w:tl2br w:val="nil"/>
                    <w:tr2bl w:val="nil"/>
                  </w:tcBorders>
                  <w:vAlign w:val="center"/>
                </w:tcPr>
                <w:p w14:paraId="210E0D53">
                  <w:pPr>
                    <w:autoSpaceDE w:val="0"/>
                    <w:autoSpaceDN w:val="0"/>
                    <w:adjustRightInd w:val="0"/>
                    <w:snapToGrid w:val="0"/>
                    <w:jc w:val="left"/>
                    <w:rPr>
                      <w:color w:val="auto"/>
                      <w:kern w:val="0"/>
                      <w:sz w:val="21"/>
                      <w:szCs w:val="21"/>
                    </w:rPr>
                  </w:pPr>
                  <w:r>
                    <w:rPr>
                      <w:rFonts w:hint="eastAsia"/>
                      <w:color w:val="auto"/>
                      <w:kern w:val="0"/>
                      <w:sz w:val="21"/>
                      <w:szCs w:val="21"/>
                    </w:rPr>
                    <w:t>项目废气、废水均采取了</w:t>
                  </w:r>
                  <w:r>
                    <w:rPr>
                      <w:color w:val="auto"/>
                      <w:kern w:val="0"/>
                      <w:sz w:val="21"/>
                      <w:szCs w:val="21"/>
                    </w:rPr>
                    <w:t>可行的防治措施</w:t>
                  </w:r>
                  <w:r>
                    <w:rPr>
                      <w:rFonts w:hint="eastAsia"/>
                      <w:color w:val="auto"/>
                      <w:kern w:val="0"/>
                      <w:sz w:val="21"/>
                      <w:szCs w:val="21"/>
                    </w:rPr>
                    <w:t>，可达标排放；土壤采取了分区防渗措施，</w:t>
                  </w:r>
                  <w:r>
                    <w:rPr>
                      <w:color w:val="auto"/>
                      <w:kern w:val="0"/>
                      <w:sz w:val="21"/>
                      <w:szCs w:val="21"/>
                    </w:rPr>
                    <w:t>项目符合环境质量底线</w:t>
                  </w:r>
                  <w:r>
                    <w:rPr>
                      <w:rFonts w:hint="eastAsia"/>
                      <w:color w:val="auto"/>
                      <w:kern w:val="0"/>
                      <w:sz w:val="21"/>
                      <w:szCs w:val="21"/>
                    </w:rPr>
                    <w:t>及</w:t>
                  </w:r>
                  <w:r>
                    <w:rPr>
                      <w:color w:val="auto"/>
                      <w:kern w:val="0"/>
                      <w:sz w:val="21"/>
                      <w:szCs w:val="21"/>
                    </w:rPr>
                    <w:t>鄂尔多斯市关于大气、水、土壤、挥发性有机物污染防治相关要求。</w:t>
                  </w:r>
                </w:p>
              </w:tc>
              <w:tc>
                <w:tcPr>
                  <w:tcW w:w="408" w:type="pct"/>
                  <w:tcBorders>
                    <w:tl2br w:val="nil"/>
                    <w:tr2bl w:val="nil"/>
                  </w:tcBorders>
                  <w:vAlign w:val="center"/>
                </w:tcPr>
                <w:p w14:paraId="25BD4216">
                  <w:pPr>
                    <w:autoSpaceDE w:val="0"/>
                    <w:autoSpaceDN w:val="0"/>
                    <w:adjustRightInd w:val="0"/>
                    <w:snapToGrid w:val="0"/>
                    <w:jc w:val="center"/>
                    <w:rPr>
                      <w:color w:val="auto"/>
                      <w:kern w:val="0"/>
                      <w:sz w:val="21"/>
                      <w:szCs w:val="21"/>
                    </w:rPr>
                  </w:pPr>
                  <w:r>
                    <w:rPr>
                      <w:color w:val="auto"/>
                      <w:kern w:val="0"/>
                      <w:sz w:val="21"/>
                      <w:szCs w:val="21"/>
                    </w:rPr>
                    <w:t>符合</w:t>
                  </w:r>
                </w:p>
              </w:tc>
            </w:tr>
            <w:tr w14:paraId="1F112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64" w:type="pct"/>
                  <w:tcBorders>
                    <w:tl2br w:val="nil"/>
                    <w:tr2bl w:val="nil"/>
                  </w:tcBorders>
                  <w:vAlign w:val="center"/>
                </w:tcPr>
                <w:p w14:paraId="505D4A4A">
                  <w:pPr>
                    <w:autoSpaceDE w:val="0"/>
                    <w:autoSpaceDN w:val="0"/>
                    <w:adjustRightInd w:val="0"/>
                    <w:snapToGrid w:val="0"/>
                    <w:jc w:val="center"/>
                    <w:rPr>
                      <w:color w:val="auto"/>
                      <w:kern w:val="0"/>
                      <w:sz w:val="21"/>
                      <w:szCs w:val="21"/>
                    </w:rPr>
                  </w:pPr>
                  <w:r>
                    <w:rPr>
                      <w:color w:val="auto"/>
                      <w:kern w:val="0"/>
                      <w:sz w:val="21"/>
                      <w:szCs w:val="21"/>
                    </w:rPr>
                    <w:t>5</w:t>
                  </w:r>
                </w:p>
              </w:tc>
              <w:tc>
                <w:tcPr>
                  <w:tcW w:w="2977" w:type="pct"/>
                  <w:tcBorders>
                    <w:tl2br w:val="nil"/>
                    <w:tr2bl w:val="nil"/>
                  </w:tcBorders>
                  <w:vAlign w:val="center"/>
                </w:tcPr>
                <w:p w14:paraId="071BDB5A">
                  <w:pPr>
                    <w:autoSpaceDE w:val="0"/>
                    <w:autoSpaceDN w:val="0"/>
                    <w:adjustRightInd w:val="0"/>
                    <w:snapToGrid w:val="0"/>
                    <w:jc w:val="left"/>
                    <w:rPr>
                      <w:color w:val="auto"/>
                      <w:kern w:val="0"/>
                      <w:sz w:val="21"/>
                      <w:szCs w:val="21"/>
                    </w:rPr>
                  </w:pPr>
                  <w:r>
                    <w:rPr>
                      <w:color w:val="auto"/>
                      <w:kern w:val="0"/>
                      <w:sz w:val="21"/>
                      <w:szCs w:val="21"/>
                    </w:rPr>
                    <w:t>加强环境基础设施建设，推进污染集中治理。强化企业生产废水预处理，合理规划园区污水集中处理设施及配套管网，统筹制定园区废水处理和综合利用总体方案并做好落实，确保化工集中区实现化工废水专业化集中处理及专管或者明管输送。化工企业应建设规范的雨水收集系统。建设足够处理能力的园区高盐水处置工程，加快完成晾晒池改园区事故水池相关工作。因地制宜利用集中供热或清洁能源实现供热、供汽。进一步提高大宗工业固废综合利用水平，暂时无法综合利用的须规范贮存、处置。强化企业的危险废物鉴别主体责任，对园区各类危废实施严格监管和严密监控，实现全过程安全妥善处置。园区内及周边中短途汽车运输推广使用清洁能源</w:t>
                  </w:r>
                </w:p>
              </w:tc>
              <w:tc>
                <w:tcPr>
                  <w:tcW w:w="1348" w:type="pct"/>
                  <w:tcBorders>
                    <w:tl2br w:val="nil"/>
                    <w:tr2bl w:val="nil"/>
                  </w:tcBorders>
                  <w:vAlign w:val="center"/>
                </w:tcPr>
                <w:p w14:paraId="19323FD2">
                  <w:pPr>
                    <w:autoSpaceDE w:val="0"/>
                    <w:autoSpaceDN w:val="0"/>
                    <w:adjustRightInd w:val="0"/>
                    <w:snapToGrid w:val="0"/>
                    <w:jc w:val="left"/>
                    <w:rPr>
                      <w:color w:val="auto"/>
                      <w:kern w:val="0"/>
                      <w:sz w:val="21"/>
                      <w:szCs w:val="21"/>
                    </w:rPr>
                  </w:pPr>
                  <w:r>
                    <w:rPr>
                      <w:rFonts w:hint="eastAsia"/>
                      <w:bCs/>
                      <w:color w:val="auto"/>
                      <w:sz w:val="21"/>
                      <w:szCs w:val="21"/>
                      <w:lang w:bidi="ar"/>
                    </w:rPr>
                    <w:t>项目清洗废水经一体化污水处理设施处理后</w:t>
                  </w:r>
                  <w:r>
                    <w:rPr>
                      <w:rFonts w:hint="eastAsia"/>
                      <w:color w:val="auto"/>
                      <w:sz w:val="21"/>
                      <w:lang w:val="en-US" w:eastAsia="zh-CN"/>
                    </w:rPr>
                    <w:t>用于厂区绿化、道路洒水</w:t>
                  </w:r>
                  <w:r>
                    <w:rPr>
                      <w:rFonts w:hint="eastAsia"/>
                      <w:color w:val="auto"/>
                      <w:sz w:val="21"/>
                    </w:rPr>
                    <w:t>，生活污水经化粪池处理后经园区污水管网排入蒙西工业园区生活污水处理厂</w:t>
                  </w:r>
                  <w:r>
                    <w:rPr>
                      <w:color w:val="auto"/>
                      <w:kern w:val="0"/>
                      <w:sz w:val="21"/>
                      <w:szCs w:val="21"/>
                    </w:rPr>
                    <w:t>。本项目不是化工企业、不涉及晾晒池。本项目</w:t>
                  </w:r>
                  <w:r>
                    <w:rPr>
                      <w:rFonts w:hint="eastAsia"/>
                      <w:color w:val="auto"/>
                      <w:kern w:val="0"/>
                      <w:sz w:val="21"/>
                      <w:szCs w:val="21"/>
                    </w:rPr>
                    <w:t>供暖依托园区集中供暖</w:t>
                  </w:r>
                  <w:r>
                    <w:rPr>
                      <w:color w:val="auto"/>
                      <w:kern w:val="0"/>
                      <w:sz w:val="21"/>
                      <w:szCs w:val="21"/>
                    </w:rPr>
                    <w:t>。项目危险废物</w:t>
                  </w:r>
                  <w:r>
                    <w:rPr>
                      <w:rFonts w:hint="eastAsia"/>
                      <w:color w:val="auto"/>
                      <w:kern w:val="0"/>
                      <w:sz w:val="21"/>
                      <w:szCs w:val="21"/>
                    </w:rPr>
                    <w:t>暂存于</w:t>
                  </w:r>
                  <w:r>
                    <w:rPr>
                      <w:color w:val="auto"/>
                      <w:kern w:val="0"/>
                      <w:sz w:val="21"/>
                      <w:szCs w:val="21"/>
                    </w:rPr>
                    <w:t>危废库</w:t>
                  </w:r>
                  <w:r>
                    <w:rPr>
                      <w:rFonts w:hint="eastAsia"/>
                      <w:color w:val="auto"/>
                      <w:kern w:val="0"/>
                      <w:sz w:val="21"/>
                      <w:szCs w:val="21"/>
                    </w:rPr>
                    <w:t>，定期交</w:t>
                  </w:r>
                  <w:r>
                    <w:rPr>
                      <w:color w:val="auto"/>
                      <w:kern w:val="0"/>
                      <w:sz w:val="21"/>
                      <w:szCs w:val="21"/>
                    </w:rPr>
                    <w:t>由有资质单位回收处置</w:t>
                  </w:r>
                  <w:r>
                    <w:rPr>
                      <w:rFonts w:hint="eastAsia"/>
                      <w:color w:val="auto"/>
                      <w:kern w:val="0"/>
                      <w:sz w:val="21"/>
                      <w:szCs w:val="21"/>
                    </w:rPr>
                    <w:t>，对</w:t>
                  </w:r>
                  <w:r>
                    <w:rPr>
                      <w:color w:val="auto"/>
                      <w:kern w:val="0"/>
                      <w:sz w:val="21"/>
                      <w:szCs w:val="21"/>
                    </w:rPr>
                    <w:t>固废实施全过程的严格管控，处置措施安全妥善。</w:t>
                  </w:r>
                </w:p>
              </w:tc>
              <w:tc>
                <w:tcPr>
                  <w:tcW w:w="408" w:type="pct"/>
                  <w:tcBorders>
                    <w:tl2br w:val="nil"/>
                    <w:tr2bl w:val="nil"/>
                  </w:tcBorders>
                  <w:vAlign w:val="center"/>
                </w:tcPr>
                <w:p w14:paraId="75E8BC67">
                  <w:pPr>
                    <w:autoSpaceDE w:val="0"/>
                    <w:autoSpaceDN w:val="0"/>
                    <w:adjustRightInd w:val="0"/>
                    <w:snapToGrid w:val="0"/>
                    <w:jc w:val="center"/>
                    <w:rPr>
                      <w:color w:val="auto"/>
                      <w:kern w:val="0"/>
                      <w:sz w:val="21"/>
                      <w:szCs w:val="21"/>
                    </w:rPr>
                  </w:pPr>
                  <w:r>
                    <w:rPr>
                      <w:color w:val="auto"/>
                      <w:kern w:val="0"/>
                      <w:sz w:val="21"/>
                      <w:szCs w:val="21"/>
                    </w:rPr>
                    <w:t>符合</w:t>
                  </w:r>
                </w:p>
              </w:tc>
            </w:tr>
            <w:tr w14:paraId="1296A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64" w:type="pct"/>
                  <w:tcBorders>
                    <w:tl2br w:val="nil"/>
                    <w:tr2bl w:val="nil"/>
                  </w:tcBorders>
                  <w:vAlign w:val="center"/>
                </w:tcPr>
                <w:p w14:paraId="052C7D8B">
                  <w:pPr>
                    <w:autoSpaceDE w:val="0"/>
                    <w:autoSpaceDN w:val="0"/>
                    <w:adjustRightInd w:val="0"/>
                    <w:snapToGrid w:val="0"/>
                    <w:jc w:val="center"/>
                    <w:rPr>
                      <w:color w:val="auto"/>
                      <w:kern w:val="0"/>
                      <w:sz w:val="21"/>
                      <w:szCs w:val="21"/>
                    </w:rPr>
                  </w:pPr>
                  <w:r>
                    <w:rPr>
                      <w:color w:val="auto"/>
                      <w:kern w:val="0"/>
                      <w:sz w:val="21"/>
                      <w:szCs w:val="21"/>
                    </w:rPr>
                    <w:t>6</w:t>
                  </w:r>
                </w:p>
              </w:tc>
              <w:tc>
                <w:tcPr>
                  <w:tcW w:w="2977" w:type="pct"/>
                  <w:tcBorders>
                    <w:tl2br w:val="nil"/>
                    <w:tr2bl w:val="nil"/>
                  </w:tcBorders>
                  <w:vAlign w:val="center"/>
                </w:tcPr>
                <w:p w14:paraId="67222D80">
                  <w:pPr>
                    <w:autoSpaceDE w:val="0"/>
                    <w:autoSpaceDN w:val="0"/>
                    <w:adjustRightInd w:val="0"/>
                    <w:snapToGrid w:val="0"/>
                    <w:jc w:val="left"/>
                    <w:rPr>
                      <w:color w:val="auto"/>
                      <w:kern w:val="0"/>
                      <w:sz w:val="21"/>
                      <w:szCs w:val="21"/>
                    </w:rPr>
                  </w:pPr>
                  <w:r>
                    <w:rPr>
                      <w:color w:val="auto"/>
                      <w:kern w:val="0"/>
                      <w:sz w:val="21"/>
                      <w:szCs w:val="21"/>
                    </w:rPr>
                    <w:t>强化源头防控，有效防范环境污染和事故风险。按照国家、自治区化工园区建设和管理相关要求，切实强化园区突发环境事件应急处置能力建设，建立完善的环境风险防控和应急监测体系；强化应急演练和应急物资储备；不断提升应急响应能力，保障区域环境安全。推进电石法聚氯乙烯企业无汞化替代，有效降低企业运行环境风险隐患。入园企业按要求设置事故水池，并与园区事故水池</w:t>
                  </w:r>
                  <w:r>
                    <w:rPr>
                      <w:rFonts w:hint="eastAsia"/>
                      <w:color w:val="auto"/>
                      <w:kern w:val="0"/>
                      <w:sz w:val="21"/>
                      <w:szCs w:val="21"/>
                      <w:lang w:eastAsia="zh-CN"/>
                    </w:rPr>
                    <w:t>连通</w:t>
                  </w:r>
                  <w:r>
                    <w:rPr>
                      <w:color w:val="auto"/>
                      <w:kern w:val="0"/>
                      <w:sz w:val="21"/>
                      <w:szCs w:val="21"/>
                    </w:rPr>
                    <w:t>形成综合调控系统，确保任何情况下园区事故废水不进入外环境</w:t>
                  </w:r>
                </w:p>
              </w:tc>
              <w:tc>
                <w:tcPr>
                  <w:tcW w:w="1348" w:type="pct"/>
                  <w:tcBorders>
                    <w:tl2br w:val="nil"/>
                    <w:tr2bl w:val="nil"/>
                  </w:tcBorders>
                  <w:vAlign w:val="center"/>
                </w:tcPr>
                <w:p w14:paraId="5266865E">
                  <w:pPr>
                    <w:autoSpaceDE w:val="0"/>
                    <w:autoSpaceDN w:val="0"/>
                    <w:adjustRightInd w:val="0"/>
                    <w:snapToGrid w:val="0"/>
                    <w:jc w:val="left"/>
                    <w:rPr>
                      <w:color w:val="auto"/>
                      <w:kern w:val="0"/>
                      <w:sz w:val="21"/>
                      <w:szCs w:val="21"/>
                    </w:rPr>
                  </w:pPr>
                  <w:r>
                    <w:rPr>
                      <w:color w:val="auto"/>
                      <w:sz w:val="21"/>
                      <w:szCs w:val="21"/>
                    </w:rPr>
                    <w:t>环评要求项目落实突发事件环境风险应急预案，要明确环境风险</w:t>
                  </w:r>
                  <w:r>
                    <w:rPr>
                      <w:color w:val="auto"/>
                      <w:kern w:val="0"/>
                      <w:sz w:val="21"/>
                      <w:szCs w:val="21"/>
                    </w:rPr>
                    <w:t>源头防控，提出</w:t>
                  </w:r>
                  <w:r>
                    <w:rPr>
                      <w:rFonts w:hint="eastAsia"/>
                      <w:color w:val="auto"/>
                      <w:kern w:val="0"/>
                      <w:sz w:val="21"/>
                      <w:szCs w:val="21"/>
                    </w:rPr>
                    <w:t>有效</w:t>
                  </w:r>
                  <w:r>
                    <w:rPr>
                      <w:color w:val="auto"/>
                      <w:kern w:val="0"/>
                      <w:sz w:val="21"/>
                      <w:szCs w:val="21"/>
                    </w:rPr>
                    <w:t>的事故风险措施，设立应急监测体系，强化应急演练和应急物资储备。</w:t>
                  </w:r>
                </w:p>
              </w:tc>
              <w:tc>
                <w:tcPr>
                  <w:tcW w:w="408" w:type="pct"/>
                  <w:tcBorders>
                    <w:tl2br w:val="nil"/>
                    <w:tr2bl w:val="nil"/>
                  </w:tcBorders>
                  <w:vAlign w:val="center"/>
                </w:tcPr>
                <w:p w14:paraId="727BBA68">
                  <w:pPr>
                    <w:autoSpaceDE w:val="0"/>
                    <w:autoSpaceDN w:val="0"/>
                    <w:adjustRightInd w:val="0"/>
                    <w:snapToGrid w:val="0"/>
                    <w:jc w:val="center"/>
                    <w:rPr>
                      <w:color w:val="auto"/>
                      <w:kern w:val="0"/>
                      <w:sz w:val="21"/>
                      <w:szCs w:val="21"/>
                    </w:rPr>
                  </w:pPr>
                  <w:r>
                    <w:rPr>
                      <w:color w:val="auto"/>
                      <w:kern w:val="0"/>
                      <w:sz w:val="21"/>
                      <w:szCs w:val="21"/>
                    </w:rPr>
                    <w:t>符合</w:t>
                  </w:r>
                </w:p>
              </w:tc>
            </w:tr>
            <w:tr w14:paraId="55477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64" w:type="pct"/>
                  <w:tcBorders>
                    <w:tl2br w:val="nil"/>
                    <w:tr2bl w:val="nil"/>
                  </w:tcBorders>
                  <w:vAlign w:val="center"/>
                </w:tcPr>
                <w:p w14:paraId="1BE0C153">
                  <w:pPr>
                    <w:autoSpaceDE w:val="0"/>
                    <w:autoSpaceDN w:val="0"/>
                    <w:adjustRightInd w:val="0"/>
                    <w:snapToGrid w:val="0"/>
                    <w:jc w:val="center"/>
                    <w:rPr>
                      <w:color w:val="auto"/>
                      <w:kern w:val="0"/>
                      <w:sz w:val="21"/>
                      <w:szCs w:val="21"/>
                    </w:rPr>
                  </w:pPr>
                  <w:r>
                    <w:rPr>
                      <w:color w:val="auto"/>
                      <w:kern w:val="0"/>
                      <w:sz w:val="21"/>
                      <w:szCs w:val="21"/>
                    </w:rPr>
                    <w:t>7</w:t>
                  </w:r>
                </w:p>
              </w:tc>
              <w:tc>
                <w:tcPr>
                  <w:tcW w:w="2977" w:type="pct"/>
                  <w:tcBorders>
                    <w:tl2br w:val="nil"/>
                    <w:tr2bl w:val="nil"/>
                  </w:tcBorders>
                  <w:vAlign w:val="center"/>
                </w:tcPr>
                <w:p w14:paraId="33E20093">
                  <w:pPr>
                    <w:autoSpaceDE w:val="0"/>
                    <w:autoSpaceDN w:val="0"/>
                    <w:adjustRightInd w:val="0"/>
                    <w:snapToGrid w:val="0"/>
                    <w:jc w:val="left"/>
                    <w:rPr>
                      <w:color w:val="auto"/>
                      <w:kern w:val="0"/>
                      <w:sz w:val="21"/>
                      <w:szCs w:val="21"/>
                    </w:rPr>
                  </w:pPr>
                  <w:r>
                    <w:rPr>
                      <w:color w:val="auto"/>
                      <w:kern w:val="0"/>
                      <w:sz w:val="21"/>
                      <w:szCs w:val="21"/>
                    </w:rPr>
                    <w:t>加强环境监管及日常环境质量监测。园区应建立完善的环境监测计划，开展包括常规污染物和特征污染物在内的环境空气、地下水、土壤、生态系统等环境质量监测工作，实现长期监测与有效监控。重点企业排污口要设置在线监测系统并与生态环境部门联网。</w:t>
                  </w:r>
                </w:p>
              </w:tc>
              <w:tc>
                <w:tcPr>
                  <w:tcW w:w="1348" w:type="pct"/>
                  <w:tcBorders>
                    <w:tl2br w:val="nil"/>
                    <w:tr2bl w:val="nil"/>
                  </w:tcBorders>
                  <w:vAlign w:val="center"/>
                </w:tcPr>
                <w:p w14:paraId="7F255C46">
                  <w:pPr>
                    <w:autoSpaceDE w:val="0"/>
                    <w:autoSpaceDN w:val="0"/>
                    <w:adjustRightInd w:val="0"/>
                    <w:snapToGrid w:val="0"/>
                    <w:jc w:val="left"/>
                    <w:rPr>
                      <w:color w:val="auto"/>
                      <w:kern w:val="0"/>
                      <w:sz w:val="21"/>
                      <w:szCs w:val="21"/>
                    </w:rPr>
                  </w:pPr>
                  <w:r>
                    <w:rPr>
                      <w:color w:val="auto"/>
                      <w:kern w:val="0"/>
                      <w:sz w:val="21"/>
                      <w:szCs w:val="21"/>
                    </w:rPr>
                    <w:t>项目制定了完善的环境监测计划，涵盖了</w:t>
                  </w:r>
                  <w:r>
                    <w:rPr>
                      <w:color w:val="auto"/>
                      <w:sz w:val="21"/>
                      <w:szCs w:val="21"/>
                    </w:rPr>
                    <w:t>常规污染物和特征污染物，严格日常环保工作落实，保证达标排放。</w:t>
                  </w:r>
                </w:p>
              </w:tc>
              <w:tc>
                <w:tcPr>
                  <w:tcW w:w="408" w:type="pct"/>
                  <w:tcBorders>
                    <w:tl2br w:val="nil"/>
                    <w:tr2bl w:val="nil"/>
                  </w:tcBorders>
                  <w:vAlign w:val="center"/>
                </w:tcPr>
                <w:p w14:paraId="625D1A69">
                  <w:pPr>
                    <w:autoSpaceDE w:val="0"/>
                    <w:autoSpaceDN w:val="0"/>
                    <w:adjustRightInd w:val="0"/>
                    <w:snapToGrid w:val="0"/>
                    <w:jc w:val="center"/>
                    <w:rPr>
                      <w:color w:val="auto"/>
                      <w:kern w:val="0"/>
                      <w:sz w:val="21"/>
                      <w:szCs w:val="21"/>
                    </w:rPr>
                  </w:pPr>
                </w:p>
              </w:tc>
            </w:tr>
            <w:tr w14:paraId="56B35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64" w:type="pct"/>
                  <w:tcBorders>
                    <w:tl2br w:val="nil"/>
                    <w:tr2bl w:val="nil"/>
                  </w:tcBorders>
                  <w:vAlign w:val="center"/>
                </w:tcPr>
                <w:p w14:paraId="04FCC900">
                  <w:pPr>
                    <w:autoSpaceDE w:val="0"/>
                    <w:autoSpaceDN w:val="0"/>
                    <w:adjustRightInd w:val="0"/>
                    <w:snapToGrid w:val="0"/>
                    <w:jc w:val="center"/>
                    <w:rPr>
                      <w:color w:val="auto"/>
                      <w:kern w:val="0"/>
                      <w:sz w:val="21"/>
                      <w:szCs w:val="21"/>
                    </w:rPr>
                  </w:pPr>
                  <w:r>
                    <w:rPr>
                      <w:color w:val="auto"/>
                      <w:kern w:val="0"/>
                      <w:sz w:val="21"/>
                      <w:szCs w:val="21"/>
                    </w:rPr>
                    <w:t>8</w:t>
                  </w:r>
                </w:p>
              </w:tc>
              <w:tc>
                <w:tcPr>
                  <w:tcW w:w="2977" w:type="pct"/>
                  <w:tcBorders>
                    <w:tl2br w:val="nil"/>
                    <w:tr2bl w:val="nil"/>
                  </w:tcBorders>
                  <w:vAlign w:val="center"/>
                </w:tcPr>
                <w:p w14:paraId="38AC6222">
                  <w:pPr>
                    <w:autoSpaceDE w:val="0"/>
                    <w:autoSpaceDN w:val="0"/>
                    <w:adjustRightInd w:val="0"/>
                    <w:snapToGrid w:val="0"/>
                    <w:jc w:val="left"/>
                    <w:rPr>
                      <w:color w:val="auto"/>
                      <w:kern w:val="0"/>
                      <w:sz w:val="21"/>
                      <w:szCs w:val="21"/>
                    </w:rPr>
                  </w:pPr>
                  <w:r>
                    <w:rPr>
                      <w:color w:val="auto"/>
                      <w:kern w:val="0"/>
                      <w:sz w:val="21"/>
                      <w:szCs w:val="21"/>
                    </w:rPr>
                    <w:t>总体规划实施对环境产生重大影响时，应当及时组织环境影响的跟踪评价。对规划所包含的建设项目，在开展环境影响评价时，应重点分析污染防治措施和环境风险防控措施的可行性、可靠性，规划协调性分析、环境现状等工作内容可适当简化</w:t>
                  </w:r>
                </w:p>
              </w:tc>
              <w:tc>
                <w:tcPr>
                  <w:tcW w:w="1348" w:type="pct"/>
                  <w:tcBorders>
                    <w:tl2br w:val="nil"/>
                    <w:tr2bl w:val="nil"/>
                  </w:tcBorders>
                  <w:vAlign w:val="center"/>
                </w:tcPr>
                <w:p w14:paraId="27BB242F">
                  <w:pPr>
                    <w:autoSpaceDE w:val="0"/>
                    <w:autoSpaceDN w:val="0"/>
                    <w:adjustRightInd w:val="0"/>
                    <w:snapToGrid w:val="0"/>
                    <w:jc w:val="left"/>
                    <w:rPr>
                      <w:color w:val="auto"/>
                      <w:kern w:val="0"/>
                      <w:sz w:val="21"/>
                      <w:szCs w:val="21"/>
                    </w:rPr>
                  </w:pPr>
                  <w:r>
                    <w:rPr>
                      <w:color w:val="auto"/>
                      <w:kern w:val="0"/>
                      <w:sz w:val="21"/>
                      <w:szCs w:val="21"/>
                    </w:rPr>
                    <w:t>不涉及对本项目的具体要求</w:t>
                  </w:r>
                </w:p>
              </w:tc>
              <w:tc>
                <w:tcPr>
                  <w:tcW w:w="408" w:type="pct"/>
                  <w:tcBorders>
                    <w:tl2br w:val="nil"/>
                    <w:tr2bl w:val="nil"/>
                  </w:tcBorders>
                  <w:vAlign w:val="center"/>
                </w:tcPr>
                <w:p w14:paraId="409CFA40">
                  <w:pPr>
                    <w:autoSpaceDE w:val="0"/>
                    <w:autoSpaceDN w:val="0"/>
                    <w:adjustRightInd w:val="0"/>
                    <w:snapToGrid w:val="0"/>
                    <w:jc w:val="center"/>
                    <w:rPr>
                      <w:color w:val="auto"/>
                      <w:kern w:val="0"/>
                      <w:sz w:val="21"/>
                      <w:szCs w:val="21"/>
                    </w:rPr>
                  </w:pPr>
                  <w:r>
                    <w:rPr>
                      <w:color w:val="auto"/>
                      <w:kern w:val="0"/>
                      <w:sz w:val="21"/>
                      <w:szCs w:val="21"/>
                    </w:rPr>
                    <w:t>/</w:t>
                  </w:r>
                </w:p>
              </w:tc>
            </w:tr>
          </w:tbl>
          <w:p w14:paraId="30BAB002">
            <w:pPr>
              <w:autoSpaceDE w:val="0"/>
              <w:autoSpaceDN w:val="0"/>
              <w:adjustRightInd w:val="0"/>
              <w:snapToGrid w:val="0"/>
              <w:spacing w:line="500" w:lineRule="exact"/>
              <w:ind w:firstLine="480" w:firstLineChars="200"/>
              <w:rPr>
                <w:color w:val="auto"/>
                <w:kern w:val="0"/>
              </w:rPr>
            </w:pPr>
            <w:r>
              <w:rPr>
                <w:color w:val="auto"/>
                <w:kern w:val="0"/>
              </w:rPr>
              <w:t>根据以上符合性分析可知，本项目符合《鄂托克经济开发区国土空间总体规划（2021-2035）蒙西产业园环境影响报告书》及其审查意见的相关要求。</w:t>
            </w:r>
          </w:p>
        </w:tc>
      </w:tr>
      <w:tr w14:paraId="1069BC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225" w:type="dxa"/>
            <w:vAlign w:val="center"/>
          </w:tcPr>
          <w:p w14:paraId="574D3DEE">
            <w:pPr>
              <w:autoSpaceDE w:val="0"/>
              <w:autoSpaceDN w:val="0"/>
              <w:adjustRightInd w:val="0"/>
              <w:snapToGrid w:val="0"/>
              <w:jc w:val="center"/>
              <w:rPr>
                <w:color w:val="auto"/>
                <w:kern w:val="0"/>
              </w:rPr>
            </w:pPr>
            <w:r>
              <w:rPr>
                <w:color w:val="auto"/>
                <w:kern w:val="0"/>
              </w:rPr>
              <w:t>其他符合性分析</w:t>
            </w:r>
          </w:p>
        </w:tc>
        <w:tc>
          <w:tcPr>
            <w:tcW w:w="7808" w:type="dxa"/>
            <w:gridSpan w:val="3"/>
            <w:vAlign w:val="center"/>
          </w:tcPr>
          <w:p w14:paraId="1A29F414">
            <w:pPr>
              <w:pStyle w:val="2"/>
              <w:spacing w:before="0" w:after="0" w:line="500" w:lineRule="exact"/>
              <w:ind w:left="0" w:firstLine="482" w:firstLineChars="200"/>
              <w:rPr>
                <w:color w:val="auto"/>
                <w:sz w:val="24"/>
                <w:szCs w:val="24"/>
              </w:rPr>
            </w:pPr>
            <w:r>
              <w:rPr>
                <w:rFonts w:hint="eastAsia"/>
                <w:color w:val="auto"/>
                <w:sz w:val="24"/>
                <w:szCs w:val="24"/>
              </w:rPr>
              <w:t>1、</w:t>
            </w:r>
            <w:r>
              <w:rPr>
                <w:color w:val="auto"/>
                <w:sz w:val="24"/>
                <w:szCs w:val="24"/>
              </w:rPr>
              <w:t>产业政策的符合性分析</w:t>
            </w:r>
          </w:p>
          <w:p w14:paraId="71B5577F">
            <w:pPr>
              <w:widowControl/>
              <w:spacing w:line="500" w:lineRule="exact"/>
              <w:ind w:firstLine="480" w:firstLineChars="200"/>
              <w:jc w:val="left"/>
              <w:rPr>
                <w:color w:val="auto"/>
              </w:rPr>
            </w:pPr>
            <w:r>
              <w:rPr>
                <w:color w:val="auto"/>
              </w:rPr>
              <w:t>根据《产业结构调整指导目录》（2024年本），本项目为C4210金属废料和碎屑加工处理，属于</w:t>
            </w:r>
            <w:r>
              <w:rPr>
                <w:rFonts w:hint="eastAsia"/>
                <w:color w:val="auto"/>
              </w:rPr>
              <w:t>“</w:t>
            </w:r>
            <w:r>
              <w:rPr>
                <w:color w:val="auto"/>
              </w:rPr>
              <w:t>鼓励类中四十二、环境保护与资源节约综合利用中第8点：废弃物循环利用</w:t>
            </w:r>
            <w:r>
              <w:rPr>
                <w:rFonts w:hint="eastAsia"/>
                <w:color w:val="auto"/>
              </w:rPr>
              <w:t>”。因此，本项目符合国家产业政策。</w:t>
            </w:r>
          </w:p>
          <w:p w14:paraId="7C7350BD">
            <w:pPr>
              <w:widowControl/>
              <w:spacing w:line="500" w:lineRule="exact"/>
              <w:ind w:firstLine="480" w:firstLineChars="200"/>
              <w:jc w:val="left"/>
              <w:rPr>
                <w:color w:val="auto"/>
              </w:rPr>
            </w:pPr>
            <w:r>
              <w:rPr>
                <w:rFonts w:hint="eastAsia"/>
                <w:color w:val="auto"/>
              </w:rPr>
              <w:t>本项目已取得</w:t>
            </w:r>
            <w:r>
              <w:rPr>
                <w:color w:val="auto"/>
              </w:rPr>
              <w:t>鄂托克旗发展和改革委员会</w:t>
            </w:r>
            <w:r>
              <w:rPr>
                <w:rFonts w:hint="eastAsia"/>
                <w:color w:val="auto"/>
              </w:rPr>
              <w:t>项目备案告知书，项目代码为</w:t>
            </w:r>
            <w:r>
              <w:rPr>
                <w:color w:val="auto"/>
              </w:rPr>
              <w:t>2307-150624-04-01-507613</w:t>
            </w:r>
            <w:r>
              <w:rPr>
                <w:rFonts w:hint="eastAsia"/>
                <w:color w:val="auto"/>
              </w:rPr>
              <w:t>。因此本项目符合地方产业政策。</w:t>
            </w:r>
          </w:p>
          <w:p w14:paraId="32CD6D7E">
            <w:pPr>
              <w:pStyle w:val="2"/>
              <w:spacing w:before="0" w:after="0" w:line="500" w:lineRule="exact"/>
              <w:ind w:left="0" w:firstLine="482" w:firstLineChars="200"/>
              <w:rPr>
                <w:color w:val="auto"/>
                <w:sz w:val="24"/>
                <w:szCs w:val="24"/>
              </w:rPr>
            </w:pPr>
            <w:r>
              <w:rPr>
                <w:rFonts w:hint="eastAsia"/>
                <w:color w:val="auto"/>
                <w:sz w:val="24"/>
                <w:szCs w:val="24"/>
              </w:rPr>
              <w:t>2、与生态环境分区管控要求的符合性</w:t>
            </w:r>
          </w:p>
          <w:p w14:paraId="41E2ABF8">
            <w:pPr>
              <w:pStyle w:val="2"/>
              <w:spacing w:before="0" w:after="0" w:line="500" w:lineRule="exact"/>
              <w:ind w:left="0" w:firstLine="482" w:firstLineChars="200"/>
              <w:rPr>
                <w:color w:val="auto"/>
                <w:sz w:val="24"/>
                <w:szCs w:val="24"/>
              </w:rPr>
            </w:pPr>
            <w:r>
              <w:rPr>
                <w:rFonts w:hint="eastAsia"/>
                <w:color w:val="auto"/>
                <w:sz w:val="24"/>
                <w:szCs w:val="24"/>
              </w:rPr>
              <w:t>（1）生态保护红线</w:t>
            </w:r>
          </w:p>
          <w:p w14:paraId="291CA0C8">
            <w:pPr>
              <w:autoSpaceDE w:val="0"/>
              <w:autoSpaceDN w:val="0"/>
              <w:adjustRightInd w:val="0"/>
              <w:snapToGrid w:val="0"/>
              <w:spacing w:line="500" w:lineRule="exact"/>
              <w:ind w:firstLine="480" w:firstLineChars="200"/>
              <w:jc w:val="left"/>
              <w:rPr>
                <w:color w:val="auto"/>
              </w:rPr>
            </w:pPr>
            <w:r>
              <w:rPr>
                <w:color w:val="auto"/>
              </w:rPr>
              <w:t>《鄂尔多斯市生态环境分区管控动态更新成果（2023年版）》指出：“依据生态保护红线、环境质量底线、资源利用上线等调整情况，结合全市经济社会发展和生态环境保护实际，调整优先保护、重点管控、一般管控三类环境管控单元，分区分类实施精细化管控。优先保护单元突出系统性保护，保持空间格局基本稳定，部分单元结合生态保护红线予以调整；重点管控单元突出精细化管理，空间格局与环境治理格局相匹配，部分单元根据产业园区、矿区和城镇开发边界进行调整；一般管控单元保持基本稳定，为经济社会发展和生态环境保护预留空间。”</w:t>
            </w:r>
          </w:p>
          <w:p w14:paraId="22DC1D1C">
            <w:pPr>
              <w:autoSpaceDE w:val="0"/>
              <w:autoSpaceDN w:val="0"/>
              <w:adjustRightInd w:val="0"/>
              <w:snapToGrid w:val="0"/>
              <w:spacing w:line="500" w:lineRule="exact"/>
              <w:ind w:firstLine="480" w:firstLineChars="200"/>
              <w:jc w:val="left"/>
              <w:rPr>
                <w:color w:val="auto"/>
              </w:rPr>
            </w:pPr>
            <w:r>
              <w:rPr>
                <w:color w:val="auto"/>
              </w:rPr>
              <w:t>调整后，全市按优先保护、重点管控、一般管控三大类划分为171个环境管控单元。其中，优先保护单元76个，面积占比64.35%；重点管控单元86个，面积占比28.10%；一般管控单元9个，面积占比7.56%。优先保护单元以生态环境保护优先为原则，依法禁止或限制大规模、高强度的工业开发和城镇建设，确保生态环境功能不降低。重点管控单元应不断提升资源利用效率，有针对性地加强污染物排放控制和环境风险防控，解决生态环境质量不达标、生态环境风险高等问题。一般管控单元主要落实生态环境保护基本要求。</w:t>
            </w:r>
          </w:p>
          <w:p w14:paraId="169BBC55">
            <w:pPr>
              <w:autoSpaceDE w:val="0"/>
              <w:autoSpaceDN w:val="0"/>
              <w:adjustRightInd w:val="0"/>
              <w:snapToGrid w:val="0"/>
              <w:spacing w:line="500" w:lineRule="exact"/>
              <w:ind w:firstLine="480" w:firstLineChars="200"/>
              <w:rPr>
                <w:bCs/>
                <w:color w:val="auto"/>
              </w:rPr>
            </w:pPr>
            <w:r>
              <w:rPr>
                <w:color w:val="auto"/>
              </w:rPr>
              <w:t>本项目位于</w:t>
            </w:r>
            <w:r>
              <w:rPr>
                <w:rFonts w:hint="eastAsia"/>
                <w:color w:val="auto"/>
              </w:rPr>
              <w:t>鄂尔多斯市蒙西高新技术工业园区内</w:t>
            </w:r>
            <w:r>
              <w:rPr>
                <w:color w:val="auto"/>
              </w:rPr>
              <w:t>，</w:t>
            </w:r>
            <w:r>
              <w:rPr>
                <w:rFonts w:hint="eastAsia"/>
                <w:color w:val="auto"/>
              </w:rPr>
              <w:t>环境</w:t>
            </w:r>
            <w:r>
              <w:rPr>
                <w:color w:val="auto"/>
              </w:rPr>
              <w:t>管控单元</w:t>
            </w:r>
            <w:r>
              <w:rPr>
                <w:rFonts w:hint="eastAsia"/>
                <w:color w:val="auto"/>
              </w:rPr>
              <w:t>为一般管控单元（鄂托克旗一般管控区，管控单元编码为ZH15062430001）</w:t>
            </w:r>
            <w:r>
              <w:rPr>
                <w:color w:val="auto"/>
              </w:rPr>
              <w:t>。评价区内无饮用水水源地、自然保护区、风景名胜区等特殊环境敏感区。本项目不在生态红线范围内，符合生态保护红线管控要求。</w:t>
            </w:r>
          </w:p>
          <w:p w14:paraId="51042A30">
            <w:pPr>
              <w:pStyle w:val="2"/>
              <w:spacing w:before="0" w:after="0" w:line="500" w:lineRule="exact"/>
              <w:ind w:left="0" w:firstLine="482" w:firstLineChars="200"/>
              <w:rPr>
                <w:color w:val="auto"/>
                <w:sz w:val="24"/>
                <w:szCs w:val="24"/>
              </w:rPr>
            </w:pPr>
            <w:r>
              <w:rPr>
                <w:rFonts w:hint="eastAsia"/>
                <w:color w:val="auto"/>
                <w:sz w:val="24"/>
                <w:szCs w:val="24"/>
              </w:rPr>
              <w:t>（2）环境质量底线</w:t>
            </w:r>
          </w:p>
          <w:p w14:paraId="319B8AFE">
            <w:pPr>
              <w:pStyle w:val="57"/>
              <w:spacing w:line="500" w:lineRule="exact"/>
              <w:ind w:firstLine="480" w:firstLineChars="200"/>
              <w:jc w:val="left"/>
              <w:rPr>
                <w:rFonts w:ascii="Times New Roman" w:hAnsi="Times New Roman"/>
                <w:bCs/>
                <w:color w:val="auto"/>
              </w:rPr>
            </w:pPr>
            <w:r>
              <w:rPr>
                <w:rFonts w:hint="default" w:ascii="Times New Roman" w:hAnsi="Times New Roman" w:eastAsia="宋体" w:cs="Times New Roman"/>
                <w:color w:val="auto"/>
                <w:sz w:val="24"/>
                <w:szCs w:val="24"/>
                <w:highlight w:val="none"/>
              </w:rPr>
              <w:t>本</w:t>
            </w:r>
            <w:r>
              <w:rPr>
                <w:rFonts w:hint="default" w:ascii="Times New Roman" w:hAnsi="Times New Roman" w:eastAsia="宋体" w:cs="Times New Roman"/>
                <w:color w:val="auto"/>
                <w:sz w:val="24"/>
                <w:szCs w:val="24"/>
                <w:highlight w:val="none"/>
                <w:lang w:eastAsia="zh-CN"/>
              </w:rPr>
              <w:t>次</w:t>
            </w:r>
            <w:r>
              <w:rPr>
                <w:rFonts w:hint="default" w:ascii="Times New Roman" w:hAnsi="Times New Roman" w:eastAsia="宋体" w:cs="Times New Roman"/>
                <w:color w:val="auto"/>
                <w:sz w:val="24"/>
                <w:szCs w:val="24"/>
                <w:highlight w:val="none"/>
              </w:rPr>
              <w:t>评价收集了</w:t>
            </w:r>
            <w:r>
              <w:rPr>
                <w:rFonts w:hint="eastAsia"/>
                <w:color w:val="auto"/>
                <w:lang w:val="en-US" w:eastAsia="zh-CN"/>
              </w:rPr>
              <w:t>鄂尔多斯市蒙西</w:t>
            </w:r>
            <w:r>
              <w:rPr>
                <w:rFonts w:hint="default" w:ascii="Times New Roman" w:hAnsi="Times New Roman" w:eastAsia="宋体" w:cs="Times New Roman"/>
                <w:color w:val="auto"/>
                <w:sz w:val="24"/>
                <w:szCs w:val="24"/>
                <w:highlight w:val="none"/>
              </w:rPr>
              <w:t>环境监测站环境空气自动监测系统</w:t>
            </w:r>
            <w:r>
              <w:rPr>
                <w:rFonts w:hint="default" w:ascii="Times New Roman" w:hAnsi="Times New Roman" w:eastAsia="宋体" w:cs="Times New Roman"/>
                <w:color w:val="auto"/>
                <w:sz w:val="24"/>
                <w:szCs w:val="24"/>
                <w:highlight w:val="none"/>
                <w:lang w:val="en-US" w:eastAsia="zh-CN"/>
              </w:rPr>
              <w:t>202</w:t>
            </w:r>
            <w:r>
              <w:rPr>
                <w:rFonts w:hint="eastAsia"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年全年例行监测数据</w:t>
            </w:r>
            <w:r>
              <w:rPr>
                <w:rFonts w:hint="eastAsia" w:ascii="Times New Roman" w:hAnsi="Times New Roman" w:eastAsia="宋体" w:cs="Times New Roman"/>
                <w:color w:val="auto"/>
                <w:sz w:val="24"/>
                <w:szCs w:val="24"/>
                <w:highlight w:val="none"/>
                <w:lang w:eastAsia="zh-CN"/>
              </w:rPr>
              <w:t>，</w:t>
            </w:r>
            <w:r>
              <w:rPr>
                <w:bCs/>
                <w:color w:val="auto"/>
                <w:highlight w:val="none"/>
              </w:rPr>
              <w:t>鄂尔多斯市</w:t>
            </w:r>
            <w:r>
              <w:rPr>
                <w:rFonts w:hint="default" w:ascii="Times New Roman" w:hAnsi="Times New Roman" w:eastAsia="宋体" w:cs="Times New Roman"/>
                <w:bCs/>
                <w:color w:val="auto"/>
                <w:sz w:val="24"/>
                <w:szCs w:val="24"/>
                <w:highlight w:val="none"/>
              </w:rPr>
              <w:t>PM</w:t>
            </w:r>
            <w:r>
              <w:rPr>
                <w:rFonts w:hint="default" w:ascii="Times New Roman" w:hAnsi="Times New Roman" w:eastAsia="宋体" w:cs="Times New Roman"/>
                <w:bCs/>
                <w:color w:val="auto"/>
                <w:sz w:val="24"/>
                <w:szCs w:val="24"/>
                <w:highlight w:val="none"/>
                <w:vertAlign w:val="subscript"/>
              </w:rPr>
              <w:t>10</w:t>
            </w:r>
            <w:r>
              <w:rPr>
                <w:rFonts w:hint="default" w:ascii="Times New Roman" w:hAnsi="Times New Roman" w:eastAsia="宋体" w:cs="Times New Roman"/>
                <w:bCs/>
                <w:color w:val="auto"/>
                <w:sz w:val="24"/>
                <w:szCs w:val="24"/>
                <w:highlight w:val="none"/>
              </w:rPr>
              <w:t>超标，</w:t>
            </w:r>
            <w:r>
              <w:rPr>
                <w:rFonts w:hint="default" w:ascii="Times New Roman" w:hAnsi="Times New Roman" w:eastAsia="宋体" w:cs="Times New Roman"/>
                <w:color w:val="auto"/>
                <w:sz w:val="24"/>
                <w:szCs w:val="24"/>
                <w:highlight w:val="none"/>
                <w:lang w:val="en-US" w:eastAsia="zh-CN"/>
              </w:rPr>
              <w:t>PM</w:t>
            </w:r>
            <w:r>
              <w:rPr>
                <w:rFonts w:hint="default" w:ascii="Times New Roman" w:hAnsi="Times New Roman" w:eastAsia="宋体" w:cs="Times New Roman"/>
                <w:color w:val="auto"/>
                <w:sz w:val="24"/>
                <w:szCs w:val="24"/>
                <w:highlight w:val="none"/>
                <w:vertAlign w:val="subscript"/>
                <w:lang w:val="en-US" w:eastAsia="zh-CN"/>
              </w:rPr>
              <w:t>2.5</w:t>
            </w:r>
            <w:r>
              <w:rPr>
                <w:rFonts w:hint="default" w:ascii="Times New Roman" w:hAnsi="Times New Roman" w:eastAsia="宋体" w:cs="Times New Roman"/>
                <w:color w:val="auto"/>
                <w:sz w:val="24"/>
                <w:szCs w:val="24"/>
                <w:highlight w:val="none"/>
                <w:lang w:val="en-US" w:eastAsia="zh-CN"/>
              </w:rPr>
              <w:t>、SO</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、NO</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、O</w:t>
            </w:r>
            <w:r>
              <w:rPr>
                <w:rFonts w:hint="default" w:ascii="Times New Roman" w:hAnsi="Times New Roman" w:eastAsia="宋体" w:cs="Times New Roman"/>
                <w:color w:val="auto"/>
                <w:sz w:val="24"/>
                <w:szCs w:val="24"/>
                <w:highlight w:val="none"/>
                <w:vertAlign w:val="subscript"/>
                <w:lang w:val="en-US" w:eastAsia="zh-CN"/>
              </w:rPr>
              <w:t>3</w:t>
            </w:r>
            <w:r>
              <w:rPr>
                <w:rFonts w:hint="default" w:ascii="Times New Roman" w:hAnsi="Times New Roman" w:eastAsia="宋体" w:cs="Times New Roman"/>
                <w:color w:val="auto"/>
                <w:sz w:val="24"/>
                <w:szCs w:val="24"/>
                <w:highlight w:val="none"/>
                <w:lang w:val="en-US" w:eastAsia="zh-CN"/>
              </w:rPr>
              <w:t>、CO均满足《环境空气质量标准》（GB3095-2026）中过渡期二级标准，项目所在区域为不达标区</w:t>
            </w:r>
            <w:r>
              <w:rPr>
                <w:rFonts w:ascii="Times New Roman" w:hAnsi="Times New Roman"/>
                <w:color w:val="auto"/>
              </w:rPr>
              <w:t>。根据对项目区的现状监测数据可知，评价范围内特征因子</w:t>
            </w:r>
            <w:r>
              <w:rPr>
                <w:rFonts w:hint="eastAsia" w:ascii="Times New Roman" w:hAnsi="Times New Roman"/>
                <w:color w:val="auto"/>
              </w:rPr>
              <w:t>TSP、</w:t>
            </w:r>
            <w:r>
              <w:rPr>
                <w:rFonts w:ascii="Times New Roman" w:hAnsi="Times New Roman"/>
                <w:color w:val="auto"/>
              </w:rPr>
              <w:t>非甲烷总烃</w:t>
            </w:r>
            <w:r>
              <w:rPr>
                <w:rFonts w:hint="eastAsia" w:ascii="Times New Roman" w:hAnsi="Times New Roman"/>
                <w:color w:val="auto"/>
                <w:lang w:val="en-US" w:eastAsia="zh-CN"/>
              </w:rPr>
              <w:t>及硫酸雾</w:t>
            </w:r>
            <w:r>
              <w:rPr>
                <w:rFonts w:ascii="Times New Roman" w:hAnsi="Times New Roman"/>
                <w:color w:val="auto"/>
              </w:rPr>
              <w:t>的现状监测</w:t>
            </w:r>
            <w:r>
              <w:rPr>
                <w:rStyle w:val="33"/>
                <w:rFonts w:ascii="Times New Roman" w:hAnsi="Times New Roman"/>
                <w:color w:val="auto"/>
                <w:kern w:val="0"/>
                <w:sz w:val="24"/>
              </w:rPr>
              <w:t>结果</w:t>
            </w:r>
            <w:r>
              <w:rPr>
                <w:rFonts w:hint="eastAsia" w:ascii="Times New Roman" w:hAnsi="Times New Roman"/>
                <w:color w:val="auto"/>
              </w:rPr>
              <w:t>均满足相应的标准限值</w:t>
            </w:r>
            <w:r>
              <w:rPr>
                <w:rFonts w:ascii="Times New Roman" w:hAnsi="Times New Roman"/>
                <w:color w:val="auto"/>
              </w:rPr>
              <w:t>，总体环境现状符合环境功能区划要求。本项目运营期产生的污染物较少，不会对周边环境造成不良影响，即不会改变区域环境功能区质量要求，能维持环境功能区质量现状。</w:t>
            </w:r>
          </w:p>
          <w:p w14:paraId="2B2FD93E">
            <w:pPr>
              <w:pStyle w:val="2"/>
              <w:spacing w:before="0" w:after="0" w:line="480" w:lineRule="exact"/>
              <w:ind w:left="0" w:firstLine="482" w:firstLineChars="200"/>
              <w:rPr>
                <w:color w:val="auto"/>
                <w:sz w:val="24"/>
                <w:szCs w:val="24"/>
              </w:rPr>
            </w:pPr>
            <w:r>
              <w:rPr>
                <w:rFonts w:hint="eastAsia"/>
                <w:color w:val="auto"/>
                <w:sz w:val="24"/>
                <w:szCs w:val="24"/>
              </w:rPr>
              <w:t>（3）资源利用上线</w:t>
            </w:r>
          </w:p>
          <w:p w14:paraId="52F98CF5">
            <w:pPr>
              <w:pStyle w:val="57"/>
              <w:spacing w:line="480" w:lineRule="exact"/>
              <w:ind w:firstLine="480" w:firstLineChars="200"/>
              <w:jc w:val="left"/>
              <w:rPr>
                <w:rFonts w:ascii="Times New Roman" w:hAnsi="Times New Roman"/>
                <w:color w:val="auto"/>
                <w:szCs w:val="24"/>
                <w:lang w:val="zh-CN"/>
              </w:rPr>
            </w:pPr>
            <w:r>
              <w:rPr>
                <w:rFonts w:hint="eastAsia" w:ascii="宋体" w:hAnsi="宋体" w:cs="宋体"/>
                <w:color w:val="auto"/>
              </w:rPr>
              <w:t>本项目运营过程中</w:t>
            </w:r>
            <w:r>
              <w:rPr>
                <w:rFonts w:ascii="Times New Roman" w:hAnsi="Times New Roman"/>
                <w:color w:val="auto"/>
              </w:rPr>
              <w:t>消耗</w:t>
            </w:r>
            <w:r>
              <w:rPr>
                <w:rFonts w:hint="eastAsia" w:ascii="Times New Roman" w:hAnsi="Times New Roman"/>
                <w:color w:val="auto"/>
              </w:rPr>
              <w:t>一定量的</w:t>
            </w:r>
            <w:r>
              <w:rPr>
                <w:rFonts w:ascii="Times New Roman" w:hAnsi="Times New Roman"/>
                <w:color w:val="auto"/>
              </w:rPr>
              <w:t>水和电，项目资源消耗量相对区域资源利用总量较小</w:t>
            </w:r>
            <w:r>
              <w:rPr>
                <w:rFonts w:ascii="Times New Roman" w:hAnsi="Times New Roman"/>
                <w:color w:val="auto"/>
                <w:szCs w:val="24"/>
              </w:rPr>
              <w:t>。项目</w:t>
            </w:r>
            <w:r>
              <w:rPr>
                <w:rFonts w:ascii="Times New Roman" w:hAnsi="Times New Roman"/>
                <w:color w:val="auto"/>
                <w:szCs w:val="24"/>
                <w:lang w:val="zh-CN"/>
              </w:rPr>
              <w:t>建成运行后通过内部管理、设备选择、污染治理等多方面采取可行的防治措施，以“节能、降耗、减污”为目标，有效的控制污染，各项资源量在区域的可承受范围内，工程建设符合区域资源利用上线要求。</w:t>
            </w:r>
          </w:p>
          <w:p w14:paraId="76A7A6D8">
            <w:pPr>
              <w:pStyle w:val="2"/>
              <w:spacing w:before="0" w:after="0" w:line="480" w:lineRule="exact"/>
              <w:ind w:left="0" w:firstLine="482" w:firstLineChars="200"/>
              <w:rPr>
                <w:color w:val="auto"/>
                <w:sz w:val="24"/>
                <w:szCs w:val="24"/>
              </w:rPr>
            </w:pPr>
            <w:r>
              <w:rPr>
                <w:rFonts w:hint="eastAsia"/>
                <w:color w:val="auto"/>
                <w:sz w:val="24"/>
                <w:szCs w:val="24"/>
              </w:rPr>
              <w:t>（4）生态环境准入清单</w:t>
            </w:r>
          </w:p>
          <w:p w14:paraId="5744C940">
            <w:pPr>
              <w:autoSpaceDE w:val="0"/>
              <w:autoSpaceDN w:val="0"/>
              <w:adjustRightInd w:val="0"/>
              <w:snapToGrid w:val="0"/>
              <w:spacing w:line="480" w:lineRule="exact"/>
              <w:ind w:firstLine="480" w:firstLineChars="200"/>
              <w:rPr>
                <w:color w:val="auto"/>
              </w:rPr>
            </w:pPr>
            <w:r>
              <w:rPr>
                <w:color w:val="auto"/>
              </w:rPr>
              <w:t>根据“三线一单核查报告”和《鄂尔多斯市生态环境准入清单》，本项目属于“鄂尔多斯市</w:t>
            </w:r>
            <w:r>
              <w:rPr>
                <w:rFonts w:hint="eastAsia"/>
                <w:color w:val="auto"/>
              </w:rPr>
              <w:t>鄂托克旗</w:t>
            </w:r>
            <w:r>
              <w:rPr>
                <w:color w:val="auto"/>
              </w:rPr>
              <w:t>生态环境准入清单”的</w:t>
            </w:r>
            <w:r>
              <w:rPr>
                <w:rFonts w:hint="eastAsia"/>
                <w:color w:val="auto"/>
              </w:rPr>
              <w:t>一般管控单元（鄂托克旗一般管控区，管控单元编码为ZH15062430001）</w:t>
            </w:r>
            <w:r>
              <w:rPr>
                <w:color w:val="auto"/>
              </w:rPr>
              <w:t>，单元管控要求见下表。</w:t>
            </w:r>
          </w:p>
          <w:p w14:paraId="16D85261">
            <w:pPr>
              <w:spacing w:line="500" w:lineRule="exact"/>
              <w:jc w:val="center"/>
              <w:rPr>
                <w:b/>
                <w:color w:val="auto"/>
              </w:rPr>
            </w:pPr>
            <w:r>
              <w:rPr>
                <w:b/>
                <w:color w:val="auto"/>
              </w:rPr>
              <w:t>表</w:t>
            </w:r>
            <w:r>
              <w:rPr>
                <w:rFonts w:hint="eastAsia"/>
                <w:b/>
                <w:color w:val="auto"/>
              </w:rPr>
              <w:t xml:space="preserve">1-4 </w:t>
            </w:r>
            <w:commentRangeStart w:id="2"/>
            <w:commentRangeStart w:id="3"/>
            <w:r>
              <w:rPr>
                <w:b/>
                <w:color w:val="auto"/>
              </w:rPr>
              <w:t>项目与</w:t>
            </w:r>
            <w:r>
              <w:rPr>
                <w:rFonts w:hint="eastAsia"/>
                <w:b/>
                <w:color w:val="auto"/>
              </w:rPr>
              <w:t>鄂托克旗一般管控区的管控要求</w:t>
            </w:r>
            <w:commentRangeEnd w:id="2"/>
            <w:r>
              <w:rPr>
                <w:color w:val="auto"/>
              </w:rPr>
              <w:commentReference w:id="2"/>
            </w:r>
            <w:commentRangeEnd w:id="3"/>
            <w:r>
              <w:commentReference w:id="3"/>
            </w:r>
            <w:r>
              <w:rPr>
                <w:b/>
                <w:color w:val="auto"/>
              </w:rPr>
              <w:t>相符性分析</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1803"/>
              <w:gridCol w:w="880"/>
              <w:gridCol w:w="880"/>
              <w:gridCol w:w="813"/>
              <w:gridCol w:w="1555"/>
            </w:tblGrid>
            <w:tr w14:paraId="214D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088" w:type="pct"/>
                  <w:vMerge w:val="restart"/>
                  <w:vAlign w:val="center"/>
                </w:tcPr>
                <w:p w14:paraId="5B8BAC0F">
                  <w:pPr>
                    <w:pStyle w:val="6"/>
                    <w:spacing w:line="320" w:lineRule="exact"/>
                    <w:ind w:firstLine="0"/>
                    <w:jc w:val="center"/>
                    <w:rPr>
                      <w:b/>
                      <w:bCs/>
                      <w:color w:val="auto"/>
                      <w:sz w:val="21"/>
                      <w:szCs w:val="21"/>
                    </w:rPr>
                  </w:pPr>
                  <w:r>
                    <w:rPr>
                      <w:b/>
                      <w:bCs/>
                      <w:color w:val="auto"/>
                      <w:sz w:val="21"/>
                      <w:szCs w:val="21"/>
                    </w:rPr>
                    <w:t>环境管控单元编码</w:t>
                  </w:r>
                </w:p>
              </w:tc>
              <w:tc>
                <w:tcPr>
                  <w:tcW w:w="1189" w:type="pct"/>
                  <w:vMerge w:val="restart"/>
                  <w:vAlign w:val="center"/>
                </w:tcPr>
                <w:p w14:paraId="532F0D3C">
                  <w:pPr>
                    <w:pStyle w:val="6"/>
                    <w:spacing w:line="320" w:lineRule="exact"/>
                    <w:ind w:firstLine="0"/>
                    <w:jc w:val="center"/>
                    <w:rPr>
                      <w:b/>
                      <w:bCs/>
                      <w:color w:val="auto"/>
                      <w:sz w:val="21"/>
                      <w:szCs w:val="21"/>
                    </w:rPr>
                  </w:pPr>
                  <w:r>
                    <w:rPr>
                      <w:b/>
                      <w:bCs/>
                      <w:color w:val="auto"/>
                      <w:sz w:val="21"/>
                      <w:szCs w:val="21"/>
                    </w:rPr>
                    <w:t>环境管控单元</w:t>
                  </w:r>
                </w:p>
                <w:p w14:paraId="16C89A05">
                  <w:pPr>
                    <w:pStyle w:val="6"/>
                    <w:spacing w:line="320" w:lineRule="exact"/>
                    <w:ind w:firstLine="0"/>
                    <w:jc w:val="center"/>
                    <w:rPr>
                      <w:b/>
                      <w:bCs/>
                      <w:color w:val="auto"/>
                      <w:sz w:val="21"/>
                      <w:szCs w:val="21"/>
                    </w:rPr>
                  </w:pPr>
                  <w:r>
                    <w:rPr>
                      <w:b/>
                      <w:bCs/>
                      <w:color w:val="auto"/>
                      <w:sz w:val="21"/>
                      <w:szCs w:val="21"/>
                    </w:rPr>
                    <w:t>名称</w:t>
                  </w:r>
                </w:p>
              </w:tc>
              <w:tc>
                <w:tcPr>
                  <w:tcW w:w="1696" w:type="pct"/>
                  <w:gridSpan w:val="3"/>
                  <w:vAlign w:val="center"/>
                </w:tcPr>
                <w:p w14:paraId="0D403636">
                  <w:pPr>
                    <w:pStyle w:val="6"/>
                    <w:spacing w:line="320" w:lineRule="exact"/>
                    <w:ind w:firstLine="0"/>
                    <w:jc w:val="center"/>
                    <w:rPr>
                      <w:b/>
                      <w:bCs/>
                      <w:color w:val="auto"/>
                      <w:sz w:val="21"/>
                      <w:szCs w:val="21"/>
                    </w:rPr>
                  </w:pPr>
                  <w:r>
                    <w:rPr>
                      <w:b/>
                      <w:bCs/>
                      <w:color w:val="auto"/>
                      <w:sz w:val="21"/>
                      <w:szCs w:val="21"/>
                    </w:rPr>
                    <w:t>行政区划</w:t>
                  </w:r>
                </w:p>
              </w:tc>
              <w:tc>
                <w:tcPr>
                  <w:tcW w:w="1025" w:type="pct"/>
                  <w:vMerge w:val="restart"/>
                  <w:vAlign w:val="center"/>
                </w:tcPr>
                <w:p w14:paraId="2B18DB95">
                  <w:pPr>
                    <w:pStyle w:val="6"/>
                    <w:spacing w:line="320" w:lineRule="exact"/>
                    <w:ind w:firstLine="0"/>
                    <w:jc w:val="center"/>
                    <w:rPr>
                      <w:color w:val="auto"/>
                      <w:sz w:val="21"/>
                      <w:szCs w:val="21"/>
                    </w:rPr>
                  </w:pPr>
                  <w:r>
                    <w:rPr>
                      <w:b/>
                      <w:bCs/>
                      <w:color w:val="auto"/>
                      <w:sz w:val="21"/>
                      <w:szCs w:val="21"/>
                    </w:rPr>
                    <w:t>管控单元分类</w:t>
                  </w:r>
                </w:p>
              </w:tc>
            </w:tr>
            <w:tr w14:paraId="69AB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088" w:type="pct"/>
                  <w:vMerge w:val="continue"/>
                  <w:vAlign w:val="center"/>
                </w:tcPr>
                <w:p w14:paraId="31E46C80">
                  <w:pPr>
                    <w:pStyle w:val="6"/>
                    <w:spacing w:line="320" w:lineRule="exact"/>
                    <w:ind w:firstLine="0"/>
                    <w:jc w:val="center"/>
                    <w:rPr>
                      <w:b/>
                      <w:bCs/>
                      <w:color w:val="auto"/>
                      <w:sz w:val="21"/>
                      <w:szCs w:val="21"/>
                    </w:rPr>
                  </w:pPr>
                </w:p>
              </w:tc>
              <w:tc>
                <w:tcPr>
                  <w:tcW w:w="1189" w:type="pct"/>
                  <w:vMerge w:val="continue"/>
                  <w:vAlign w:val="center"/>
                </w:tcPr>
                <w:p w14:paraId="367D40A6">
                  <w:pPr>
                    <w:pStyle w:val="6"/>
                    <w:spacing w:line="320" w:lineRule="exact"/>
                    <w:ind w:firstLine="0"/>
                    <w:jc w:val="center"/>
                    <w:rPr>
                      <w:b/>
                      <w:bCs/>
                      <w:color w:val="auto"/>
                      <w:sz w:val="21"/>
                      <w:szCs w:val="21"/>
                    </w:rPr>
                  </w:pPr>
                </w:p>
              </w:tc>
              <w:tc>
                <w:tcPr>
                  <w:tcW w:w="580" w:type="pct"/>
                  <w:vAlign w:val="center"/>
                </w:tcPr>
                <w:p w14:paraId="6421D53F">
                  <w:pPr>
                    <w:pStyle w:val="6"/>
                    <w:spacing w:line="320" w:lineRule="exact"/>
                    <w:ind w:firstLine="0"/>
                    <w:jc w:val="center"/>
                    <w:rPr>
                      <w:b/>
                      <w:bCs/>
                      <w:color w:val="auto"/>
                      <w:sz w:val="21"/>
                      <w:szCs w:val="21"/>
                    </w:rPr>
                  </w:pPr>
                  <w:r>
                    <w:rPr>
                      <w:b/>
                      <w:bCs/>
                      <w:color w:val="auto"/>
                      <w:sz w:val="21"/>
                      <w:szCs w:val="21"/>
                    </w:rPr>
                    <w:t>省</w:t>
                  </w:r>
                </w:p>
              </w:tc>
              <w:tc>
                <w:tcPr>
                  <w:tcW w:w="580" w:type="pct"/>
                  <w:vAlign w:val="center"/>
                </w:tcPr>
                <w:p w14:paraId="6F155026">
                  <w:pPr>
                    <w:pStyle w:val="6"/>
                    <w:spacing w:line="320" w:lineRule="exact"/>
                    <w:ind w:firstLine="0"/>
                    <w:jc w:val="center"/>
                    <w:rPr>
                      <w:b/>
                      <w:bCs/>
                      <w:color w:val="auto"/>
                      <w:sz w:val="21"/>
                      <w:szCs w:val="21"/>
                    </w:rPr>
                  </w:pPr>
                  <w:r>
                    <w:rPr>
                      <w:b/>
                      <w:bCs/>
                      <w:color w:val="auto"/>
                      <w:sz w:val="21"/>
                      <w:szCs w:val="21"/>
                    </w:rPr>
                    <w:t>市</w:t>
                  </w:r>
                </w:p>
              </w:tc>
              <w:tc>
                <w:tcPr>
                  <w:tcW w:w="534" w:type="pct"/>
                  <w:vAlign w:val="center"/>
                </w:tcPr>
                <w:p w14:paraId="7C873DF4">
                  <w:pPr>
                    <w:pStyle w:val="6"/>
                    <w:spacing w:line="320" w:lineRule="exact"/>
                    <w:ind w:firstLine="0"/>
                    <w:jc w:val="center"/>
                    <w:rPr>
                      <w:b/>
                      <w:bCs/>
                      <w:color w:val="auto"/>
                      <w:sz w:val="21"/>
                      <w:szCs w:val="21"/>
                    </w:rPr>
                  </w:pPr>
                  <w:r>
                    <w:rPr>
                      <w:b/>
                      <w:bCs/>
                      <w:color w:val="auto"/>
                      <w:sz w:val="21"/>
                      <w:szCs w:val="21"/>
                    </w:rPr>
                    <w:t>区</w:t>
                  </w:r>
                </w:p>
              </w:tc>
              <w:tc>
                <w:tcPr>
                  <w:tcW w:w="1025" w:type="pct"/>
                  <w:vMerge w:val="continue"/>
                  <w:vAlign w:val="center"/>
                </w:tcPr>
                <w:p w14:paraId="7E11F530">
                  <w:pPr>
                    <w:pStyle w:val="6"/>
                    <w:spacing w:line="320" w:lineRule="exact"/>
                    <w:ind w:firstLine="0"/>
                    <w:jc w:val="center"/>
                    <w:rPr>
                      <w:color w:val="auto"/>
                      <w:sz w:val="21"/>
                      <w:szCs w:val="21"/>
                    </w:rPr>
                  </w:pPr>
                </w:p>
              </w:tc>
            </w:tr>
            <w:tr w14:paraId="19E0E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88" w:type="pct"/>
                  <w:vAlign w:val="center"/>
                </w:tcPr>
                <w:p w14:paraId="7AAB6ACE">
                  <w:pPr>
                    <w:pStyle w:val="6"/>
                    <w:spacing w:line="320" w:lineRule="exact"/>
                    <w:ind w:firstLine="0"/>
                    <w:jc w:val="center"/>
                    <w:rPr>
                      <w:color w:val="auto"/>
                      <w:sz w:val="21"/>
                      <w:szCs w:val="21"/>
                    </w:rPr>
                  </w:pPr>
                  <w:r>
                    <w:rPr>
                      <w:rFonts w:hint="eastAsia"/>
                      <w:color w:val="auto"/>
                      <w:sz w:val="21"/>
                      <w:szCs w:val="21"/>
                    </w:rPr>
                    <w:t>ZH15062430001</w:t>
                  </w:r>
                </w:p>
              </w:tc>
              <w:tc>
                <w:tcPr>
                  <w:tcW w:w="1189" w:type="pct"/>
                  <w:vAlign w:val="center"/>
                </w:tcPr>
                <w:p w14:paraId="7B37EFCD">
                  <w:pPr>
                    <w:pStyle w:val="6"/>
                    <w:spacing w:line="320" w:lineRule="exact"/>
                    <w:ind w:firstLine="0"/>
                    <w:jc w:val="center"/>
                    <w:rPr>
                      <w:color w:val="auto"/>
                      <w:sz w:val="21"/>
                      <w:szCs w:val="21"/>
                    </w:rPr>
                  </w:pPr>
                  <w:r>
                    <w:rPr>
                      <w:color w:val="auto"/>
                      <w:sz w:val="21"/>
                      <w:szCs w:val="21"/>
                    </w:rPr>
                    <w:t>鄂托克旗一般管控区</w:t>
                  </w:r>
                </w:p>
              </w:tc>
              <w:tc>
                <w:tcPr>
                  <w:tcW w:w="580" w:type="pct"/>
                  <w:vAlign w:val="center"/>
                </w:tcPr>
                <w:p w14:paraId="35DF661B">
                  <w:pPr>
                    <w:pStyle w:val="6"/>
                    <w:spacing w:line="320" w:lineRule="exact"/>
                    <w:ind w:firstLine="0"/>
                    <w:jc w:val="center"/>
                    <w:rPr>
                      <w:color w:val="auto"/>
                      <w:sz w:val="21"/>
                      <w:szCs w:val="21"/>
                    </w:rPr>
                  </w:pPr>
                  <w:r>
                    <w:rPr>
                      <w:color w:val="auto"/>
                      <w:sz w:val="21"/>
                      <w:szCs w:val="21"/>
                    </w:rPr>
                    <w:t>内蒙古自治区</w:t>
                  </w:r>
                </w:p>
              </w:tc>
              <w:tc>
                <w:tcPr>
                  <w:tcW w:w="580" w:type="pct"/>
                  <w:vAlign w:val="center"/>
                </w:tcPr>
                <w:p w14:paraId="6585BDFD">
                  <w:pPr>
                    <w:pStyle w:val="6"/>
                    <w:spacing w:line="320" w:lineRule="exact"/>
                    <w:ind w:firstLine="0"/>
                    <w:jc w:val="center"/>
                    <w:rPr>
                      <w:color w:val="auto"/>
                      <w:sz w:val="21"/>
                      <w:szCs w:val="21"/>
                    </w:rPr>
                  </w:pPr>
                  <w:r>
                    <w:rPr>
                      <w:color w:val="auto"/>
                      <w:sz w:val="21"/>
                      <w:szCs w:val="21"/>
                    </w:rPr>
                    <w:t>鄂尔多斯市</w:t>
                  </w:r>
                </w:p>
              </w:tc>
              <w:tc>
                <w:tcPr>
                  <w:tcW w:w="534" w:type="pct"/>
                  <w:vAlign w:val="center"/>
                </w:tcPr>
                <w:p w14:paraId="7C5F1694">
                  <w:pPr>
                    <w:pStyle w:val="6"/>
                    <w:spacing w:line="320" w:lineRule="exact"/>
                    <w:ind w:firstLine="0"/>
                    <w:jc w:val="center"/>
                    <w:rPr>
                      <w:color w:val="auto"/>
                      <w:sz w:val="21"/>
                      <w:szCs w:val="21"/>
                    </w:rPr>
                  </w:pPr>
                  <w:r>
                    <w:rPr>
                      <w:color w:val="auto"/>
                      <w:sz w:val="21"/>
                      <w:szCs w:val="21"/>
                    </w:rPr>
                    <w:t>鄂托克旗</w:t>
                  </w:r>
                </w:p>
              </w:tc>
              <w:tc>
                <w:tcPr>
                  <w:tcW w:w="1025" w:type="pct"/>
                  <w:vAlign w:val="center"/>
                </w:tcPr>
                <w:p w14:paraId="073D952B">
                  <w:pPr>
                    <w:pStyle w:val="6"/>
                    <w:spacing w:line="320" w:lineRule="exact"/>
                    <w:ind w:firstLine="0"/>
                    <w:jc w:val="center"/>
                    <w:rPr>
                      <w:color w:val="auto"/>
                      <w:sz w:val="21"/>
                      <w:szCs w:val="21"/>
                    </w:rPr>
                  </w:pPr>
                  <w:r>
                    <w:rPr>
                      <w:rFonts w:hint="eastAsia"/>
                      <w:color w:val="auto"/>
                      <w:sz w:val="21"/>
                      <w:szCs w:val="21"/>
                    </w:rPr>
                    <w:t>一般</w:t>
                  </w:r>
                  <w:r>
                    <w:rPr>
                      <w:color w:val="auto"/>
                      <w:sz w:val="21"/>
                      <w:szCs w:val="21"/>
                    </w:rPr>
                    <w:t>管控单元</w:t>
                  </w:r>
                </w:p>
              </w:tc>
            </w:tr>
            <w:tr w14:paraId="2242B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088" w:type="pct"/>
                  <w:vAlign w:val="center"/>
                </w:tcPr>
                <w:p w14:paraId="277159B5">
                  <w:pPr>
                    <w:pStyle w:val="6"/>
                    <w:spacing w:line="320" w:lineRule="exact"/>
                    <w:ind w:firstLine="0"/>
                    <w:jc w:val="center"/>
                    <w:rPr>
                      <w:color w:val="auto"/>
                      <w:sz w:val="21"/>
                      <w:szCs w:val="21"/>
                    </w:rPr>
                  </w:pPr>
                  <w:r>
                    <w:rPr>
                      <w:color w:val="auto"/>
                      <w:sz w:val="21"/>
                      <w:szCs w:val="21"/>
                    </w:rPr>
                    <w:t>管控维度</w:t>
                  </w:r>
                </w:p>
              </w:tc>
              <w:tc>
                <w:tcPr>
                  <w:tcW w:w="2885" w:type="pct"/>
                  <w:gridSpan w:val="4"/>
                  <w:vAlign w:val="center"/>
                </w:tcPr>
                <w:p w14:paraId="39CF15F4">
                  <w:pPr>
                    <w:pStyle w:val="6"/>
                    <w:spacing w:line="320" w:lineRule="exact"/>
                    <w:ind w:firstLine="0"/>
                    <w:jc w:val="center"/>
                    <w:rPr>
                      <w:color w:val="auto"/>
                      <w:sz w:val="21"/>
                      <w:szCs w:val="21"/>
                    </w:rPr>
                  </w:pPr>
                  <w:r>
                    <w:rPr>
                      <w:color w:val="auto"/>
                      <w:sz w:val="21"/>
                      <w:szCs w:val="21"/>
                    </w:rPr>
                    <w:t>管控要求</w:t>
                  </w:r>
                </w:p>
              </w:tc>
              <w:tc>
                <w:tcPr>
                  <w:tcW w:w="1025" w:type="pct"/>
                  <w:vAlign w:val="center"/>
                </w:tcPr>
                <w:p w14:paraId="288C929E">
                  <w:pPr>
                    <w:pStyle w:val="6"/>
                    <w:spacing w:line="320" w:lineRule="exact"/>
                    <w:ind w:firstLine="0"/>
                    <w:jc w:val="center"/>
                    <w:rPr>
                      <w:color w:val="auto"/>
                      <w:sz w:val="21"/>
                      <w:szCs w:val="21"/>
                    </w:rPr>
                  </w:pPr>
                  <w:r>
                    <w:rPr>
                      <w:color w:val="auto"/>
                      <w:sz w:val="21"/>
                      <w:szCs w:val="21"/>
                    </w:rPr>
                    <w:t>符合性分析</w:t>
                  </w:r>
                </w:p>
              </w:tc>
            </w:tr>
            <w:tr w14:paraId="526C9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088" w:type="pct"/>
                  <w:vAlign w:val="center"/>
                </w:tcPr>
                <w:p w14:paraId="5A7ADA31">
                  <w:pPr>
                    <w:pStyle w:val="6"/>
                    <w:spacing w:line="320" w:lineRule="exact"/>
                    <w:ind w:firstLine="0"/>
                    <w:jc w:val="center"/>
                    <w:rPr>
                      <w:color w:val="auto"/>
                      <w:sz w:val="21"/>
                      <w:szCs w:val="21"/>
                    </w:rPr>
                  </w:pPr>
                  <w:r>
                    <w:rPr>
                      <w:color w:val="auto"/>
                      <w:sz w:val="21"/>
                      <w:szCs w:val="21"/>
                    </w:rPr>
                    <w:t>空间布局约束</w:t>
                  </w:r>
                </w:p>
              </w:tc>
              <w:tc>
                <w:tcPr>
                  <w:tcW w:w="2885" w:type="pct"/>
                  <w:gridSpan w:val="4"/>
                  <w:vAlign w:val="center"/>
                </w:tcPr>
                <w:p w14:paraId="4C39181B">
                  <w:pPr>
                    <w:spacing w:line="320" w:lineRule="exact"/>
                    <w:jc w:val="left"/>
                    <w:rPr>
                      <w:color w:val="auto"/>
                      <w:sz w:val="21"/>
                      <w:szCs w:val="21"/>
                    </w:rPr>
                  </w:pPr>
                  <w:r>
                    <w:rPr>
                      <w:rFonts w:hint="eastAsia"/>
                      <w:color w:val="auto"/>
                      <w:sz w:val="21"/>
                      <w:szCs w:val="21"/>
                    </w:rPr>
                    <w:t xml:space="preserve">1、永久基本农田一经划定，任何单位和个人不得擅自占用或改变用途。禁止任何单位和个人破坏永久基本农田耕作层。对永久基本农田实行严格保护，确保其面积不减少、土壤环境质量不下降，除法律规定的重点建设项目选址确实无法避让外，其他任何建设不得占用。 </w:t>
                  </w:r>
                </w:p>
                <w:p w14:paraId="0B67944B">
                  <w:pPr>
                    <w:spacing w:line="320" w:lineRule="exact"/>
                    <w:jc w:val="left"/>
                    <w:rPr>
                      <w:color w:val="auto"/>
                      <w:sz w:val="21"/>
                      <w:szCs w:val="21"/>
                    </w:rPr>
                  </w:pPr>
                  <w:r>
                    <w:rPr>
                      <w:rFonts w:hint="eastAsia"/>
                      <w:color w:val="auto"/>
                      <w:sz w:val="21"/>
                      <w:szCs w:val="21"/>
                    </w:rPr>
                    <w:t xml:space="preserve">2、在永久基本农田集中区域，不得新建可能造成土壤污染的建设项目；已经建成的，应当限期关闭拆除。 </w:t>
                  </w:r>
                </w:p>
                <w:p w14:paraId="643BF217">
                  <w:pPr>
                    <w:spacing w:line="320" w:lineRule="exact"/>
                    <w:jc w:val="left"/>
                    <w:rPr>
                      <w:color w:val="auto"/>
                      <w:sz w:val="21"/>
                      <w:szCs w:val="21"/>
                    </w:rPr>
                  </w:pPr>
                  <w:r>
                    <w:rPr>
                      <w:rFonts w:hint="eastAsia"/>
                      <w:color w:val="auto"/>
                      <w:sz w:val="21"/>
                      <w:szCs w:val="21"/>
                    </w:rPr>
                    <w:t>3、禁止将重金属或者其他有毒有害物质含量超标的工业固体废物、生活垃圾或者污染土壤用于土地复垦。</w:t>
                  </w:r>
                </w:p>
              </w:tc>
              <w:tc>
                <w:tcPr>
                  <w:tcW w:w="1025" w:type="pct"/>
                  <w:vAlign w:val="center"/>
                </w:tcPr>
                <w:p w14:paraId="07655AEA">
                  <w:pPr>
                    <w:pStyle w:val="6"/>
                    <w:spacing w:line="320" w:lineRule="exact"/>
                    <w:ind w:firstLine="0"/>
                    <w:jc w:val="center"/>
                    <w:rPr>
                      <w:color w:val="auto"/>
                      <w:sz w:val="21"/>
                      <w:szCs w:val="21"/>
                    </w:rPr>
                  </w:pPr>
                  <w:r>
                    <w:rPr>
                      <w:color w:val="auto"/>
                      <w:sz w:val="21"/>
                      <w:szCs w:val="21"/>
                    </w:rPr>
                    <w:t>本项目</w:t>
                  </w:r>
                  <w:r>
                    <w:rPr>
                      <w:rFonts w:hint="eastAsia"/>
                      <w:color w:val="auto"/>
                      <w:sz w:val="21"/>
                      <w:szCs w:val="21"/>
                    </w:rPr>
                    <w:t>位于蒙西产业园内，占地性质为工业用地，不占用永久基本农田</w:t>
                  </w:r>
                </w:p>
              </w:tc>
            </w:tr>
            <w:tr w14:paraId="05F9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0" w:hRule="atLeast"/>
                <w:jc w:val="center"/>
              </w:trPr>
              <w:tc>
                <w:tcPr>
                  <w:tcW w:w="1088" w:type="pct"/>
                  <w:vAlign w:val="center"/>
                </w:tcPr>
                <w:p w14:paraId="6C3A6BE8">
                  <w:pPr>
                    <w:pStyle w:val="6"/>
                    <w:spacing w:line="320" w:lineRule="exact"/>
                    <w:ind w:firstLine="0"/>
                    <w:jc w:val="center"/>
                    <w:rPr>
                      <w:color w:val="auto"/>
                      <w:sz w:val="21"/>
                      <w:szCs w:val="21"/>
                    </w:rPr>
                  </w:pPr>
                  <w:r>
                    <w:rPr>
                      <w:color w:val="auto"/>
                      <w:sz w:val="21"/>
                      <w:szCs w:val="21"/>
                    </w:rPr>
                    <w:t>资源利用效率</w:t>
                  </w:r>
                </w:p>
              </w:tc>
              <w:tc>
                <w:tcPr>
                  <w:tcW w:w="2885" w:type="pct"/>
                  <w:gridSpan w:val="4"/>
                  <w:vAlign w:val="center"/>
                </w:tcPr>
                <w:p w14:paraId="74CAA6F5">
                  <w:pPr>
                    <w:spacing w:line="320" w:lineRule="exact"/>
                    <w:jc w:val="left"/>
                    <w:rPr>
                      <w:color w:val="auto"/>
                      <w:sz w:val="21"/>
                      <w:szCs w:val="21"/>
                    </w:rPr>
                  </w:pPr>
                  <w:r>
                    <w:rPr>
                      <w:rFonts w:hint="eastAsia"/>
                      <w:color w:val="auto"/>
                      <w:sz w:val="21"/>
                      <w:szCs w:val="21"/>
                    </w:rPr>
                    <w:t>提高农业用水水平，井灌区配套低压管道输水等措施，大力推广以浅埋滴灌为主、喷灌为辅的节水设备和技术，引进培育优良作物品种、合理调整作物种植结构等农业措施。</w:t>
                  </w:r>
                </w:p>
              </w:tc>
              <w:tc>
                <w:tcPr>
                  <w:tcW w:w="1025" w:type="pct"/>
                  <w:vAlign w:val="center"/>
                </w:tcPr>
                <w:p w14:paraId="3FAFBCBA">
                  <w:pPr>
                    <w:pStyle w:val="6"/>
                    <w:spacing w:line="320" w:lineRule="exact"/>
                    <w:ind w:firstLine="0"/>
                    <w:jc w:val="center"/>
                    <w:rPr>
                      <w:color w:val="auto"/>
                      <w:sz w:val="21"/>
                      <w:szCs w:val="21"/>
                    </w:rPr>
                  </w:pPr>
                  <w:r>
                    <w:rPr>
                      <w:rFonts w:hint="eastAsia"/>
                      <w:color w:val="auto"/>
                      <w:sz w:val="21"/>
                      <w:szCs w:val="21"/>
                    </w:rPr>
                    <w:t>不涉及</w:t>
                  </w:r>
                </w:p>
              </w:tc>
            </w:tr>
          </w:tbl>
          <w:p w14:paraId="313FAC0E">
            <w:pPr>
              <w:keepNext w:val="0"/>
              <w:keepLines w:val="0"/>
              <w:pageBreakBefore w:val="0"/>
              <w:widowControl w:val="0"/>
              <w:kinsoku/>
              <w:wordWrap/>
              <w:overflowPunct/>
              <w:topLinePunct w:val="0"/>
              <w:autoSpaceDE w:val="0"/>
              <w:autoSpaceDN w:val="0"/>
              <w:bidi w:val="0"/>
              <w:adjustRightInd w:val="0"/>
              <w:snapToGrid w:val="0"/>
              <w:spacing w:line="240" w:lineRule="auto"/>
              <w:ind w:firstLine="480" w:firstLineChars="200"/>
              <w:jc w:val="left"/>
              <w:textAlignment w:val="auto"/>
              <w:rPr>
                <w:rFonts w:hint="eastAsia"/>
                <w:color w:val="auto"/>
                <w:lang w:eastAsia="zh-CN"/>
              </w:rPr>
            </w:pPr>
          </w:p>
          <w:p w14:paraId="211E6C58">
            <w:pPr>
              <w:keepNext w:val="0"/>
              <w:keepLines w:val="0"/>
              <w:pageBreakBefore w:val="0"/>
              <w:widowControl w:val="0"/>
              <w:kinsoku/>
              <w:wordWrap/>
              <w:overflowPunct/>
              <w:topLinePunct w:val="0"/>
              <w:autoSpaceDE w:val="0"/>
              <w:autoSpaceDN w:val="0"/>
              <w:bidi w:val="0"/>
              <w:adjustRightInd w:val="0"/>
              <w:snapToGrid w:val="0"/>
              <w:spacing w:line="240" w:lineRule="auto"/>
              <w:ind w:firstLine="480" w:firstLineChars="200"/>
              <w:jc w:val="left"/>
              <w:textAlignment w:val="auto"/>
              <w:rPr>
                <w:rFonts w:hint="eastAsia" w:eastAsia="宋体"/>
                <w:color w:val="auto"/>
                <w:lang w:eastAsia="zh-CN"/>
              </w:rPr>
            </w:pPr>
          </w:p>
          <w:p w14:paraId="14D21F28">
            <w:pPr>
              <w:spacing w:line="500" w:lineRule="exact"/>
              <w:jc w:val="center"/>
              <w:rPr>
                <w:b/>
                <w:color w:val="0000FF"/>
              </w:rPr>
            </w:pPr>
            <w:r>
              <w:rPr>
                <w:b/>
                <w:color w:val="0000FF"/>
              </w:rPr>
              <w:t>表</w:t>
            </w:r>
            <w:r>
              <w:rPr>
                <w:rFonts w:hint="eastAsia"/>
                <w:b/>
                <w:color w:val="0000FF"/>
              </w:rPr>
              <w:t>1-</w:t>
            </w:r>
            <w:r>
              <w:rPr>
                <w:rFonts w:hint="eastAsia"/>
                <w:b/>
                <w:color w:val="0000FF"/>
                <w:lang w:val="en-US" w:eastAsia="zh-CN"/>
              </w:rPr>
              <w:t>5</w:t>
            </w:r>
            <w:r>
              <w:rPr>
                <w:rFonts w:hint="eastAsia"/>
                <w:b/>
                <w:color w:val="0000FF"/>
              </w:rPr>
              <w:t xml:space="preserve"> </w:t>
            </w:r>
            <w:r>
              <w:rPr>
                <w:b/>
                <w:color w:val="0000FF"/>
              </w:rPr>
              <w:t>项目与</w:t>
            </w:r>
            <w:r>
              <w:rPr>
                <w:rFonts w:hint="default" w:ascii="Times New Roman" w:hAnsi="Times New Roman" w:cs="Times New Roman"/>
                <w:b/>
                <w:bCs/>
                <w:color w:val="0000FF"/>
                <w:kern w:val="0"/>
                <w:sz w:val="24"/>
                <w:szCs w:val="24"/>
                <w:highlight w:val="none"/>
                <w:lang w:val="en-US" w:eastAsia="zh-CN"/>
              </w:rPr>
              <w:t>鄂托克经济开发区蒙西产业园</w:t>
            </w:r>
            <w:r>
              <w:rPr>
                <w:rFonts w:hint="eastAsia"/>
                <w:b/>
                <w:color w:val="0000FF"/>
              </w:rPr>
              <w:t>的管控要求</w:t>
            </w:r>
            <w:r>
              <w:rPr>
                <w:b/>
                <w:color w:val="0000FF"/>
              </w:rPr>
              <w:t>相符性分析</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4019"/>
              <w:gridCol w:w="1923"/>
              <w:gridCol w:w="818"/>
            </w:tblGrid>
            <w:tr w14:paraId="70A3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68" w:type="dxa"/>
                  <w:gridSpan w:val="2"/>
                  <w:noWrap w:val="0"/>
                  <w:vAlign w:val="center"/>
                </w:tcPr>
                <w:p w14:paraId="56EAC1B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管控要求</w:t>
                  </w:r>
                </w:p>
              </w:tc>
              <w:tc>
                <w:tcPr>
                  <w:tcW w:w="2002" w:type="dxa"/>
                  <w:noWrap w:val="0"/>
                  <w:vAlign w:val="center"/>
                </w:tcPr>
                <w:p w14:paraId="2E9B1B3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本项目情况</w:t>
                  </w:r>
                </w:p>
              </w:tc>
              <w:tc>
                <w:tcPr>
                  <w:tcW w:w="854" w:type="dxa"/>
                  <w:noWrap w:val="0"/>
                  <w:vAlign w:val="center"/>
                </w:tcPr>
                <w:p w14:paraId="2419261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相符性</w:t>
                  </w:r>
                </w:p>
              </w:tc>
            </w:tr>
            <w:tr w14:paraId="3B4A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noWrap w:val="0"/>
                  <w:vAlign w:val="center"/>
                </w:tcPr>
                <w:p w14:paraId="5D91F01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空间布局约束</w:t>
                  </w:r>
                </w:p>
              </w:tc>
              <w:tc>
                <w:tcPr>
                  <w:tcW w:w="4310" w:type="dxa"/>
                  <w:noWrap w:val="0"/>
                  <w:vAlign w:val="center"/>
                </w:tcPr>
                <w:p w14:paraId="05819D02">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1.禁止不符合园区产业定位及规划环评等要求的项目入园；国家明令淘汰的落后产能和不符合国家产业政策的项目，禁止向工业园区转移。</w:t>
                  </w:r>
                </w:p>
                <w:p w14:paraId="5C689BC8">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2.入园项目禁止不符合园区产业定位及清洁生产水平要求。</w:t>
                  </w:r>
                </w:p>
                <w:p w14:paraId="26E5FE6F">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3.严格控制焦化、钢铁、电解铝、水泥、电石、PVC、铁合金、平板玻璃等行业新增产能，确需必要建设的，须在区内实施产能置换。</w:t>
                  </w:r>
                </w:p>
                <w:p w14:paraId="00F1F41E">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4.园区发展大道以西禁止布设PVC产业，主要发展物流等服务产业。</w:t>
                  </w:r>
                </w:p>
                <w:p w14:paraId="4E9EE383">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5.建设园区隔离带、绿化防护带；</w:t>
                  </w:r>
                </w:p>
                <w:p w14:paraId="4FEDEF6B">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6.禁止建设违反《关于汞的水俣公约》相关规定的项目。</w:t>
                  </w:r>
                </w:p>
                <w:p w14:paraId="662A5584">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7.新建项目禁止使用汞或汞化合物生产氧碱（特指纯碱）。</w:t>
                  </w:r>
                </w:p>
                <w:p w14:paraId="04D1A876">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8.原则上不再新建重化工项目，确有必要建设的，有相应的下游产业与之配套的除外。</w:t>
                  </w:r>
                </w:p>
                <w:p w14:paraId="424F0149">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9.国堤内向外延伸1公里范围内禁止新建化工项目。</w:t>
                  </w:r>
                </w:p>
                <w:p w14:paraId="6BB448A2">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10.禁止在黄河干支流岸线管控范围内（黄河干流鄂尔多斯段和鄂尔多斯市行政区域内黄河支流）新建、扩建化工园区和化工项目。</w:t>
                  </w:r>
                </w:p>
              </w:tc>
              <w:tc>
                <w:tcPr>
                  <w:tcW w:w="2002" w:type="dxa"/>
                  <w:noWrap w:val="0"/>
                  <w:vAlign w:val="center"/>
                </w:tcPr>
                <w:p w14:paraId="7593C09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lang w:val="en-US" w:eastAsia="zh-CN"/>
                    </w:rPr>
                    <w:t>本项目为废钢综合利用项目，符合蒙西产业园产业定位，符合规划环评要求；项目属于鼓励类，符合《产业结构调整指导目录（2024年本）》；项目单位产品</w:t>
                  </w:r>
                  <w:r>
                    <w:rPr>
                      <w:rFonts w:hint="eastAsia" w:ascii="Times New Roman" w:hAnsi="Times New Roman" w:cs="Times New Roman"/>
                      <w:color w:val="0000FF"/>
                      <w:kern w:val="0"/>
                      <w:sz w:val="21"/>
                      <w:szCs w:val="21"/>
                      <w:highlight w:val="none"/>
                      <w:lang w:val="en-US" w:eastAsia="zh-CN"/>
                    </w:rPr>
                    <w:t>电耗、水耗</w:t>
                  </w:r>
                  <w:r>
                    <w:rPr>
                      <w:rFonts w:hint="default" w:ascii="Times New Roman" w:hAnsi="Times New Roman" w:cs="Times New Roman"/>
                      <w:color w:val="0000FF"/>
                      <w:kern w:val="0"/>
                      <w:sz w:val="21"/>
                      <w:szCs w:val="21"/>
                      <w:highlight w:val="none"/>
                      <w:lang w:val="en-US" w:eastAsia="zh-CN"/>
                    </w:rPr>
                    <w:t>为先进水平，在采取有效的环保措施后，清洁生产可达到国内同行业先进水平以上；项目不属于</w:t>
                  </w:r>
                  <w:r>
                    <w:rPr>
                      <w:rFonts w:hint="default" w:ascii="Times New Roman" w:hAnsi="Times New Roman" w:cs="Times New Roman"/>
                      <w:color w:val="0000FF"/>
                      <w:kern w:val="0"/>
                      <w:sz w:val="21"/>
                      <w:szCs w:val="21"/>
                      <w:highlight w:val="none"/>
                      <w:vertAlign w:val="baseline"/>
                      <w:lang w:val="en-US" w:eastAsia="zh-CN"/>
                    </w:rPr>
                    <w:t>焦化、钢铁、电解铝、水泥、电石、PVC、铁合金、平板玻璃行业；项目不属于化工项目</w:t>
                  </w:r>
                  <w:r>
                    <w:rPr>
                      <w:rFonts w:hint="eastAsia" w:cs="Times New Roman"/>
                      <w:color w:val="0000FF"/>
                      <w:kern w:val="0"/>
                      <w:sz w:val="21"/>
                      <w:szCs w:val="21"/>
                      <w:highlight w:val="none"/>
                      <w:vertAlign w:val="baseline"/>
                      <w:lang w:val="en-US" w:eastAsia="zh-CN"/>
                    </w:rPr>
                    <w:t>，</w:t>
                  </w:r>
                  <w:r>
                    <w:rPr>
                      <w:rFonts w:hint="default" w:ascii="Times New Roman" w:hAnsi="Times New Roman" w:cs="Times New Roman"/>
                      <w:color w:val="FF0000"/>
                      <w:kern w:val="0"/>
                      <w:sz w:val="21"/>
                      <w:szCs w:val="21"/>
                      <w:highlight w:val="none"/>
                      <w:vertAlign w:val="baseline"/>
                      <w:lang w:val="en-US" w:eastAsia="zh-CN"/>
                    </w:rPr>
                    <w:t>项目距离黄河最近</w:t>
                  </w:r>
                  <w:r>
                    <w:rPr>
                      <w:rFonts w:hint="eastAsia" w:cs="Times New Roman"/>
                      <w:color w:val="FF0000"/>
                      <w:kern w:val="0"/>
                      <w:sz w:val="21"/>
                      <w:szCs w:val="21"/>
                      <w:highlight w:val="none"/>
                      <w:vertAlign w:val="baseline"/>
                      <w:lang w:val="en-US" w:eastAsia="zh-CN"/>
                    </w:rPr>
                    <w:t>约2.4</w:t>
                  </w:r>
                  <w:r>
                    <w:rPr>
                      <w:rFonts w:hint="default" w:ascii="Times New Roman" w:hAnsi="Times New Roman" w:cs="Times New Roman"/>
                      <w:color w:val="FF0000"/>
                      <w:kern w:val="0"/>
                      <w:sz w:val="21"/>
                      <w:szCs w:val="21"/>
                      <w:highlight w:val="none"/>
                      <w:vertAlign w:val="baseline"/>
                      <w:lang w:val="en-US" w:eastAsia="zh-CN"/>
                    </w:rPr>
                    <w:t>km</w:t>
                  </w:r>
                  <w:r>
                    <w:rPr>
                      <w:rFonts w:hint="eastAsia" w:cs="Times New Roman"/>
                      <w:color w:val="FF0000"/>
                      <w:kern w:val="0"/>
                      <w:sz w:val="21"/>
                      <w:szCs w:val="21"/>
                      <w:highlight w:val="none"/>
                      <w:vertAlign w:val="baseline"/>
                      <w:lang w:val="en-US" w:eastAsia="zh-CN"/>
                    </w:rPr>
                    <w:t>，不</w:t>
                  </w:r>
                  <w:r>
                    <w:rPr>
                      <w:rFonts w:hint="default" w:ascii="Times New Roman" w:hAnsi="Times New Roman" w:cs="Times New Roman"/>
                      <w:color w:val="FF0000"/>
                      <w:kern w:val="0"/>
                      <w:sz w:val="21"/>
                      <w:szCs w:val="21"/>
                      <w:highlight w:val="none"/>
                      <w:vertAlign w:val="baseline"/>
                      <w:lang w:val="en-US" w:eastAsia="zh-CN"/>
                    </w:rPr>
                    <w:t>在黄河干支流岸线管控范围内</w:t>
                  </w:r>
                  <w:r>
                    <w:rPr>
                      <w:rFonts w:hint="eastAsia" w:cs="Times New Roman"/>
                      <w:color w:val="FF0000"/>
                      <w:kern w:val="0"/>
                      <w:sz w:val="21"/>
                      <w:szCs w:val="21"/>
                      <w:highlight w:val="none"/>
                      <w:vertAlign w:val="baseline"/>
                      <w:lang w:val="en-US" w:eastAsia="zh-CN"/>
                    </w:rPr>
                    <w:t>。</w:t>
                  </w:r>
                </w:p>
              </w:tc>
              <w:tc>
                <w:tcPr>
                  <w:tcW w:w="854" w:type="dxa"/>
                  <w:noWrap w:val="0"/>
                  <w:vAlign w:val="center"/>
                </w:tcPr>
                <w:p w14:paraId="6979A09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符合</w:t>
                  </w:r>
                </w:p>
              </w:tc>
            </w:tr>
            <w:tr w14:paraId="088D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noWrap w:val="0"/>
                  <w:vAlign w:val="center"/>
                </w:tcPr>
                <w:p w14:paraId="1108877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污染排放管控</w:t>
                  </w:r>
                </w:p>
              </w:tc>
              <w:tc>
                <w:tcPr>
                  <w:tcW w:w="4310" w:type="dxa"/>
                  <w:noWrap w:val="0"/>
                  <w:vAlign w:val="center"/>
                </w:tcPr>
                <w:p w14:paraId="68AAE3D4">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1.工业园区污水应收尽收、全部回用；矿井水、中水回用率达到90%以上。实施石油石化、化工等高耗水企业废水深度处理回用工程。</w:t>
                  </w:r>
                </w:p>
                <w:p w14:paraId="59402F9D">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2.强化大气污染物减量控制，加强矿区、园区和棋盘井蒙西等重点地区生态环境综合治理，全面实现焦化行业、煤化工动力锅炉超低排放，完成煤化工挥发性有机物深度治理和石灰、电石行业提标升级改造。</w:t>
                  </w:r>
                </w:p>
                <w:p w14:paraId="5688FD8D">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3.深化燃煤锅炉综合治理深化区域散煤燃烧治理，推进棋盘井镇和蒙西镇清洁取暖改造项目。</w:t>
                  </w:r>
                </w:p>
              </w:tc>
              <w:tc>
                <w:tcPr>
                  <w:tcW w:w="2002" w:type="dxa"/>
                  <w:noWrap w:val="0"/>
                  <w:vAlign w:val="center"/>
                </w:tcPr>
                <w:p w14:paraId="0DC7F76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项目生产废水全部回用，不外排；本项目不属于采矿、石油石化、化工、焦化、煤化工等行业；不涉及燃煤锅炉；项目采取有效的大气污染物治理措施，满足大气污染物排放要求</w:t>
                  </w:r>
                  <w:r>
                    <w:rPr>
                      <w:rFonts w:hint="eastAsia" w:ascii="Times New Roman" w:hAnsi="Times New Roman" w:cs="Times New Roman"/>
                      <w:color w:val="0000FF"/>
                      <w:kern w:val="0"/>
                      <w:sz w:val="21"/>
                      <w:szCs w:val="21"/>
                      <w:highlight w:val="none"/>
                      <w:vertAlign w:val="baseline"/>
                      <w:lang w:val="en-US" w:eastAsia="zh-CN"/>
                    </w:rPr>
                    <w:t>。</w:t>
                  </w:r>
                </w:p>
              </w:tc>
              <w:tc>
                <w:tcPr>
                  <w:tcW w:w="854" w:type="dxa"/>
                  <w:noWrap w:val="0"/>
                  <w:vAlign w:val="center"/>
                </w:tcPr>
                <w:p w14:paraId="4A659A4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color w:val="0000FF"/>
                      <w:kern w:val="0"/>
                      <w:sz w:val="21"/>
                      <w:szCs w:val="21"/>
                      <w:highlight w:val="none"/>
                      <w:vertAlign w:val="baseline"/>
                      <w:lang w:val="en-US" w:eastAsia="zh-CN"/>
                    </w:rPr>
                  </w:pPr>
                  <w:r>
                    <w:rPr>
                      <w:rFonts w:hint="default" w:ascii="Times New Roman" w:hAnsi="Times New Roman" w:cs="Times New Roman"/>
                      <w:color w:val="0000FF"/>
                      <w:kern w:val="0"/>
                      <w:sz w:val="21"/>
                      <w:szCs w:val="21"/>
                      <w:highlight w:val="none"/>
                      <w:vertAlign w:val="baseline"/>
                      <w:lang w:val="en-US" w:eastAsia="zh-CN"/>
                    </w:rPr>
                    <w:t>符合</w:t>
                  </w:r>
                </w:p>
              </w:tc>
            </w:tr>
          </w:tbl>
          <w:p w14:paraId="72122372">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jc w:val="left"/>
              <w:textAlignment w:val="auto"/>
              <w:rPr>
                <w:color w:val="auto"/>
              </w:rPr>
            </w:pPr>
            <w:r>
              <w:rPr>
                <w:rFonts w:hint="eastAsia"/>
                <w:color w:val="auto"/>
              </w:rPr>
              <w:t>根据上表分析可知，项目建设符合鄂托克旗一般管控区</w:t>
            </w:r>
            <w:r>
              <w:rPr>
                <w:rFonts w:hint="eastAsia"/>
                <w:color w:val="auto"/>
                <w:lang w:val="en-US" w:eastAsia="zh-CN"/>
              </w:rPr>
              <w:t>和鄂托克经济开发区蒙西产业园</w:t>
            </w:r>
            <w:r>
              <w:rPr>
                <w:rFonts w:hint="eastAsia"/>
                <w:color w:val="auto"/>
              </w:rPr>
              <w:t>的管控要求。</w:t>
            </w:r>
          </w:p>
          <w:p w14:paraId="359058CC">
            <w:pPr>
              <w:keepNext w:val="0"/>
              <w:keepLines w:val="0"/>
              <w:pageBreakBefore w:val="0"/>
              <w:widowControl w:val="0"/>
              <w:numPr>
                <w:ilvl w:val="255"/>
                <w:numId w:val="0"/>
              </w:numPr>
              <w:kinsoku/>
              <w:wordWrap/>
              <w:overflowPunct/>
              <w:topLinePunct w:val="0"/>
              <w:autoSpaceDE w:val="0"/>
              <w:autoSpaceDN w:val="0"/>
              <w:bidi w:val="0"/>
              <w:adjustRightInd w:val="0"/>
              <w:snapToGrid w:val="0"/>
              <w:spacing w:line="500" w:lineRule="exact"/>
              <w:ind w:firstLine="480" w:firstLineChars="200"/>
              <w:jc w:val="left"/>
              <w:textAlignment w:val="auto"/>
              <w:rPr>
                <w:color w:val="auto"/>
                <w:kern w:val="0"/>
              </w:rPr>
            </w:pPr>
            <w:r>
              <w:rPr>
                <w:rFonts w:hint="eastAsia"/>
                <w:color w:val="auto"/>
                <w:kern w:val="0"/>
              </w:rPr>
              <w:t>综上所述，本项目不触及生态保护红线、不会突破环境质量底线、不会突破资源利用上线，满足环境准入清单管控要求，项目符合鄂尔多斯市的“三线一单”管控要求。</w:t>
            </w:r>
          </w:p>
          <w:p w14:paraId="2147B37A">
            <w:pPr>
              <w:pStyle w:val="98"/>
              <w:widowControl/>
              <w:spacing w:line="480" w:lineRule="exact"/>
              <w:ind w:firstLine="482"/>
              <w:rPr>
                <w:b/>
                <w:bCs/>
                <w:color w:val="auto"/>
              </w:rPr>
            </w:pPr>
            <w:r>
              <w:rPr>
                <w:rFonts w:hint="eastAsia"/>
                <w:b/>
                <w:bCs/>
                <w:color w:val="auto"/>
              </w:rPr>
              <w:t>3、与《废钢加工行业准入条件》相符性分析</w:t>
            </w:r>
          </w:p>
          <w:p w14:paraId="78BDDE43">
            <w:pPr>
              <w:autoSpaceDE w:val="0"/>
              <w:autoSpaceDN w:val="0"/>
              <w:adjustRightInd w:val="0"/>
              <w:snapToGrid w:val="0"/>
              <w:spacing w:line="500" w:lineRule="exact"/>
              <w:ind w:firstLine="464" w:firstLineChars="200"/>
              <w:jc w:val="left"/>
              <w:rPr>
                <w:color w:val="auto"/>
                <w:spacing w:val="-4"/>
              </w:rPr>
            </w:pPr>
            <w:r>
              <w:rPr>
                <w:rFonts w:hint="eastAsia"/>
                <w:color w:val="auto"/>
                <w:spacing w:val="-4"/>
              </w:rPr>
              <w:t>根据《废钢加工行业准入条件》（工业和信息化部公告2016年74号）对钢铁加工企业提出了行业准入条件要求，项目与准入条件的符合性分析见下表。</w:t>
            </w:r>
          </w:p>
          <w:p w14:paraId="53EA8AB2">
            <w:pPr>
              <w:pStyle w:val="7"/>
              <w:wordWrap w:val="0"/>
              <w:spacing w:line="500" w:lineRule="exact"/>
              <w:jc w:val="center"/>
              <w:rPr>
                <w:rFonts w:ascii="Times New Roman" w:hAnsi="Times New Roman" w:eastAsia="宋体" w:cs="Times New Roman"/>
                <w:b/>
                <w:bCs/>
                <w:color w:val="auto"/>
                <w:sz w:val="24"/>
              </w:rPr>
            </w:pPr>
            <w:r>
              <w:rPr>
                <w:rFonts w:hint="eastAsia" w:ascii="Times New Roman" w:hAnsi="Times New Roman" w:eastAsia="宋体" w:cs="Times New Roman"/>
                <w:b/>
                <w:bCs/>
                <w:color w:val="auto"/>
                <w:sz w:val="24"/>
              </w:rPr>
              <w:t>表1-5 项目与废钢加工行业准入条件符合性对照一览表</w:t>
            </w:r>
          </w:p>
          <w:tbl>
            <w:tblPr>
              <w:tblStyle w:val="25"/>
              <w:tblW w:w="75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78"/>
              <w:gridCol w:w="3568"/>
              <w:gridCol w:w="2891"/>
              <w:gridCol w:w="626"/>
            </w:tblGrid>
            <w:tr w14:paraId="3D910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20AA2B31">
                  <w:pPr>
                    <w:pStyle w:val="99"/>
                    <w:spacing w:line="300" w:lineRule="exact"/>
                    <w:rPr>
                      <w:color w:val="auto"/>
                    </w:rPr>
                  </w:pPr>
                  <w:r>
                    <w:rPr>
                      <w:rFonts w:hint="eastAsia"/>
                      <w:color w:val="auto"/>
                    </w:rPr>
                    <w:t>序号</w:t>
                  </w:r>
                </w:p>
              </w:tc>
              <w:tc>
                <w:tcPr>
                  <w:tcW w:w="2358" w:type="pct"/>
                  <w:tcBorders>
                    <w:tl2br w:val="nil"/>
                    <w:tr2bl w:val="nil"/>
                  </w:tcBorders>
                  <w:shd w:val="clear" w:color="auto" w:fill="FFFFFF"/>
                  <w:vAlign w:val="center"/>
                </w:tcPr>
                <w:p w14:paraId="600165BB">
                  <w:pPr>
                    <w:pStyle w:val="99"/>
                    <w:spacing w:line="300" w:lineRule="exact"/>
                    <w:rPr>
                      <w:color w:val="auto"/>
                    </w:rPr>
                  </w:pPr>
                  <w:r>
                    <w:rPr>
                      <w:rFonts w:hint="eastAsia"/>
                      <w:color w:val="auto"/>
                    </w:rPr>
                    <w:t>行业要求</w:t>
                  </w:r>
                </w:p>
              </w:tc>
              <w:tc>
                <w:tcPr>
                  <w:tcW w:w="1911" w:type="pct"/>
                  <w:tcBorders>
                    <w:tl2br w:val="nil"/>
                    <w:tr2bl w:val="nil"/>
                  </w:tcBorders>
                  <w:shd w:val="clear" w:color="auto" w:fill="FFFFFF"/>
                  <w:vAlign w:val="center"/>
                </w:tcPr>
                <w:p w14:paraId="7FEE0DAF">
                  <w:pPr>
                    <w:pStyle w:val="99"/>
                    <w:spacing w:line="300" w:lineRule="exact"/>
                    <w:rPr>
                      <w:color w:val="auto"/>
                    </w:rPr>
                  </w:pPr>
                  <w:r>
                    <w:rPr>
                      <w:rFonts w:hint="eastAsia"/>
                      <w:color w:val="auto"/>
                    </w:rPr>
                    <w:t>项目情况</w:t>
                  </w:r>
                </w:p>
              </w:tc>
              <w:tc>
                <w:tcPr>
                  <w:tcW w:w="413" w:type="pct"/>
                  <w:tcBorders>
                    <w:tl2br w:val="nil"/>
                    <w:tr2bl w:val="nil"/>
                  </w:tcBorders>
                  <w:shd w:val="clear" w:color="auto" w:fill="FFFFFF"/>
                  <w:vAlign w:val="center"/>
                </w:tcPr>
                <w:p w14:paraId="6596BFF3">
                  <w:pPr>
                    <w:pStyle w:val="99"/>
                    <w:spacing w:line="300" w:lineRule="exact"/>
                    <w:rPr>
                      <w:color w:val="auto"/>
                    </w:rPr>
                  </w:pPr>
                  <w:r>
                    <w:rPr>
                      <w:rFonts w:hint="eastAsia"/>
                      <w:color w:val="auto"/>
                    </w:rPr>
                    <w:t>符合性</w:t>
                  </w:r>
                </w:p>
              </w:tc>
            </w:tr>
            <w:tr w14:paraId="738E8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06AAD2B5">
                  <w:pPr>
                    <w:pStyle w:val="99"/>
                    <w:spacing w:line="300" w:lineRule="exact"/>
                    <w:rPr>
                      <w:color w:val="auto"/>
                    </w:rPr>
                  </w:pPr>
                  <w:r>
                    <w:rPr>
                      <w:rFonts w:hint="eastAsia"/>
                      <w:color w:val="auto"/>
                    </w:rPr>
                    <w:t>一</w:t>
                  </w:r>
                </w:p>
              </w:tc>
              <w:tc>
                <w:tcPr>
                  <w:tcW w:w="4683" w:type="pct"/>
                  <w:gridSpan w:val="3"/>
                  <w:tcBorders>
                    <w:tl2br w:val="nil"/>
                    <w:tr2bl w:val="nil"/>
                  </w:tcBorders>
                  <w:shd w:val="clear" w:color="auto" w:fill="FFFFFF"/>
                  <w:vAlign w:val="center"/>
                </w:tcPr>
                <w:p w14:paraId="398A5B17">
                  <w:pPr>
                    <w:pStyle w:val="99"/>
                    <w:spacing w:line="300" w:lineRule="exact"/>
                    <w:rPr>
                      <w:color w:val="auto"/>
                    </w:rPr>
                  </w:pPr>
                  <w:r>
                    <w:rPr>
                      <w:rFonts w:hint="eastAsia"/>
                      <w:color w:val="auto"/>
                    </w:rPr>
                    <w:t>企业的设立和布局</w:t>
                  </w:r>
                </w:p>
              </w:tc>
            </w:tr>
            <w:tr w14:paraId="54195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044B20D0">
                  <w:pPr>
                    <w:pStyle w:val="99"/>
                    <w:spacing w:line="300" w:lineRule="exact"/>
                    <w:rPr>
                      <w:color w:val="auto"/>
                    </w:rPr>
                  </w:pPr>
                  <w:r>
                    <w:rPr>
                      <w:color w:val="auto"/>
                    </w:rPr>
                    <w:t>1</w:t>
                  </w:r>
                </w:p>
              </w:tc>
              <w:tc>
                <w:tcPr>
                  <w:tcW w:w="2358" w:type="pct"/>
                  <w:tcBorders>
                    <w:tl2br w:val="nil"/>
                    <w:tr2bl w:val="nil"/>
                  </w:tcBorders>
                  <w:shd w:val="clear" w:color="auto" w:fill="FFFFFF"/>
                  <w:vAlign w:val="center"/>
                </w:tcPr>
                <w:p w14:paraId="7F66791A">
                  <w:pPr>
                    <w:pStyle w:val="99"/>
                    <w:spacing w:line="300" w:lineRule="exact"/>
                    <w:rPr>
                      <w:color w:val="auto"/>
                    </w:rPr>
                  </w:pPr>
                  <w:r>
                    <w:rPr>
                      <w:rFonts w:hint="eastAsia"/>
                      <w:color w:val="auto"/>
                    </w:rPr>
                    <w:t>废钢铁加工配送企业应符合有关法律法规规定，符合国家产业政策，土地供应政策及本地区土地利用总体规划、城乡建设规划和主体功能区规划的要求，企业建设应有规范化设计要求。</w:t>
                  </w:r>
                </w:p>
              </w:tc>
              <w:tc>
                <w:tcPr>
                  <w:tcW w:w="1911" w:type="pct"/>
                  <w:tcBorders>
                    <w:tl2br w:val="nil"/>
                    <w:tr2bl w:val="nil"/>
                  </w:tcBorders>
                  <w:shd w:val="clear" w:color="auto" w:fill="FFFFFF"/>
                  <w:vAlign w:val="center"/>
                </w:tcPr>
                <w:p w14:paraId="5A54E637">
                  <w:pPr>
                    <w:pStyle w:val="99"/>
                    <w:spacing w:line="300" w:lineRule="exact"/>
                    <w:rPr>
                      <w:color w:val="auto"/>
                    </w:rPr>
                  </w:pPr>
                  <w:r>
                    <w:rPr>
                      <w:rFonts w:hint="eastAsia"/>
                      <w:color w:val="auto"/>
                    </w:rPr>
                    <w:t>项目符合国家产业政策、土地供应政策及</w:t>
                  </w:r>
                  <w:r>
                    <w:rPr>
                      <w:color w:val="0000FF"/>
                      <w:kern w:val="0"/>
                    </w:rPr>
                    <w:t>鄂托克经济开发区国土空间总体规划（2021-2035）</w:t>
                  </w:r>
                  <w:r>
                    <w:rPr>
                      <w:color w:val="auto"/>
                    </w:rPr>
                    <w:commentReference w:id="4"/>
                  </w:r>
                  <w:r>
                    <w:rPr>
                      <w:rFonts w:hint="eastAsia"/>
                      <w:color w:val="auto"/>
                    </w:rPr>
                    <w:t>、城乡建设规划和主体功能区规划的要求，符合应有规范化设计要求。</w:t>
                  </w:r>
                </w:p>
              </w:tc>
              <w:tc>
                <w:tcPr>
                  <w:tcW w:w="413" w:type="pct"/>
                  <w:tcBorders>
                    <w:tl2br w:val="nil"/>
                    <w:tr2bl w:val="nil"/>
                  </w:tcBorders>
                  <w:shd w:val="clear" w:color="auto" w:fill="FFFFFF"/>
                  <w:vAlign w:val="center"/>
                </w:tcPr>
                <w:p w14:paraId="4922DD60">
                  <w:pPr>
                    <w:pStyle w:val="99"/>
                    <w:spacing w:line="300" w:lineRule="exact"/>
                    <w:rPr>
                      <w:color w:val="auto"/>
                    </w:rPr>
                  </w:pPr>
                  <w:r>
                    <w:rPr>
                      <w:rFonts w:hint="eastAsia"/>
                      <w:color w:val="auto"/>
                    </w:rPr>
                    <w:t>相符</w:t>
                  </w:r>
                </w:p>
              </w:tc>
            </w:tr>
            <w:tr w14:paraId="65C26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2E97FE37">
                  <w:pPr>
                    <w:pStyle w:val="99"/>
                    <w:spacing w:line="300" w:lineRule="exact"/>
                    <w:rPr>
                      <w:color w:val="auto"/>
                    </w:rPr>
                  </w:pPr>
                  <w:r>
                    <w:rPr>
                      <w:color w:val="auto"/>
                    </w:rPr>
                    <w:t>2</w:t>
                  </w:r>
                </w:p>
              </w:tc>
              <w:tc>
                <w:tcPr>
                  <w:tcW w:w="2358" w:type="pct"/>
                  <w:tcBorders>
                    <w:tl2br w:val="nil"/>
                    <w:tr2bl w:val="nil"/>
                  </w:tcBorders>
                  <w:shd w:val="clear" w:color="auto" w:fill="FFFFFF"/>
                  <w:vAlign w:val="center"/>
                </w:tcPr>
                <w:p w14:paraId="0F3F15A9">
                  <w:pPr>
                    <w:pStyle w:val="99"/>
                    <w:spacing w:line="300" w:lineRule="exact"/>
                    <w:rPr>
                      <w:color w:val="auto"/>
                    </w:rPr>
                  </w:pPr>
                  <w:r>
                    <w:rPr>
                      <w:rFonts w:hint="eastAsia"/>
                      <w:color w:val="auto"/>
                    </w:rPr>
                    <w:t>建设废钢铁加工配送项目时，应根据环境影响评价结论，确定厂址及其与周围人群和敏感区域的距离。新建废钢铁加工配送项目原则上应布局在符合相应功能定位的产业园区。在国家法律、法规、规章和规划确定或县级及以上人民政府规定的自然保护区、风景名胜区、饮用水源保护区，基本农田保护区和其他需要特别保护的区域内，不得新建废钢铁加工配送企业。已在上述区域投产运营的废钢铁加工配送企业要根据该区域规划要求，在一定期限内，通过依法搬迁，转产等方式逐步退出。</w:t>
                  </w:r>
                </w:p>
              </w:tc>
              <w:tc>
                <w:tcPr>
                  <w:tcW w:w="1911" w:type="pct"/>
                  <w:tcBorders>
                    <w:tl2br w:val="nil"/>
                    <w:tr2bl w:val="nil"/>
                  </w:tcBorders>
                  <w:shd w:val="clear" w:color="auto" w:fill="FFFFFF"/>
                  <w:vAlign w:val="center"/>
                </w:tcPr>
                <w:p w14:paraId="01B7BF2A">
                  <w:pPr>
                    <w:pStyle w:val="99"/>
                    <w:spacing w:line="300" w:lineRule="exact"/>
                    <w:rPr>
                      <w:color w:val="auto"/>
                    </w:rPr>
                  </w:pPr>
                  <w:r>
                    <w:rPr>
                      <w:rFonts w:hint="eastAsia"/>
                      <w:color w:val="auto"/>
                    </w:rPr>
                    <w:t>本项目位于</w:t>
                  </w:r>
                  <w:r>
                    <w:rPr>
                      <w:rFonts w:hint="eastAsia"/>
                      <w:color w:val="auto"/>
                      <w:szCs w:val="21"/>
                    </w:rPr>
                    <w:t>蒙西产业园内</w:t>
                  </w:r>
                  <w:r>
                    <w:rPr>
                      <w:rFonts w:hint="eastAsia"/>
                      <w:color w:val="auto"/>
                    </w:rPr>
                    <w:t>，不在自然保护区、风景名胜区、饮用水源保护区，基本农田保护区和其他需要特别保护的区域内，项目建设符合国土空间用途管制要求。</w:t>
                  </w:r>
                </w:p>
              </w:tc>
              <w:tc>
                <w:tcPr>
                  <w:tcW w:w="413" w:type="pct"/>
                  <w:tcBorders>
                    <w:tl2br w:val="nil"/>
                    <w:tr2bl w:val="nil"/>
                  </w:tcBorders>
                  <w:shd w:val="clear" w:color="auto" w:fill="FFFFFF"/>
                  <w:vAlign w:val="center"/>
                </w:tcPr>
                <w:p w14:paraId="0751DB76">
                  <w:pPr>
                    <w:pStyle w:val="99"/>
                    <w:spacing w:line="300" w:lineRule="exact"/>
                    <w:rPr>
                      <w:color w:val="auto"/>
                    </w:rPr>
                  </w:pPr>
                  <w:r>
                    <w:rPr>
                      <w:rFonts w:hint="eastAsia"/>
                      <w:color w:val="auto"/>
                    </w:rPr>
                    <w:t>符合</w:t>
                  </w:r>
                </w:p>
              </w:tc>
            </w:tr>
            <w:tr w14:paraId="3D90D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3A6F9977">
                  <w:pPr>
                    <w:pStyle w:val="99"/>
                    <w:spacing w:line="300" w:lineRule="exact"/>
                    <w:rPr>
                      <w:color w:val="auto"/>
                    </w:rPr>
                  </w:pPr>
                  <w:r>
                    <w:rPr>
                      <w:color w:val="auto"/>
                    </w:rPr>
                    <w:t>3</w:t>
                  </w:r>
                </w:p>
              </w:tc>
              <w:tc>
                <w:tcPr>
                  <w:tcW w:w="2358" w:type="pct"/>
                  <w:tcBorders>
                    <w:tl2br w:val="nil"/>
                    <w:tr2bl w:val="nil"/>
                  </w:tcBorders>
                  <w:shd w:val="clear" w:color="auto" w:fill="FFFFFF"/>
                  <w:vAlign w:val="center"/>
                </w:tcPr>
                <w:p w14:paraId="2926B1A2">
                  <w:pPr>
                    <w:pStyle w:val="99"/>
                    <w:spacing w:line="300" w:lineRule="exact"/>
                    <w:rPr>
                      <w:color w:val="auto"/>
                    </w:rPr>
                  </w:pPr>
                  <w:r>
                    <w:rPr>
                      <w:rFonts w:hint="eastAsia"/>
                      <w:color w:val="auto"/>
                    </w:rPr>
                    <w:t>废钢铁加工配送企业应符合国家土地管理的相关政策和规定，应符合国家和本地区土地供应政策，以及禁止和限制用地项目目录、工业项目建设用地控制指标等相关土地使用标准的规定。</w:t>
                  </w:r>
                </w:p>
              </w:tc>
              <w:tc>
                <w:tcPr>
                  <w:tcW w:w="1911" w:type="pct"/>
                  <w:tcBorders>
                    <w:tl2br w:val="nil"/>
                    <w:tr2bl w:val="nil"/>
                  </w:tcBorders>
                  <w:shd w:val="clear" w:color="auto" w:fill="FFFFFF"/>
                  <w:vAlign w:val="center"/>
                </w:tcPr>
                <w:p w14:paraId="02DE86D5">
                  <w:pPr>
                    <w:pStyle w:val="99"/>
                    <w:spacing w:line="300" w:lineRule="exact"/>
                    <w:rPr>
                      <w:color w:val="auto"/>
                    </w:rPr>
                  </w:pPr>
                  <w:r>
                    <w:rPr>
                      <w:rFonts w:hint="eastAsia"/>
                      <w:color w:val="auto"/>
                    </w:rPr>
                    <w:t>项目符合土地管理的相关政策和规定。</w:t>
                  </w:r>
                </w:p>
              </w:tc>
              <w:tc>
                <w:tcPr>
                  <w:tcW w:w="413" w:type="pct"/>
                  <w:tcBorders>
                    <w:tl2br w:val="nil"/>
                    <w:tr2bl w:val="nil"/>
                  </w:tcBorders>
                  <w:shd w:val="clear" w:color="auto" w:fill="FFFFFF"/>
                  <w:vAlign w:val="center"/>
                </w:tcPr>
                <w:p w14:paraId="4680248C">
                  <w:pPr>
                    <w:pStyle w:val="99"/>
                    <w:spacing w:line="300" w:lineRule="exact"/>
                    <w:rPr>
                      <w:color w:val="auto"/>
                    </w:rPr>
                  </w:pPr>
                  <w:r>
                    <w:rPr>
                      <w:rFonts w:hint="eastAsia"/>
                      <w:color w:val="auto"/>
                    </w:rPr>
                    <w:t>符合</w:t>
                  </w:r>
                </w:p>
              </w:tc>
            </w:tr>
            <w:tr w14:paraId="61C23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60E14624">
                  <w:pPr>
                    <w:pStyle w:val="99"/>
                    <w:spacing w:line="300" w:lineRule="exact"/>
                    <w:rPr>
                      <w:color w:val="auto"/>
                    </w:rPr>
                  </w:pPr>
                  <w:r>
                    <w:rPr>
                      <w:rFonts w:hint="eastAsia"/>
                      <w:color w:val="auto"/>
                    </w:rPr>
                    <w:t>二</w:t>
                  </w:r>
                </w:p>
              </w:tc>
              <w:tc>
                <w:tcPr>
                  <w:tcW w:w="4683" w:type="pct"/>
                  <w:gridSpan w:val="3"/>
                  <w:tcBorders>
                    <w:tl2br w:val="nil"/>
                    <w:tr2bl w:val="nil"/>
                  </w:tcBorders>
                  <w:shd w:val="clear" w:color="auto" w:fill="FFFFFF"/>
                  <w:vAlign w:val="center"/>
                </w:tcPr>
                <w:p w14:paraId="797F18B0">
                  <w:pPr>
                    <w:pStyle w:val="99"/>
                    <w:spacing w:line="300" w:lineRule="exact"/>
                    <w:rPr>
                      <w:color w:val="auto"/>
                    </w:rPr>
                  </w:pPr>
                  <w:r>
                    <w:rPr>
                      <w:rFonts w:hint="eastAsia"/>
                      <w:color w:val="auto"/>
                    </w:rPr>
                    <w:t>规模、工艺和装备</w:t>
                  </w:r>
                </w:p>
              </w:tc>
            </w:tr>
            <w:tr w14:paraId="1C385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419D12DE">
                  <w:pPr>
                    <w:pStyle w:val="99"/>
                    <w:spacing w:line="300" w:lineRule="exact"/>
                    <w:rPr>
                      <w:color w:val="auto"/>
                    </w:rPr>
                  </w:pPr>
                  <w:r>
                    <w:rPr>
                      <w:color w:val="auto"/>
                    </w:rPr>
                    <w:t>1</w:t>
                  </w:r>
                </w:p>
              </w:tc>
              <w:tc>
                <w:tcPr>
                  <w:tcW w:w="2358" w:type="pct"/>
                  <w:tcBorders>
                    <w:tl2br w:val="nil"/>
                    <w:tr2bl w:val="nil"/>
                  </w:tcBorders>
                  <w:shd w:val="clear" w:color="auto" w:fill="FFFFFF"/>
                  <w:vAlign w:val="center"/>
                </w:tcPr>
                <w:p w14:paraId="7DFC26F9">
                  <w:pPr>
                    <w:pStyle w:val="99"/>
                    <w:spacing w:line="300" w:lineRule="exact"/>
                    <w:rPr>
                      <w:color w:val="auto"/>
                    </w:rPr>
                  </w:pPr>
                  <w:r>
                    <w:rPr>
                      <w:rFonts w:hint="eastAsia"/>
                      <w:color w:val="auto"/>
                    </w:rPr>
                    <w:t>新建普碳废钢铁加工配送企业年废钢铁加工能力必须在</w:t>
                  </w:r>
                  <w:r>
                    <w:rPr>
                      <w:color w:val="auto"/>
                    </w:rPr>
                    <w:t>15万吨以上；改造、扩建普碳废钢铁加工配送企业年废钢铁加工能力应达到10万吨以上；废旧不锈钢及其它废旧特种钢加工配送企业年加工能力应达到3万吨以上</w:t>
                  </w:r>
                  <w:r>
                    <w:rPr>
                      <w:rFonts w:hint="eastAsia"/>
                      <w:color w:val="auto"/>
                    </w:rPr>
                    <w:t>。</w:t>
                  </w:r>
                </w:p>
              </w:tc>
              <w:tc>
                <w:tcPr>
                  <w:tcW w:w="1911" w:type="pct"/>
                  <w:tcBorders>
                    <w:tl2br w:val="nil"/>
                    <w:tr2bl w:val="nil"/>
                  </w:tcBorders>
                  <w:shd w:val="clear" w:color="auto" w:fill="FFFFFF"/>
                  <w:vAlign w:val="center"/>
                </w:tcPr>
                <w:p w14:paraId="2D64529B">
                  <w:pPr>
                    <w:pStyle w:val="99"/>
                    <w:spacing w:line="300" w:lineRule="exact"/>
                    <w:rPr>
                      <w:color w:val="auto"/>
                    </w:rPr>
                  </w:pPr>
                  <w:r>
                    <w:rPr>
                      <w:color w:val="auto"/>
                    </w:rPr>
                    <w:t>项目建设规模为</w:t>
                  </w:r>
                  <w:r>
                    <w:rPr>
                      <w:rFonts w:hint="eastAsia"/>
                      <w:color w:val="auto"/>
                    </w:rPr>
                    <w:t>年产</w:t>
                  </w:r>
                  <w:r>
                    <w:rPr>
                      <w:color w:val="auto"/>
                    </w:rPr>
                    <w:t>熔炼用废钢成品100万吨</w:t>
                  </w:r>
                  <w:r>
                    <w:rPr>
                      <w:rFonts w:hint="eastAsia"/>
                      <w:color w:val="auto"/>
                    </w:rPr>
                    <w:t>。</w:t>
                  </w:r>
                </w:p>
              </w:tc>
              <w:tc>
                <w:tcPr>
                  <w:tcW w:w="413" w:type="pct"/>
                  <w:tcBorders>
                    <w:tl2br w:val="nil"/>
                    <w:tr2bl w:val="nil"/>
                  </w:tcBorders>
                  <w:shd w:val="clear" w:color="auto" w:fill="FFFFFF"/>
                  <w:vAlign w:val="center"/>
                </w:tcPr>
                <w:p w14:paraId="74D0F077">
                  <w:pPr>
                    <w:pStyle w:val="99"/>
                    <w:spacing w:line="300" w:lineRule="exact"/>
                    <w:rPr>
                      <w:color w:val="auto"/>
                    </w:rPr>
                  </w:pPr>
                  <w:r>
                    <w:rPr>
                      <w:rFonts w:hint="eastAsia"/>
                      <w:color w:val="auto"/>
                    </w:rPr>
                    <w:t>符合</w:t>
                  </w:r>
                </w:p>
              </w:tc>
            </w:tr>
            <w:tr w14:paraId="0BEF9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22D66A55">
                  <w:pPr>
                    <w:pStyle w:val="99"/>
                    <w:spacing w:line="300" w:lineRule="exact"/>
                    <w:rPr>
                      <w:color w:val="auto"/>
                    </w:rPr>
                  </w:pPr>
                  <w:r>
                    <w:rPr>
                      <w:color w:val="auto"/>
                    </w:rPr>
                    <w:t>2</w:t>
                  </w:r>
                </w:p>
              </w:tc>
              <w:tc>
                <w:tcPr>
                  <w:tcW w:w="2358" w:type="pct"/>
                  <w:tcBorders>
                    <w:tl2br w:val="nil"/>
                    <w:tr2bl w:val="nil"/>
                  </w:tcBorders>
                  <w:shd w:val="clear" w:color="auto" w:fill="FFFFFF"/>
                  <w:vAlign w:val="center"/>
                </w:tcPr>
                <w:p w14:paraId="67BC2B94">
                  <w:pPr>
                    <w:pStyle w:val="99"/>
                    <w:spacing w:line="300" w:lineRule="exact"/>
                    <w:rPr>
                      <w:color w:val="auto"/>
                    </w:rPr>
                  </w:pPr>
                  <w:r>
                    <w:rPr>
                      <w:rFonts w:hint="eastAsia"/>
                      <w:color w:val="auto"/>
                    </w:rPr>
                    <w:t>新建普碳废钢铁加工配送企业要求厂区面积不小于3万平米，作业场地硬化面积不小于1.5万平米；改造、扩建普碳废钢铁加工配送企业要求厂区面积不小于2万平米，作业场地硬化面积不小于1万平米；废旧不锈钢及其它废旧特种钢加工配送企业厂区面积不小于1万平米，作业场地硬化面积不小于5千平米。土地使用手续合法（若土地为租用，合同期限不少于15年）。</w:t>
                  </w:r>
                </w:p>
              </w:tc>
              <w:tc>
                <w:tcPr>
                  <w:tcW w:w="1911" w:type="pct"/>
                  <w:tcBorders>
                    <w:tl2br w:val="nil"/>
                    <w:tr2bl w:val="nil"/>
                  </w:tcBorders>
                  <w:shd w:val="clear" w:color="auto" w:fill="FFFFFF"/>
                  <w:vAlign w:val="center"/>
                </w:tcPr>
                <w:p w14:paraId="52FD3C44">
                  <w:pPr>
                    <w:pStyle w:val="99"/>
                    <w:spacing w:line="300" w:lineRule="exact"/>
                    <w:rPr>
                      <w:color w:val="auto"/>
                    </w:rPr>
                  </w:pPr>
                  <w:r>
                    <w:rPr>
                      <w:rFonts w:hint="eastAsia"/>
                      <w:color w:val="auto"/>
                    </w:rPr>
                    <w:t>项目为新建普碳废钢加工配送企业，厂区占地面积97948.10m</w:t>
                  </w:r>
                  <w:r>
                    <w:rPr>
                      <w:rFonts w:hint="eastAsia"/>
                      <w:color w:val="auto"/>
                      <w:vertAlign w:val="superscript"/>
                    </w:rPr>
                    <w:t>2</w:t>
                  </w:r>
                  <w:r>
                    <w:rPr>
                      <w:rFonts w:hint="eastAsia"/>
                      <w:color w:val="auto"/>
                    </w:rPr>
                    <w:t>，作业场地硬化面积50052.81m</w:t>
                  </w:r>
                  <w:r>
                    <w:rPr>
                      <w:rFonts w:hint="eastAsia"/>
                      <w:color w:val="auto"/>
                      <w:vertAlign w:val="superscript"/>
                    </w:rPr>
                    <w:t>2</w:t>
                  </w:r>
                  <w:r>
                    <w:rPr>
                      <w:color w:val="auto"/>
                    </w:rPr>
                    <w:t>；企业已</w:t>
                  </w:r>
                  <w:r>
                    <w:rPr>
                      <w:rFonts w:hint="eastAsia"/>
                      <w:color w:val="auto"/>
                    </w:rPr>
                    <w:t>取得不动产权证。</w:t>
                  </w:r>
                </w:p>
              </w:tc>
              <w:tc>
                <w:tcPr>
                  <w:tcW w:w="413" w:type="pct"/>
                  <w:tcBorders>
                    <w:tl2br w:val="nil"/>
                    <w:tr2bl w:val="nil"/>
                  </w:tcBorders>
                  <w:shd w:val="clear" w:color="auto" w:fill="FFFFFF"/>
                  <w:vAlign w:val="center"/>
                </w:tcPr>
                <w:p w14:paraId="1D84A1B8">
                  <w:pPr>
                    <w:pStyle w:val="99"/>
                    <w:spacing w:line="300" w:lineRule="exact"/>
                    <w:rPr>
                      <w:color w:val="auto"/>
                    </w:rPr>
                  </w:pPr>
                  <w:r>
                    <w:rPr>
                      <w:rFonts w:hint="eastAsia"/>
                      <w:color w:val="auto"/>
                    </w:rPr>
                    <w:t>符合</w:t>
                  </w:r>
                </w:p>
              </w:tc>
            </w:tr>
            <w:tr w14:paraId="45D97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535A5463">
                  <w:pPr>
                    <w:pStyle w:val="99"/>
                    <w:spacing w:line="300" w:lineRule="exact"/>
                    <w:rPr>
                      <w:color w:val="auto"/>
                    </w:rPr>
                  </w:pPr>
                  <w:r>
                    <w:rPr>
                      <w:color w:val="auto"/>
                    </w:rPr>
                    <w:t>3</w:t>
                  </w:r>
                </w:p>
              </w:tc>
              <w:tc>
                <w:tcPr>
                  <w:tcW w:w="2358" w:type="pct"/>
                  <w:tcBorders>
                    <w:tl2br w:val="nil"/>
                    <w:tr2bl w:val="nil"/>
                  </w:tcBorders>
                  <w:shd w:val="clear" w:color="auto" w:fill="FFFFFF"/>
                  <w:vAlign w:val="center"/>
                </w:tcPr>
                <w:p w14:paraId="599A0BB1">
                  <w:pPr>
                    <w:pStyle w:val="99"/>
                    <w:spacing w:line="300" w:lineRule="exact"/>
                    <w:rPr>
                      <w:color w:val="auto"/>
                    </w:rPr>
                  </w:pPr>
                  <w:r>
                    <w:rPr>
                      <w:rFonts w:hint="eastAsia"/>
                      <w:color w:val="auto"/>
                    </w:rPr>
                    <w:t>废钢铁加工配送企业应配有打包设备、剪切设备或撕碎设备以及配套装卸设备和车辆等，必须配备辐射监测仪器、电子磅和非钢铁类夹杂物分类设备等。废旧不锈钢及其他废旧特种钢加工配送企业应配备成分检测设备。</w:t>
                  </w:r>
                </w:p>
              </w:tc>
              <w:tc>
                <w:tcPr>
                  <w:tcW w:w="1911" w:type="pct"/>
                  <w:tcBorders>
                    <w:tl2br w:val="nil"/>
                    <w:tr2bl w:val="nil"/>
                  </w:tcBorders>
                  <w:shd w:val="clear" w:color="auto" w:fill="FFFFFF"/>
                  <w:vAlign w:val="center"/>
                </w:tcPr>
                <w:p w14:paraId="743579D2">
                  <w:pPr>
                    <w:pStyle w:val="99"/>
                    <w:spacing w:line="300" w:lineRule="exact"/>
                    <w:rPr>
                      <w:color w:val="auto"/>
                    </w:rPr>
                  </w:pPr>
                  <w:r>
                    <w:rPr>
                      <w:rFonts w:hint="eastAsia"/>
                      <w:color w:val="auto"/>
                    </w:rPr>
                    <w:t>本项目配备剪断机、打包机以及配套装卸设备和车辆等，同时配备有辐射监测仪器、电子磅、磁选机等设备。</w:t>
                  </w:r>
                </w:p>
              </w:tc>
              <w:tc>
                <w:tcPr>
                  <w:tcW w:w="413" w:type="pct"/>
                  <w:tcBorders>
                    <w:tl2br w:val="nil"/>
                    <w:tr2bl w:val="nil"/>
                  </w:tcBorders>
                  <w:shd w:val="clear" w:color="auto" w:fill="FFFFFF"/>
                  <w:vAlign w:val="center"/>
                </w:tcPr>
                <w:p w14:paraId="66450511">
                  <w:pPr>
                    <w:pStyle w:val="99"/>
                    <w:spacing w:line="300" w:lineRule="exact"/>
                    <w:rPr>
                      <w:color w:val="auto"/>
                    </w:rPr>
                  </w:pPr>
                  <w:r>
                    <w:rPr>
                      <w:rFonts w:hint="eastAsia"/>
                      <w:color w:val="auto"/>
                    </w:rPr>
                    <w:t>符合</w:t>
                  </w:r>
                </w:p>
              </w:tc>
            </w:tr>
            <w:tr w14:paraId="11C0B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43A4D5E2">
                  <w:pPr>
                    <w:pStyle w:val="99"/>
                    <w:spacing w:line="300" w:lineRule="exact"/>
                    <w:rPr>
                      <w:color w:val="auto"/>
                    </w:rPr>
                  </w:pPr>
                  <w:r>
                    <w:rPr>
                      <w:color w:val="auto"/>
                    </w:rPr>
                    <w:t>4</w:t>
                  </w:r>
                </w:p>
              </w:tc>
              <w:tc>
                <w:tcPr>
                  <w:tcW w:w="2358" w:type="pct"/>
                  <w:tcBorders>
                    <w:tl2br w:val="nil"/>
                    <w:tr2bl w:val="nil"/>
                  </w:tcBorders>
                  <w:shd w:val="clear" w:color="auto" w:fill="FFFFFF"/>
                  <w:vAlign w:val="center"/>
                </w:tcPr>
                <w:p w14:paraId="0D178973">
                  <w:pPr>
                    <w:pStyle w:val="99"/>
                    <w:spacing w:line="300" w:lineRule="exact"/>
                    <w:rPr>
                      <w:color w:val="auto"/>
                    </w:rPr>
                  </w:pPr>
                  <w:r>
                    <w:rPr>
                      <w:rFonts w:hint="eastAsia"/>
                      <w:color w:val="auto"/>
                    </w:rPr>
                    <w:t>废钢铁加工配送企业应选择生产效率高、加工工艺先进、能耗低、环保达标和资源综合利用率高的加工生产系统。必须配套有粉尘收集、污水处理和噪音控制等环境保护设施，加工工艺和设备应满足国家产业政策、禁止和限制用地项目目录的有关要求。</w:t>
                  </w:r>
                </w:p>
              </w:tc>
              <w:tc>
                <w:tcPr>
                  <w:tcW w:w="1911" w:type="pct"/>
                  <w:tcBorders>
                    <w:tl2br w:val="nil"/>
                    <w:tr2bl w:val="nil"/>
                  </w:tcBorders>
                  <w:shd w:val="clear" w:color="auto" w:fill="FFFFFF"/>
                  <w:vAlign w:val="center"/>
                </w:tcPr>
                <w:p w14:paraId="204733FC">
                  <w:pPr>
                    <w:pStyle w:val="99"/>
                    <w:spacing w:line="300" w:lineRule="exact"/>
                    <w:rPr>
                      <w:color w:val="auto"/>
                    </w:rPr>
                  </w:pPr>
                  <w:r>
                    <w:rPr>
                      <w:rFonts w:hint="eastAsia"/>
                      <w:color w:val="auto"/>
                    </w:rPr>
                    <w:t>本项目破碎、剪切生产线配套布袋除尘器，生产过程中不产生废水，通过采购低噪声设备、减震、隔声、距离衰减及绿化等措施降低噪声污染，废机油等危废设置危废暂存间，定期交由有资质的单位处理。加工工艺和设备满足国家产业政策、禁止和限制用地项目目录的有关要求。</w:t>
                  </w:r>
                </w:p>
              </w:tc>
              <w:tc>
                <w:tcPr>
                  <w:tcW w:w="413" w:type="pct"/>
                  <w:tcBorders>
                    <w:tl2br w:val="nil"/>
                    <w:tr2bl w:val="nil"/>
                  </w:tcBorders>
                  <w:shd w:val="clear" w:color="auto" w:fill="FFFFFF"/>
                  <w:vAlign w:val="center"/>
                </w:tcPr>
                <w:p w14:paraId="4343E449">
                  <w:pPr>
                    <w:pStyle w:val="99"/>
                    <w:spacing w:line="300" w:lineRule="exact"/>
                    <w:rPr>
                      <w:color w:val="auto"/>
                    </w:rPr>
                  </w:pPr>
                  <w:r>
                    <w:rPr>
                      <w:rFonts w:hint="eastAsia"/>
                      <w:color w:val="auto"/>
                    </w:rPr>
                    <w:t>符合</w:t>
                  </w:r>
                </w:p>
              </w:tc>
            </w:tr>
            <w:tr w14:paraId="468B4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7A9AAB19">
                  <w:pPr>
                    <w:pStyle w:val="99"/>
                    <w:spacing w:line="300" w:lineRule="exact"/>
                    <w:rPr>
                      <w:color w:val="auto"/>
                    </w:rPr>
                  </w:pPr>
                  <w:r>
                    <w:rPr>
                      <w:color w:val="auto"/>
                    </w:rPr>
                    <w:t>5</w:t>
                  </w:r>
                </w:p>
              </w:tc>
              <w:tc>
                <w:tcPr>
                  <w:tcW w:w="2358" w:type="pct"/>
                  <w:tcBorders>
                    <w:tl2br w:val="nil"/>
                    <w:tr2bl w:val="nil"/>
                  </w:tcBorders>
                  <w:shd w:val="clear" w:color="auto" w:fill="FFFFFF"/>
                  <w:vAlign w:val="center"/>
                </w:tcPr>
                <w:p w14:paraId="6C3F372D">
                  <w:pPr>
                    <w:pStyle w:val="99"/>
                    <w:spacing w:line="300" w:lineRule="exact"/>
                    <w:rPr>
                      <w:color w:val="auto"/>
                    </w:rPr>
                  </w:pPr>
                  <w:r>
                    <w:rPr>
                      <w:rFonts w:hint="eastAsia"/>
                      <w:color w:val="auto"/>
                    </w:rPr>
                    <w:t>鼓励企业积极开发使用节能、环保、高效的新技术、新工艺、新装备，逐步淘汰鳄鱼剪式剪切机。</w:t>
                  </w:r>
                </w:p>
              </w:tc>
              <w:tc>
                <w:tcPr>
                  <w:tcW w:w="1911" w:type="pct"/>
                  <w:tcBorders>
                    <w:tl2br w:val="nil"/>
                    <w:tr2bl w:val="nil"/>
                  </w:tcBorders>
                  <w:shd w:val="clear" w:color="auto" w:fill="FFFFFF"/>
                  <w:vAlign w:val="center"/>
                </w:tcPr>
                <w:p w14:paraId="4A0BC789">
                  <w:pPr>
                    <w:pStyle w:val="99"/>
                    <w:spacing w:line="300" w:lineRule="exact"/>
                    <w:rPr>
                      <w:color w:val="auto"/>
                    </w:rPr>
                  </w:pPr>
                  <w:r>
                    <w:rPr>
                      <w:rFonts w:hint="eastAsia"/>
                      <w:color w:val="auto"/>
                    </w:rPr>
                    <w:t>本项目积极使用节能、环保、高效的新技术、新工艺、新装备。项目不使用鳄鱼式剪切机。</w:t>
                  </w:r>
                </w:p>
              </w:tc>
              <w:tc>
                <w:tcPr>
                  <w:tcW w:w="413" w:type="pct"/>
                  <w:tcBorders>
                    <w:tl2br w:val="nil"/>
                    <w:tr2bl w:val="nil"/>
                  </w:tcBorders>
                  <w:shd w:val="clear" w:color="auto" w:fill="FFFFFF"/>
                  <w:vAlign w:val="center"/>
                </w:tcPr>
                <w:p w14:paraId="3EF1DD5F">
                  <w:pPr>
                    <w:pStyle w:val="99"/>
                    <w:spacing w:line="300" w:lineRule="exact"/>
                    <w:rPr>
                      <w:color w:val="auto"/>
                    </w:rPr>
                  </w:pPr>
                  <w:r>
                    <w:rPr>
                      <w:rFonts w:hint="eastAsia"/>
                      <w:color w:val="auto"/>
                    </w:rPr>
                    <w:t>符合</w:t>
                  </w:r>
                </w:p>
              </w:tc>
            </w:tr>
            <w:tr w14:paraId="7BC4E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2EA15A92">
                  <w:pPr>
                    <w:pStyle w:val="99"/>
                    <w:spacing w:line="300" w:lineRule="exact"/>
                    <w:rPr>
                      <w:color w:val="auto"/>
                    </w:rPr>
                  </w:pPr>
                  <w:r>
                    <w:rPr>
                      <w:rFonts w:hint="eastAsia"/>
                      <w:color w:val="auto"/>
                    </w:rPr>
                    <w:t>三</w:t>
                  </w:r>
                </w:p>
              </w:tc>
              <w:tc>
                <w:tcPr>
                  <w:tcW w:w="4683" w:type="pct"/>
                  <w:gridSpan w:val="3"/>
                  <w:tcBorders>
                    <w:tl2br w:val="nil"/>
                    <w:tr2bl w:val="nil"/>
                  </w:tcBorders>
                  <w:shd w:val="clear" w:color="auto" w:fill="FFFFFF"/>
                  <w:vAlign w:val="center"/>
                </w:tcPr>
                <w:p w14:paraId="26A6BDF4">
                  <w:pPr>
                    <w:pStyle w:val="99"/>
                    <w:spacing w:line="300" w:lineRule="exact"/>
                    <w:rPr>
                      <w:color w:val="auto"/>
                    </w:rPr>
                  </w:pPr>
                  <w:r>
                    <w:rPr>
                      <w:rFonts w:hint="eastAsia"/>
                      <w:color w:val="auto"/>
                    </w:rPr>
                    <w:t>产品质量</w:t>
                  </w:r>
                </w:p>
              </w:tc>
            </w:tr>
            <w:tr w14:paraId="413A9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03D91E4E">
                  <w:pPr>
                    <w:pStyle w:val="99"/>
                    <w:spacing w:line="300" w:lineRule="exact"/>
                    <w:rPr>
                      <w:color w:val="auto"/>
                    </w:rPr>
                  </w:pPr>
                  <w:r>
                    <w:rPr>
                      <w:color w:val="auto"/>
                    </w:rPr>
                    <w:t>1</w:t>
                  </w:r>
                </w:p>
              </w:tc>
              <w:tc>
                <w:tcPr>
                  <w:tcW w:w="2358" w:type="pct"/>
                  <w:tcBorders>
                    <w:tl2br w:val="nil"/>
                    <w:tr2bl w:val="nil"/>
                  </w:tcBorders>
                  <w:shd w:val="clear" w:color="auto" w:fill="FFFFFF"/>
                  <w:vAlign w:val="center"/>
                </w:tcPr>
                <w:p w14:paraId="27DABEF9">
                  <w:pPr>
                    <w:pStyle w:val="99"/>
                    <w:spacing w:line="300" w:lineRule="exact"/>
                    <w:rPr>
                      <w:color w:val="auto"/>
                    </w:rPr>
                  </w:pPr>
                  <w:r>
                    <w:rPr>
                      <w:rFonts w:hint="eastAsia"/>
                      <w:color w:val="auto"/>
                    </w:rPr>
                    <w:t>废钢铁加工产品达到废钢铁国家标准和行业标准。不得销售给生产建筑用钢的工频炉、中频炉企业，以及使用</w:t>
                  </w:r>
                  <w:r>
                    <w:rPr>
                      <w:color w:val="auto"/>
                    </w:rPr>
                    <w:t>30吨及以下电炉（高合金电炉除外）等落后生产设备的企业</w:t>
                  </w:r>
                  <w:r>
                    <w:rPr>
                      <w:rFonts w:hint="eastAsia"/>
                      <w:color w:val="auto"/>
                    </w:rPr>
                    <w:t>。</w:t>
                  </w:r>
                </w:p>
              </w:tc>
              <w:tc>
                <w:tcPr>
                  <w:tcW w:w="1911" w:type="pct"/>
                  <w:tcBorders>
                    <w:tl2br w:val="nil"/>
                    <w:tr2bl w:val="nil"/>
                  </w:tcBorders>
                  <w:shd w:val="clear" w:color="auto" w:fill="FFFFFF"/>
                  <w:vAlign w:val="center"/>
                </w:tcPr>
                <w:p w14:paraId="33803052">
                  <w:pPr>
                    <w:pStyle w:val="99"/>
                    <w:spacing w:line="300" w:lineRule="exact"/>
                    <w:rPr>
                      <w:color w:val="auto"/>
                    </w:rPr>
                  </w:pPr>
                  <w:r>
                    <w:rPr>
                      <w:rFonts w:hint="eastAsia"/>
                      <w:color w:val="auto"/>
                    </w:rPr>
                    <w:t>本项目产品达到废钢铁国家标准和行业标准。不销售给生产建筑用钢的工频炉、中频炉企业，以及使用</w:t>
                  </w:r>
                  <w:r>
                    <w:rPr>
                      <w:color w:val="auto"/>
                    </w:rPr>
                    <w:t>30吨及以下电炉（高合金电炉除外）等落后生产设备的企</w:t>
                  </w:r>
                  <w:r>
                    <w:rPr>
                      <w:rFonts w:hint="eastAsia"/>
                      <w:color w:val="auto"/>
                    </w:rPr>
                    <w:t>业。</w:t>
                  </w:r>
                </w:p>
              </w:tc>
              <w:tc>
                <w:tcPr>
                  <w:tcW w:w="413" w:type="pct"/>
                  <w:tcBorders>
                    <w:tl2br w:val="nil"/>
                    <w:tr2bl w:val="nil"/>
                  </w:tcBorders>
                  <w:shd w:val="clear" w:color="auto" w:fill="FFFFFF"/>
                  <w:vAlign w:val="center"/>
                </w:tcPr>
                <w:p w14:paraId="1BB180AD">
                  <w:pPr>
                    <w:pStyle w:val="99"/>
                    <w:spacing w:line="300" w:lineRule="exact"/>
                    <w:rPr>
                      <w:color w:val="auto"/>
                    </w:rPr>
                  </w:pPr>
                  <w:r>
                    <w:rPr>
                      <w:rFonts w:hint="eastAsia"/>
                      <w:color w:val="auto"/>
                    </w:rPr>
                    <w:t>符合</w:t>
                  </w:r>
                </w:p>
              </w:tc>
            </w:tr>
            <w:tr w14:paraId="5FD68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16" w:type="pct"/>
                  <w:tcBorders>
                    <w:tl2br w:val="nil"/>
                    <w:tr2bl w:val="nil"/>
                  </w:tcBorders>
                  <w:shd w:val="clear" w:color="auto" w:fill="FFFFFF"/>
                  <w:vAlign w:val="center"/>
                </w:tcPr>
                <w:p w14:paraId="6905011E">
                  <w:pPr>
                    <w:pStyle w:val="99"/>
                    <w:spacing w:line="300" w:lineRule="exact"/>
                    <w:rPr>
                      <w:color w:val="auto"/>
                    </w:rPr>
                  </w:pPr>
                  <w:r>
                    <w:rPr>
                      <w:color w:val="auto"/>
                    </w:rPr>
                    <w:t>2</w:t>
                  </w:r>
                </w:p>
              </w:tc>
              <w:tc>
                <w:tcPr>
                  <w:tcW w:w="2358" w:type="pct"/>
                  <w:tcBorders>
                    <w:tl2br w:val="nil"/>
                    <w:tr2bl w:val="nil"/>
                  </w:tcBorders>
                  <w:shd w:val="clear" w:color="auto" w:fill="FFFFFF"/>
                  <w:vAlign w:val="center"/>
                </w:tcPr>
                <w:p w14:paraId="0C6FA61A">
                  <w:pPr>
                    <w:pStyle w:val="99"/>
                    <w:spacing w:line="300" w:lineRule="exact"/>
                    <w:rPr>
                      <w:color w:val="auto"/>
                    </w:rPr>
                  </w:pPr>
                  <w:r>
                    <w:rPr>
                      <w:rFonts w:hint="eastAsia"/>
                      <w:color w:val="auto"/>
                    </w:rPr>
                    <w:t>废钢铁加工配送企业应配备专职质量管理人员，建立质量管理制度</w:t>
                  </w:r>
                  <w:commentRangeStart w:id="5"/>
                  <w:r>
                    <w:rPr>
                      <w:rFonts w:hint="eastAsia"/>
                      <w:color w:val="auto"/>
                    </w:rPr>
                    <w:t>。应通过</w:t>
                  </w:r>
                  <w:r>
                    <w:rPr>
                      <w:color w:val="auto"/>
                    </w:rPr>
                    <w:t>ISO质量管理体系认证</w:t>
                  </w:r>
                  <w:r>
                    <w:rPr>
                      <w:rFonts w:hint="eastAsia"/>
                      <w:color w:val="auto"/>
                    </w:rPr>
                    <w:t>。</w:t>
                  </w:r>
                  <w:commentRangeEnd w:id="5"/>
                  <w:r>
                    <w:rPr>
                      <w:color w:val="auto"/>
                    </w:rPr>
                    <w:commentReference w:id="5"/>
                  </w:r>
                </w:p>
              </w:tc>
              <w:tc>
                <w:tcPr>
                  <w:tcW w:w="1911" w:type="pct"/>
                  <w:tcBorders>
                    <w:tl2br w:val="nil"/>
                    <w:tr2bl w:val="nil"/>
                  </w:tcBorders>
                  <w:shd w:val="clear" w:color="auto" w:fill="FFFFFF"/>
                  <w:vAlign w:val="center"/>
                </w:tcPr>
                <w:p w14:paraId="39B41609">
                  <w:pPr>
                    <w:pStyle w:val="99"/>
                    <w:spacing w:line="300" w:lineRule="exact"/>
                    <w:rPr>
                      <w:rFonts w:hint="eastAsia" w:eastAsia="宋体"/>
                      <w:color w:val="auto"/>
                      <w:lang w:eastAsia="zh-CN"/>
                    </w:rPr>
                  </w:pPr>
                  <w:r>
                    <w:rPr>
                      <w:rFonts w:hint="eastAsia"/>
                      <w:color w:val="0000FF"/>
                    </w:rPr>
                    <w:t>企业</w:t>
                  </w:r>
                  <w:commentRangeStart w:id="6"/>
                  <w:r>
                    <w:rPr>
                      <w:rFonts w:hint="eastAsia"/>
                      <w:color w:val="0000FF"/>
                    </w:rPr>
                    <w:t>配备</w:t>
                  </w:r>
                  <w:commentRangeEnd w:id="6"/>
                  <w:r>
                    <w:rPr>
                      <w:color w:val="0000FF"/>
                    </w:rPr>
                    <w:commentReference w:id="6"/>
                  </w:r>
                  <w:r>
                    <w:rPr>
                      <w:rFonts w:hint="eastAsia"/>
                      <w:color w:val="0000FF"/>
                    </w:rPr>
                    <w:t>专职质量管理人员，建立质量管理制度</w:t>
                  </w:r>
                  <w:r>
                    <w:rPr>
                      <w:rFonts w:hint="eastAsia"/>
                      <w:color w:val="0000FF"/>
                      <w:lang w:eastAsia="zh-CN"/>
                    </w:rPr>
                    <w:t>，</w:t>
                  </w:r>
                  <w:r>
                    <w:rPr>
                      <w:rFonts w:hint="eastAsia"/>
                      <w:color w:val="0000FF"/>
                      <w:lang w:val="en-US" w:eastAsia="zh-CN"/>
                    </w:rPr>
                    <w:t>按要求</w:t>
                  </w:r>
                  <w:r>
                    <w:rPr>
                      <w:rFonts w:hint="eastAsia"/>
                      <w:color w:val="0000FF"/>
                    </w:rPr>
                    <w:t>通过</w:t>
                  </w:r>
                  <w:r>
                    <w:rPr>
                      <w:color w:val="0000FF"/>
                    </w:rPr>
                    <w:t>ISO质量管理体系认证</w:t>
                  </w:r>
                  <w:r>
                    <w:rPr>
                      <w:rFonts w:hint="eastAsia"/>
                      <w:color w:val="0000FF"/>
                    </w:rPr>
                    <w:t>。</w:t>
                  </w:r>
                </w:p>
              </w:tc>
              <w:tc>
                <w:tcPr>
                  <w:tcW w:w="413" w:type="pct"/>
                  <w:tcBorders>
                    <w:tl2br w:val="nil"/>
                    <w:tr2bl w:val="nil"/>
                  </w:tcBorders>
                  <w:shd w:val="clear" w:color="auto" w:fill="FFFFFF"/>
                  <w:vAlign w:val="center"/>
                </w:tcPr>
                <w:p w14:paraId="64EEC740">
                  <w:pPr>
                    <w:pStyle w:val="99"/>
                    <w:spacing w:line="300" w:lineRule="exact"/>
                    <w:rPr>
                      <w:color w:val="auto"/>
                    </w:rPr>
                  </w:pPr>
                  <w:r>
                    <w:rPr>
                      <w:rFonts w:hint="eastAsia"/>
                      <w:color w:val="auto"/>
                    </w:rPr>
                    <w:t>符合</w:t>
                  </w:r>
                </w:p>
              </w:tc>
            </w:tr>
            <w:tr w14:paraId="6BCA9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0246CA55">
                  <w:pPr>
                    <w:pStyle w:val="99"/>
                    <w:spacing w:line="300" w:lineRule="exact"/>
                    <w:rPr>
                      <w:color w:val="auto"/>
                    </w:rPr>
                  </w:pPr>
                  <w:r>
                    <w:rPr>
                      <w:rFonts w:hint="eastAsia"/>
                      <w:color w:val="auto"/>
                    </w:rPr>
                    <w:t>四</w:t>
                  </w:r>
                </w:p>
              </w:tc>
              <w:tc>
                <w:tcPr>
                  <w:tcW w:w="4683" w:type="pct"/>
                  <w:gridSpan w:val="3"/>
                  <w:tcBorders>
                    <w:tl2br w:val="nil"/>
                    <w:tr2bl w:val="nil"/>
                  </w:tcBorders>
                  <w:shd w:val="clear" w:color="auto" w:fill="FFFFFF"/>
                  <w:vAlign w:val="center"/>
                </w:tcPr>
                <w:p w14:paraId="0A470BCD">
                  <w:pPr>
                    <w:pStyle w:val="99"/>
                    <w:spacing w:line="300" w:lineRule="exact"/>
                    <w:rPr>
                      <w:color w:val="auto"/>
                    </w:rPr>
                  </w:pPr>
                  <w:r>
                    <w:rPr>
                      <w:rFonts w:hint="eastAsia"/>
                      <w:color w:val="auto"/>
                    </w:rPr>
                    <w:t>能源消耗和资源综合利用</w:t>
                  </w:r>
                </w:p>
              </w:tc>
            </w:tr>
            <w:tr w14:paraId="7D69C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6BFB5282">
                  <w:pPr>
                    <w:pStyle w:val="99"/>
                    <w:spacing w:line="300" w:lineRule="exact"/>
                    <w:rPr>
                      <w:color w:val="auto"/>
                    </w:rPr>
                  </w:pPr>
                  <w:r>
                    <w:rPr>
                      <w:color w:val="auto"/>
                    </w:rPr>
                    <w:t>1</w:t>
                  </w:r>
                </w:p>
              </w:tc>
              <w:tc>
                <w:tcPr>
                  <w:tcW w:w="2358" w:type="pct"/>
                  <w:tcBorders>
                    <w:tl2br w:val="nil"/>
                    <w:tr2bl w:val="nil"/>
                  </w:tcBorders>
                  <w:shd w:val="clear" w:color="auto" w:fill="FFFFFF"/>
                  <w:vAlign w:val="center"/>
                </w:tcPr>
                <w:p w14:paraId="7D35CA41">
                  <w:pPr>
                    <w:pStyle w:val="99"/>
                    <w:spacing w:line="300" w:lineRule="exact"/>
                    <w:rPr>
                      <w:color w:val="auto"/>
                    </w:rPr>
                  </w:pPr>
                  <w:r>
                    <w:rPr>
                      <w:rFonts w:hint="eastAsia"/>
                      <w:color w:val="auto"/>
                    </w:rPr>
                    <w:t>废钢铁加工配送企业加工生产系统综合电耗应低于30千瓦时/吨废钢铁，新水消耗应低于0.2吨/吨废钢铁。</w:t>
                  </w:r>
                </w:p>
              </w:tc>
              <w:tc>
                <w:tcPr>
                  <w:tcW w:w="1911" w:type="pct"/>
                  <w:tcBorders>
                    <w:tl2br w:val="nil"/>
                    <w:tr2bl w:val="nil"/>
                  </w:tcBorders>
                  <w:shd w:val="clear" w:color="auto" w:fill="FFFFFF"/>
                  <w:vAlign w:val="center"/>
                </w:tcPr>
                <w:p w14:paraId="0F314CDE">
                  <w:pPr>
                    <w:pStyle w:val="99"/>
                    <w:spacing w:line="300" w:lineRule="exact"/>
                    <w:rPr>
                      <w:color w:val="auto"/>
                    </w:rPr>
                  </w:pPr>
                  <w:r>
                    <w:rPr>
                      <w:rFonts w:hint="eastAsia"/>
                      <w:color w:val="auto"/>
                    </w:rPr>
                    <w:t>本项目生产系统综合电耗为27.38千瓦时/吨废钢铁，新水消耗为</w:t>
                  </w:r>
                  <w:commentRangeStart w:id="7"/>
                  <w:r>
                    <w:rPr>
                      <w:rFonts w:hint="eastAsia"/>
                      <w:color w:val="0000FF"/>
                    </w:rPr>
                    <w:t>0</w:t>
                  </w:r>
                  <w:commentRangeEnd w:id="7"/>
                  <w:r>
                    <w:rPr>
                      <w:color w:val="auto"/>
                    </w:rPr>
                    <w:commentReference w:id="7"/>
                  </w:r>
                  <w:r>
                    <w:rPr>
                      <w:rFonts w:hint="eastAsia"/>
                      <w:color w:val="auto"/>
                    </w:rPr>
                    <w:t>吨/吨-废钢铁。</w:t>
                  </w:r>
                </w:p>
              </w:tc>
              <w:tc>
                <w:tcPr>
                  <w:tcW w:w="413" w:type="pct"/>
                  <w:tcBorders>
                    <w:tl2br w:val="nil"/>
                    <w:tr2bl w:val="nil"/>
                  </w:tcBorders>
                  <w:shd w:val="clear" w:color="auto" w:fill="FFFFFF"/>
                  <w:vAlign w:val="center"/>
                </w:tcPr>
                <w:p w14:paraId="0B2B189C">
                  <w:pPr>
                    <w:pStyle w:val="99"/>
                    <w:spacing w:line="300" w:lineRule="exact"/>
                    <w:rPr>
                      <w:color w:val="auto"/>
                    </w:rPr>
                  </w:pPr>
                  <w:r>
                    <w:rPr>
                      <w:rFonts w:hint="eastAsia"/>
                      <w:color w:val="auto"/>
                    </w:rPr>
                    <w:t>符合</w:t>
                  </w:r>
                </w:p>
              </w:tc>
            </w:tr>
            <w:tr w14:paraId="41636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77B9961B">
                  <w:pPr>
                    <w:pStyle w:val="99"/>
                    <w:spacing w:line="300" w:lineRule="exact"/>
                    <w:rPr>
                      <w:color w:val="auto"/>
                    </w:rPr>
                  </w:pPr>
                  <w:r>
                    <w:rPr>
                      <w:color w:val="auto"/>
                    </w:rPr>
                    <w:t>2</w:t>
                  </w:r>
                </w:p>
              </w:tc>
              <w:tc>
                <w:tcPr>
                  <w:tcW w:w="2358" w:type="pct"/>
                  <w:tcBorders>
                    <w:tl2br w:val="nil"/>
                    <w:tr2bl w:val="nil"/>
                  </w:tcBorders>
                  <w:shd w:val="clear" w:color="auto" w:fill="FFFFFF"/>
                  <w:vAlign w:val="center"/>
                </w:tcPr>
                <w:p w14:paraId="0304DF03">
                  <w:pPr>
                    <w:pStyle w:val="99"/>
                    <w:spacing w:line="300" w:lineRule="exact"/>
                    <w:rPr>
                      <w:color w:val="auto"/>
                    </w:rPr>
                  </w:pPr>
                  <w:r>
                    <w:rPr>
                      <w:rFonts w:hint="eastAsia"/>
                      <w:color w:val="auto"/>
                    </w:rPr>
                    <w:t>对加工废钢铁过程中产生的各种夹杂物，如有色金属、塑料、橡胶、木块、纤维、渣土、机油、汽油、氟利昂、电池等，应有相应的回收、处理措施和合法流向，避免二次污染。</w:t>
                  </w:r>
                </w:p>
              </w:tc>
              <w:tc>
                <w:tcPr>
                  <w:tcW w:w="1911" w:type="pct"/>
                  <w:tcBorders>
                    <w:tl2br w:val="nil"/>
                    <w:tr2bl w:val="nil"/>
                  </w:tcBorders>
                  <w:shd w:val="clear" w:color="auto" w:fill="FFFFFF"/>
                  <w:vAlign w:val="center"/>
                </w:tcPr>
                <w:p w14:paraId="78335B7B">
                  <w:pPr>
                    <w:pStyle w:val="99"/>
                    <w:spacing w:line="300" w:lineRule="exact"/>
                    <w:rPr>
                      <w:color w:val="auto"/>
                    </w:rPr>
                  </w:pPr>
                  <w:r>
                    <w:rPr>
                      <w:rFonts w:hint="eastAsia"/>
                      <w:color w:val="auto"/>
                    </w:rPr>
                    <w:t>磁选过程中产生的非磁</w:t>
                  </w:r>
                  <w:r>
                    <w:rPr>
                      <w:rFonts w:hint="eastAsia"/>
                      <w:color w:val="auto"/>
                      <w:lang w:val="en-US" w:eastAsia="zh-CN"/>
                    </w:rPr>
                    <w:t>性物质</w:t>
                  </w:r>
                  <w:r>
                    <w:rPr>
                      <w:rFonts w:hint="eastAsia"/>
                      <w:color w:val="0000FF"/>
                    </w:rPr>
                    <w:t>收</w:t>
                  </w:r>
                  <w:r>
                    <w:rPr>
                      <w:color w:val="0000FF"/>
                    </w:rPr>
                    <w:t>集后外售废品回收公司综合利用</w:t>
                  </w:r>
                  <w:r>
                    <w:rPr>
                      <w:color w:val="0000FF"/>
                    </w:rPr>
                    <w:commentReference w:id="8"/>
                  </w:r>
                  <w:r>
                    <w:rPr>
                      <w:rFonts w:hint="eastAsia"/>
                      <w:color w:val="0000FF"/>
                    </w:rPr>
                    <w:t>，</w:t>
                  </w:r>
                  <w:r>
                    <w:rPr>
                      <w:rFonts w:hint="eastAsia"/>
                      <w:color w:val="auto"/>
                    </w:rPr>
                    <w:t>不涉及氟利昂、电池等危险物质。</w:t>
                  </w:r>
                </w:p>
              </w:tc>
              <w:tc>
                <w:tcPr>
                  <w:tcW w:w="413" w:type="pct"/>
                  <w:tcBorders>
                    <w:tl2br w:val="nil"/>
                    <w:tr2bl w:val="nil"/>
                  </w:tcBorders>
                  <w:shd w:val="clear" w:color="auto" w:fill="FFFFFF"/>
                  <w:vAlign w:val="center"/>
                </w:tcPr>
                <w:p w14:paraId="58818427">
                  <w:pPr>
                    <w:pStyle w:val="99"/>
                    <w:spacing w:line="300" w:lineRule="exact"/>
                    <w:rPr>
                      <w:color w:val="auto"/>
                    </w:rPr>
                  </w:pPr>
                  <w:r>
                    <w:rPr>
                      <w:rFonts w:hint="eastAsia"/>
                      <w:color w:val="auto"/>
                    </w:rPr>
                    <w:t>符合</w:t>
                  </w:r>
                </w:p>
              </w:tc>
            </w:tr>
            <w:tr w14:paraId="6D457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01B6DD22">
                  <w:pPr>
                    <w:pStyle w:val="99"/>
                    <w:spacing w:line="300" w:lineRule="exact"/>
                    <w:rPr>
                      <w:color w:val="auto"/>
                    </w:rPr>
                  </w:pPr>
                  <w:r>
                    <w:rPr>
                      <w:rFonts w:hint="eastAsia"/>
                      <w:color w:val="auto"/>
                    </w:rPr>
                    <w:t>五</w:t>
                  </w:r>
                </w:p>
              </w:tc>
              <w:tc>
                <w:tcPr>
                  <w:tcW w:w="4683" w:type="pct"/>
                  <w:gridSpan w:val="3"/>
                  <w:tcBorders>
                    <w:tl2br w:val="nil"/>
                    <w:tr2bl w:val="nil"/>
                  </w:tcBorders>
                  <w:shd w:val="clear" w:color="auto" w:fill="FFFFFF"/>
                  <w:vAlign w:val="center"/>
                </w:tcPr>
                <w:p w14:paraId="05305BFE">
                  <w:pPr>
                    <w:pStyle w:val="99"/>
                    <w:spacing w:line="300" w:lineRule="exact"/>
                    <w:rPr>
                      <w:color w:val="auto"/>
                    </w:rPr>
                  </w:pPr>
                  <w:r>
                    <w:rPr>
                      <w:rFonts w:hint="eastAsia"/>
                      <w:color w:val="auto"/>
                    </w:rPr>
                    <w:t>环境保护</w:t>
                  </w:r>
                </w:p>
              </w:tc>
            </w:tr>
            <w:tr w14:paraId="0BBC5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167823CC">
                  <w:pPr>
                    <w:pStyle w:val="99"/>
                    <w:spacing w:line="300" w:lineRule="exact"/>
                    <w:rPr>
                      <w:color w:val="auto"/>
                    </w:rPr>
                  </w:pPr>
                  <w:r>
                    <w:rPr>
                      <w:color w:val="auto"/>
                    </w:rPr>
                    <w:t>1</w:t>
                  </w:r>
                </w:p>
              </w:tc>
              <w:tc>
                <w:tcPr>
                  <w:tcW w:w="2358" w:type="pct"/>
                  <w:tcBorders>
                    <w:tl2br w:val="nil"/>
                    <w:tr2bl w:val="nil"/>
                  </w:tcBorders>
                  <w:shd w:val="clear" w:color="auto" w:fill="FFFFFF"/>
                  <w:vAlign w:val="center"/>
                </w:tcPr>
                <w:p w14:paraId="3740D025">
                  <w:pPr>
                    <w:pStyle w:val="99"/>
                    <w:spacing w:line="300" w:lineRule="exact"/>
                    <w:rPr>
                      <w:color w:val="auto"/>
                    </w:rPr>
                  </w:pPr>
                  <w:r>
                    <w:rPr>
                      <w:rFonts w:hint="eastAsia"/>
                      <w:color w:val="auto"/>
                    </w:rPr>
                    <w:t>废钢铁加工配送企业应按照《建设项目环境保护管理条例》，严格执行环境影响评价制度、环境保护“</w:t>
                  </w:r>
                  <w:r>
                    <w:rPr>
                      <w:color w:val="auto"/>
                    </w:rPr>
                    <w:t>三同时”制度和排污许可制度等环境保护要求。应按照规定申领排污许可证，经有管辖权的环境保护行政主管部门审核同意、领取排污许可证后，方可排污</w:t>
                  </w:r>
                  <w:r>
                    <w:rPr>
                      <w:rFonts w:hint="eastAsia"/>
                      <w:color w:val="auto"/>
                    </w:rPr>
                    <w:t>。</w:t>
                  </w:r>
                </w:p>
              </w:tc>
              <w:tc>
                <w:tcPr>
                  <w:tcW w:w="1911" w:type="pct"/>
                  <w:tcBorders>
                    <w:tl2br w:val="nil"/>
                    <w:tr2bl w:val="nil"/>
                  </w:tcBorders>
                  <w:shd w:val="clear" w:color="auto" w:fill="FFFFFF"/>
                  <w:vAlign w:val="center"/>
                </w:tcPr>
                <w:p w14:paraId="27867A69">
                  <w:pPr>
                    <w:pStyle w:val="99"/>
                    <w:spacing w:line="300" w:lineRule="exact"/>
                    <w:rPr>
                      <w:color w:val="auto"/>
                    </w:rPr>
                  </w:pPr>
                  <w:r>
                    <w:rPr>
                      <w:rFonts w:hint="eastAsia"/>
                      <w:color w:val="auto"/>
                    </w:rPr>
                    <w:t>项目拟严格执行环境影响评价制度，按照环境保护主管部门的相关规定报批环境影响评价文件，按照环境保护“</w:t>
                  </w:r>
                  <w:r>
                    <w:rPr>
                      <w:color w:val="auto"/>
                    </w:rPr>
                    <w:t>三同时”的要求建设配套的环境保护设施并依法通过项目竣工环境保护验收，领取排污许可证后，</w:t>
                  </w:r>
                  <w:r>
                    <w:rPr>
                      <w:rFonts w:hint="eastAsia"/>
                      <w:color w:val="auto"/>
                      <w:lang w:eastAsia="zh-CN"/>
                    </w:rPr>
                    <w:t>方可</w:t>
                  </w:r>
                  <w:r>
                    <w:rPr>
                      <w:color w:val="auto"/>
                    </w:rPr>
                    <w:t>投入生产</w:t>
                  </w:r>
                  <w:r>
                    <w:rPr>
                      <w:rFonts w:hint="eastAsia"/>
                      <w:color w:val="auto"/>
                    </w:rPr>
                    <w:t>。</w:t>
                  </w:r>
                </w:p>
              </w:tc>
              <w:tc>
                <w:tcPr>
                  <w:tcW w:w="413" w:type="pct"/>
                  <w:tcBorders>
                    <w:tl2br w:val="nil"/>
                    <w:tr2bl w:val="nil"/>
                  </w:tcBorders>
                  <w:shd w:val="clear" w:color="auto" w:fill="FFFFFF"/>
                  <w:vAlign w:val="center"/>
                </w:tcPr>
                <w:p w14:paraId="197838FE">
                  <w:pPr>
                    <w:pStyle w:val="99"/>
                    <w:spacing w:line="300" w:lineRule="exact"/>
                    <w:rPr>
                      <w:color w:val="auto"/>
                    </w:rPr>
                  </w:pPr>
                  <w:r>
                    <w:rPr>
                      <w:rFonts w:hint="eastAsia"/>
                      <w:color w:val="auto"/>
                    </w:rPr>
                    <w:t>符合</w:t>
                  </w:r>
                </w:p>
              </w:tc>
            </w:tr>
            <w:tr w14:paraId="50F6D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26B5D5D2">
                  <w:pPr>
                    <w:pStyle w:val="99"/>
                    <w:spacing w:line="300" w:lineRule="exact"/>
                    <w:rPr>
                      <w:color w:val="auto"/>
                    </w:rPr>
                  </w:pPr>
                  <w:r>
                    <w:rPr>
                      <w:color w:val="auto"/>
                    </w:rPr>
                    <w:t>2</w:t>
                  </w:r>
                </w:p>
              </w:tc>
              <w:tc>
                <w:tcPr>
                  <w:tcW w:w="2358" w:type="pct"/>
                  <w:tcBorders>
                    <w:tl2br w:val="nil"/>
                    <w:tr2bl w:val="nil"/>
                  </w:tcBorders>
                  <w:shd w:val="clear" w:color="auto" w:fill="FFFFFF"/>
                  <w:vAlign w:val="center"/>
                </w:tcPr>
                <w:p w14:paraId="14A0B2AC">
                  <w:pPr>
                    <w:pStyle w:val="99"/>
                    <w:spacing w:line="300" w:lineRule="exact"/>
                    <w:rPr>
                      <w:color w:val="auto"/>
                    </w:rPr>
                  </w:pPr>
                  <w:r>
                    <w:rPr>
                      <w:rFonts w:hint="eastAsia"/>
                      <w:color w:val="auto"/>
                    </w:rPr>
                    <w:t>按照环境保护主管部门和相关制度规定依法履行环境保护义务，应通过</w:t>
                  </w:r>
                  <w:r>
                    <w:rPr>
                      <w:color w:val="auto"/>
                    </w:rPr>
                    <w:t>ISO环境管理体系认证</w:t>
                  </w:r>
                  <w:r>
                    <w:rPr>
                      <w:rFonts w:hint="eastAsia"/>
                      <w:color w:val="auto"/>
                    </w:rPr>
                    <w:t>。</w:t>
                  </w:r>
                </w:p>
              </w:tc>
              <w:tc>
                <w:tcPr>
                  <w:tcW w:w="1911" w:type="pct"/>
                  <w:tcBorders>
                    <w:tl2br w:val="nil"/>
                    <w:tr2bl w:val="nil"/>
                  </w:tcBorders>
                  <w:shd w:val="clear" w:color="auto" w:fill="FFFFFF"/>
                  <w:vAlign w:val="center"/>
                </w:tcPr>
                <w:p w14:paraId="284C5649">
                  <w:pPr>
                    <w:pStyle w:val="99"/>
                    <w:spacing w:line="300" w:lineRule="exact"/>
                    <w:rPr>
                      <w:color w:val="auto"/>
                    </w:rPr>
                  </w:pPr>
                  <w:r>
                    <w:rPr>
                      <w:rFonts w:hint="eastAsia"/>
                      <w:color w:val="auto"/>
                    </w:rPr>
                    <w:t>项目</w:t>
                  </w:r>
                  <w:r>
                    <w:rPr>
                      <w:color w:val="auto"/>
                    </w:rPr>
                    <w:commentReference w:id="9"/>
                  </w:r>
                  <w:r>
                    <w:rPr>
                      <w:rFonts w:hint="eastAsia"/>
                      <w:color w:val="auto"/>
                    </w:rPr>
                    <w:t>按照环境保护主管部门和相关制度规定依法履行环境保护义务，进行</w:t>
                  </w:r>
                  <w:r>
                    <w:rPr>
                      <w:color w:val="auto"/>
                    </w:rPr>
                    <w:t>ISO环境管理体系认证</w:t>
                  </w:r>
                  <w:r>
                    <w:rPr>
                      <w:rFonts w:hint="eastAsia"/>
                      <w:color w:val="auto"/>
                    </w:rPr>
                    <w:t>。</w:t>
                  </w:r>
                </w:p>
              </w:tc>
              <w:tc>
                <w:tcPr>
                  <w:tcW w:w="413" w:type="pct"/>
                  <w:tcBorders>
                    <w:tl2br w:val="nil"/>
                    <w:tr2bl w:val="nil"/>
                  </w:tcBorders>
                  <w:shd w:val="clear" w:color="auto" w:fill="FFFFFF"/>
                  <w:vAlign w:val="center"/>
                </w:tcPr>
                <w:p w14:paraId="60316C7C">
                  <w:pPr>
                    <w:pStyle w:val="99"/>
                    <w:spacing w:line="300" w:lineRule="exact"/>
                    <w:rPr>
                      <w:color w:val="auto"/>
                    </w:rPr>
                  </w:pPr>
                  <w:r>
                    <w:rPr>
                      <w:rFonts w:hint="eastAsia"/>
                      <w:color w:val="auto"/>
                    </w:rPr>
                    <w:t>符合</w:t>
                  </w:r>
                </w:p>
              </w:tc>
            </w:tr>
            <w:tr w14:paraId="2CD1F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316" w:type="pct"/>
                  <w:tcBorders>
                    <w:tl2br w:val="nil"/>
                    <w:tr2bl w:val="nil"/>
                  </w:tcBorders>
                  <w:shd w:val="clear" w:color="auto" w:fill="FFFFFF"/>
                  <w:vAlign w:val="center"/>
                </w:tcPr>
                <w:p w14:paraId="0801E81B">
                  <w:pPr>
                    <w:pStyle w:val="99"/>
                    <w:spacing w:line="300" w:lineRule="exact"/>
                    <w:rPr>
                      <w:color w:val="auto"/>
                    </w:rPr>
                  </w:pPr>
                  <w:r>
                    <w:rPr>
                      <w:color w:val="auto"/>
                    </w:rPr>
                    <w:t>3</w:t>
                  </w:r>
                </w:p>
              </w:tc>
              <w:tc>
                <w:tcPr>
                  <w:tcW w:w="2358" w:type="pct"/>
                  <w:tcBorders>
                    <w:tl2br w:val="nil"/>
                    <w:tr2bl w:val="nil"/>
                  </w:tcBorders>
                  <w:shd w:val="clear" w:color="auto" w:fill="FFFFFF"/>
                  <w:vAlign w:val="center"/>
                </w:tcPr>
                <w:p w14:paraId="438CE171">
                  <w:pPr>
                    <w:pStyle w:val="99"/>
                    <w:spacing w:line="300" w:lineRule="exact"/>
                    <w:rPr>
                      <w:color w:val="auto"/>
                    </w:rPr>
                  </w:pPr>
                  <w:r>
                    <w:rPr>
                      <w:rFonts w:hint="eastAsia"/>
                      <w:color w:val="auto"/>
                    </w:rPr>
                    <w:t>废钢铁加工配送企业应有雨水、生产废水、生活废水的收集和循环利用系统，废水经无害化处理后达标排放，或者排入城市污水集中处理系统处理；应有废油回收储存设备和相关处理措施。废钢铁加工配送企业应有突发环境事件或污染事件应急设施和处理预案，消防设施应达到国家相关要求。</w:t>
                  </w:r>
                </w:p>
              </w:tc>
              <w:tc>
                <w:tcPr>
                  <w:tcW w:w="1911" w:type="pct"/>
                  <w:tcBorders>
                    <w:tl2br w:val="nil"/>
                    <w:tr2bl w:val="nil"/>
                  </w:tcBorders>
                  <w:shd w:val="clear" w:color="auto" w:fill="FFFFFF"/>
                  <w:vAlign w:val="center"/>
                </w:tcPr>
                <w:p w14:paraId="217932D7">
                  <w:pPr>
                    <w:pStyle w:val="99"/>
                    <w:spacing w:line="300" w:lineRule="exact"/>
                    <w:rPr>
                      <w:color w:val="auto"/>
                    </w:rPr>
                  </w:pPr>
                  <w:r>
                    <w:rPr>
                      <w:rFonts w:hint="eastAsia"/>
                      <w:bCs/>
                      <w:color w:val="auto"/>
                      <w:sz w:val="21"/>
                      <w:szCs w:val="21"/>
                      <w:lang w:bidi="ar"/>
                    </w:rPr>
                    <w:t>清洗废水经一体化污水处理设施处理后</w:t>
                  </w:r>
                  <w:r>
                    <w:rPr>
                      <w:rFonts w:hint="eastAsia"/>
                      <w:color w:val="auto"/>
                      <w:sz w:val="21"/>
                      <w:lang w:val="en-US" w:eastAsia="zh-CN"/>
                    </w:rPr>
                    <w:t>用于厂区绿化、道路洒水</w:t>
                  </w:r>
                  <w:r>
                    <w:rPr>
                      <w:rFonts w:hint="eastAsia"/>
                      <w:color w:val="auto"/>
                    </w:rPr>
                    <w:t>，生活污水经化粪池处理后经园区污水管网排入蒙西工业园区</w:t>
                  </w:r>
                  <w:r>
                    <w:rPr>
                      <w:rFonts w:hint="eastAsia"/>
                      <w:color w:val="auto"/>
                      <w:lang w:val="en-US" w:eastAsia="zh-CN"/>
                    </w:rPr>
                    <w:t>生活</w:t>
                  </w:r>
                  <w:r>
                    <w:rPr>
                      <w:rFonts w:hint="eastAsia"/>
                      <w:color w:val="auto"/>
                    </w:rPr>
                    <w:t>污水处理厂；废机油等危废暂存于危废暂存间，定期交由有资质的单位处理；项目拟编制突发环境事件应急预案，并确保消防设施达到国家相关要求。</w:t>
                  </w:r>
                </w:p>
              </w:tc>
              <w:tc>
                <w:tcPr>
                  <w:tcW w:w="413" w:type="pct"/>
                  <w:tcBorders>
                    <w:tl2br w:val="nil"/>
                    <w:tr2bl w:val="nil"/>
                  </w:tcBorders>
                  <w:shd w:val="clear" w:color="auto" w:fill="FFFFFF"/>
                  <w:vAlign w:val="center"/>
                </w:tcPr>
                <w:p w14:paraId="2B7FAB87">
                  <w:pPr>
                    <w:pStyle w:val="99"/>
                    <w:spacing w:line="300" w:lineRule="exact"/>
                    <w:rPr>
                      <w:color w:val="auto"/>
                    </w:rPr>
                  </w:pPr>
                  <w:r>
                    <w:rPr>
                      <w:rFonts w:hint="eastAsia"/>
                      <w:color w:val="auto"/>
                    </w:rPr>
                    <w:t>符合</w:t>
                  </w:r>
                </w:p>
              </w:tc>
            </w:tr>
            <w:tr w14:paraId="17D60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3D8E2DC6">
                  <w:pPr>
                    <w:pStyle w:val="99"/>
                    <w:spacing w:line="300" w:lineRule="exact"/>
                    <w:rPr>
                      <w:color w:val="auto"/>
                    </w:rPr>
                  </w:pPr>
                  <w:r>
                    <w:rPr>
                      <w:rFonts w:hint="eastAsia"/>
                      <w:color w:val="auto"/>
                    </w:rPr>
                    <w:t>六</w:t>
                  </w:r>
                </w:p>
              </w:tc>
              <w:tc>
                <w:tcPr>
                  <w:tcW w:w="4683" w:type="pct"/>
                  <w:gridSpan w:val="3"/>
                  <w:tcBorders>
                    <w:tl2br w:val="nil"/>
                    <w:tr2bl w:val="nil"/>
                  </w:tcBorders>
                  <w:shd w:val="clear" w:color="auto" w:fill="FFFFFF"/>
                  <w:vAlign w:val="center"/>
                </w:tcPr>
                <w:p w14:paraId="7FCFF3C5">
                  <w:pPr>
                    <w:pStyle w:val="99"/>
                    <w:spacing w:line="300" w:lineRule="exact"/>
                    <w:rPr>
                      <w:color w:val="auto"/>
                    </w:rPr>
                  </w:pPr>
                  <w:r>
                    <w:rPr>
                      <w:rFonts w:hint="eastAsia"/>
                      <w:color w:val="auto"/>
                    </w:rPr>
                    <w:t>人员培训</w:t>
                  </w:r>
                </w:p>
              </w:tc>
            </w:tr>
            <w:tr w14:paraId="50B6B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6" w:type="pct"/>
                  <w:tcBorders>
                    <w:tl2br w:val="nil"/>
                    <w:tr2bl w:val="nil"/>
                  </w:tcBorders>
                  <w:shd w:val="clear" w:color="auto" w:fill="FFFFFF"/>
                  <w:vAlign w:val="center"/>
                </w:tcPr>
                <w:p w14:paraId="0BF777A8">
                  <w:pPr>
                    <w:pStyle w:val="99"/>
                    <w:spacing w:line="320" w:lineRule="exact"/>
                    <w:rPr>
                      <w:color w:val="auto"/>
                    </w:rPr>
                  </w:pPr>
                  <w:r>
                    <w:rPr>
                      <w:color w:val="auto"/>
                    </w:rPr>
                    <w:t>1</w:t>
                  </w:r>
                </w:p>
              </w:tc>
              <w:tc>
                <w:tcPr>
                  <w:tcW w:w="2358" w:type="pct"/>
                  <w:tcBorders>
                    <w:tl2br w:val="nil"/>
                    <w:tr2bl w:val="nil"/>
                  </w:tcBorders>
                  <w:shd w:val="clear" w:color="auto" w:fill="FFFFFF"/>
                  <w:vAlign w:val="center"/>
                </w:tcPr>
                <w:p w14:paraId="2321628D">
                  <w:pPr>
                    <w:pStyle w:val="99"/>
                    <w:spacing w:line="320" w:lineRule="exact"/>
                    <w:rPr>
                      <w:color w:val="auto"/>
                    </w:rPr>
                  </w:pPr>
                  <w:r>
                    <w:rPr>
                      <w:rFonts w:hint="eastAsia"/>
                      <w:color w:val="auto"/>
                    </w:rPr>
                    <w:t>废钢铁加工配送企业应制定完善的岗位操作守则和工作流程，明确人员岗位责任和工作权限，对大型切粒机、门式剪切机、抓钢机等大型设备操作人员和质量检验等关键岗位人员必须进行相关岗位技能培训，取得相关部门或机构颁发的对应工种职业技能证书，逐步实行持证上岗制度。鼓励企业组织人员参加行业培训，提高企业人员素质。</w:t>
                  </w:r>
                </w:p>
              </w:tc>
              <w:tc>
                <w:tcPr>
                  <w:tcW w:w="1911" w:type="pct"/>
                  <w:tcBorders>
                    <w:tl2br w:val="nil"/>
                    <w:tr2bl w:val="nil"/>
                  </w:tcBorders>
                  <w:shd w:val="clear" w:color="auto" w:fill="FFFFFF"/>
                  <w:vAlign w:val="center"/>
                </w:tcPr>
                <w:p w14:paraId="3B2BF789">
                  <w:pPr>
                    <w:pStyle w:val="99"/>
                    <w:spacing w:line="320" w:lineRule="exact"/>
                    <w:rPr>
                      <w:color w:val="auto"/>
                    </w:rPr>
                  </w:pPr>
                  <w:r>
                    <w:rPr>
                      <w:rFonts w:hint="eastAsia"/>
                      <w:color w:val="auto"/>
                    </w:rPr>
                    <w:t>项目</w:t>
                  </w:r>
                  <w:commentRangeStart w:id="10"/>
                  <w:r>
                    <w:rPr>
                      <w:rFonts w:hint="eastAsia"/>
                      <w:color w:val="auto"/>
                    </w:rPr>
                    <w:t>制</w:t>
                  </w:r>
                  <w:commentRangeEnd w:id="10"/>
                  <w:r>
                    <w:rPr>
                      <w:color w:val="auto"/>
                    </w:rPr>
                    <w:commentReference w:id="10"/>
                  </w:r>
                  <w:r>
                    <w:rPr>
                      <w:rFonts w:hint="eastAsia"/>
                      <w:color w:val="auto"/>
                    </w:rPr>
                    <w:t>定完善的岗位操作守则和工作流程，明确人员岗位责任和工作权限，对切粒机、门式剪板机等大型设备操作人员和质量检验等关键培训，取得相关部门或机构颁发的对应工种职业技能证书，逐步实行特征上岗制度。组织人员参加行业培训，提高企业人员素质。</w:t>
                  </w:r>
                </w:p>
              </w:tc>
              <w:tc>
                <w:tcPr>
                  <w:tcW w:w="413" w:type="pct"/>
                  <w:tcBorders>
                    <w:tl2br w:val="nil"/>
                    <w:tr2bl w:val="nil"/>
                  </w:tcBorders>
                  <w:shd w:val="clear" w:color="auto" w:fill="FFFFFF"/>
                  <w:vAlign w:val="center"/>
                </w:tcPr>
                <w:p w14:paraId="663633CB">
                  <w:pPr>
                    <w:pStyle w:val="99"/>
                    <w:spacing w:line="320" w:lineRule="exact"/>
                    <w:rPr>
                      <w:color w:val="auto"/>
                    </w:rPr>
                  </w:pPr>
                  <w:r>
                    <w:rPr>
                      <w:rFonts w:hint="eastAsia"/>
                      <w:color w:val="auto"/>
                    </w:rPr>
                    <w:t>符合</w:t>
                  </w:r>
                </w:p>
              </w:tc>
            </w:tr>
          </w:tbl>
          <w:p w14:paraId="5A283F96">
            <w:pPr>
              <w:numPr>
                <w:ilvl w:val="255"/>
                <w:numId w:val="0"/>
              </w:numPr>
              <w:autoSpaceDE w:val="0"/>
              <w:autoSpaceDN w:val="0"/>
              <w:adjustRightInd w:val="0"/>
              <w:snapToGrid w:val="0"/>
              <w:spacing w:line="500" w:lineRule="exact"/>
              <w:ind w:firstLine="480" w:firstLineChars="200"/>
              <w:jc w:val="left"/>
              <w:rPr>
                <w:color w:val="auto"/>
                <w:kern w:val="0"/>
              </w:rPr>
            </w:pPr>
            <w:r>
              <w:rPr>
                <w:rFonts w:hint="eastAsia"/>
                <w:color w:val="auto"/>
              </w:rPr>
              <w:t>综上所述，项目在落实环保措施以及各项管理制度的前提下，符合《废钢加工行业准入条件》相关要求。</w:t>
            </w:r>
          </w:p>
          <w:p w14:paraId="02D01192">
            <w:pPr>
              <w:pStyle w:val="98"/>
              <w:widowControl/>
              <w:spacing w:line="500" w:lineRule="exact"/>
              <w:ind w:firstLine="482"/>
              <w:rPr>
                <w:b/>
                <w:bCs/>
                <w:color w:val="auto"/>
              </w:rPr>
            </w:pPr>
            <w:r>
              <w:rPr>
                <w:rFonts w:hint="eastAsia"/>
                <w:b/>
                <w:bCs/>
                <w:color w:val="auto"/>
              </w:rPr>
              <w:t>1.4选址合理性分析</w:t>
            </w:r>
          </w:p>
          <w:p w14:paraId="355E555A">
            <w:pPr>
              <w:numPr>
                <w:ilvl w:val="255"/>
                <w:numId w:val="0"/>
              </w:numPr>
              <w:autoSpaceDE w:val="0"/>
              <w:autoSpaceDN w:val="0"/>
              <w:adjustRightInd w:val="0"/>
              <w:snapToGrid w:val="0"/>
              <w:spacing w:line="500" w:lineRule="exact"/>
              <w:ind w:firstLine="480" w:firstLineChars="200"/>
              <w:jc w:val="left"/>
              <w:rPr>
                <w:rFonts w:hint="eastAsia" w:ascii="宋体" w:hAnsi="宋体" w:cs="宋体"/>
                <w:color w:val="auto"/>
              </w:rPr>
            </w:pPr>
            <w:r>
              <w:rPr>
                <w:rFonts w:hint="eastAsia" w:ascii="宋体" w:hAnsi="宋体" w:cs="宋体"/>
                <w:bCs/>
                <w:color w:val="auto"/>
              </w:rPr>
              <w:t>本项目位于</w:t>
            </w:r>
            <w:r>
              <w:rPr>
                <w:rFonts w:hint="eastAsia"/>
                <w:color w:val="auto"/>
              </w:rPr>
              <w:t>蒙西产业园内</w:t>
            </w:r>
            <w:r>
              <w:rPr>
                <w:rFonts w:hint="eastAsia" w:ascii="宋体" w:hAnsi="宋体" w:cs="宋体"/>
                <w:color w:val="auto"/>
              </w:rPr>
              <w:t>，</w:t>
            </w:r>
            <w:r>
              <w:rPr>
                <w:rFonts w:hint="eastAsia"/>
                <w:color w:val="auto"/>
              </w:rPr>
              <w:t>为废钢综合利用项目，属于铸造企业的上游产业</w:t>
            </w:r>
            <w:r>
              <w:rPr>
                <w:rFonts w:hint="eastAsia"/>
                <w:color w:val="auto"/>
                <w:kern w:val="0"/>
              </w:rPr>
              <w:t>，符合园区产业定位；</w:t>
            </w:r>
            <w:r>
              <w:rPr>
                <w:rFonts w:hint="eastAsia" w:ascii="宋体" w:hAnsi="宋体" w:cs="宋体"/>
                <w:color w:val="auto"/>
              </w:rPr>
              <w:t>占地类型属于工业用地，符合园区用地规划。</w:t>
            </w:r>
          </w:p>
          <w:p w14:paraId="7798C7C1">
            <w:pPr>
              <w:numPr>
                <w:ilvl w:val="255"/>
                <w:numId w:val="0"/>
              </w:numPr>
              <w:autoSpaceDE w:val="0"/>
              <w:autoSpaceDN w:val="0"/>
              <w:adjustRightInd w:val="0"/>
              <w:snapToGrid w:val="0"/>
              <w:spacing w:line="500" w:lineRule="exact"/>
              <w:ind w:firstLine="480" w:firstLineChars="200"/>
              <w:jc w:val="left"/>
              <w:rPr>
                <w:rFonts w:hint="eastAsia" w:ascii="宋体" w:hAnsi="宋体" w:cs="宋体"/>
                <w:bCs/>
                <w:color w:val="auto"/>
              </w:rPr>
            </w:pPr>
            <w:r>
              <w:rPr>
                <w:rFonts w:hint="eastAsia" w:ascii="宋体" w:hAnsi="宋体" w:cs="宋体"/>
                <w:bCs/>
                <w:color w:val="auto"/>
              </w:rPr>
              <w:t>根据</w:t>
            </w:r>
            <w:r>
              <w:rPr>
                <w:rFonts w:hint="eastAsia"/>
                <w:color w:val="auto"/>
              </w:rPr>
              <w:t>《鄂托克旗文化和旅游局关于项目区域内文物调查意见的复函》（</w:t>
            </w:r>
            <w:r>
              <w:rPr>
                <w:color w:val="auto"/>
              </w:rPr>
              <w:t>附件</w:t>
            </w:r>
            <w:r>
              <w:rPr>
                <w:rFonts w:hint="eastAsia"/>
                <w:color w:val="auto"/>
              </w:rPr>
              <w:t>7），项目用地范围地表未发现文物遗迹，未涉及世界自然文化遗产地，同意该项目建设。</w:t>
            </w:r>
          </w:p>
          <w:p w14:paraId="412C9311">
            <w:pPr>
              <w:adjustRightInd w:val="0"/>
              <w:snapToGrid w:val="0"/>
              <w:spacing w:line="500" w:lineRule="exact"/>
              <w:ind w:firstLine="480" w:firstLineChars="200"/>
              <w:rPr>
                <w:rFonts w:hint="default" w:eastAsia="宋体"/>
                <w:color w:val="auto"/>
                <w:lang w:val="en-US" w:eastAsia="zh-CN"/>
              </w:rPr>
            </w:pPr>
            <w:r>
              <w:rPr>
                <w:rFonts w:hint="eastAsia"/>
                <w:color w:val="auto"/>
                <w:lang w:val="en-US" w:eastAsia="zh-CN"/>
              </w:rPr>
              <w:t>根据《鄂托克旗水利局关于复核项目位置的函》</w:t>
            </w:r>
            <w:r>
              <w:rPr>
                <w:rFonts w:hint="eastAsia"/>
                <w:color w:val="auto"/>
              </w:rPr>
              <w:t>（</w:t>
            </w:r>
            <w:r>
              <w:rPr>
                <w:color w:val="auto"/>
              </w:rPr>
              <w:t>附件</w:t>
            </w:r>
            <w:r>
              <w:rPr>
                <w:rFonts w:hint="eastAsia"/>
                <w:color w:val="auto"/>
                <w:lang w:val="en-US" w:eastAsia="zh-CN"/>
              </w:rPr>
              <w:t>8</w:t>
            </w:r>
            <w:r>
              <w:rPr>
                <w:rFonts w:hint="eastAsia"/>
                <w:color w:val="auto"/>
              </w:rPr>
              <w:t>）</w:t>
            </w:r>
            <w:r>
              <w:rPr>
                <w:rFonts w:hint="eastAsia"/>
                <w:color w:val="auto"/>
                <w:lang w:val="en-US" w:eastAsia="zh-CN"/>
              </w:rPr>
              <w:t>，项目不在已划定河道管理范围内。</w:t>
            </w:r>
          </w:p>
          <w:p w14:paraId="4A9A3D6A">
            <w:pPr>
              <w:adjustRightInd w:val="0"/>
              <w:snapToGrid w:val="0"/>
              <w:spacing w:line="500" w:lineRule="exact"/>
              <w:ind w:firstLine="480" w:firstLineChars="200"/>
              <w:rPr>
                <w:color w:val="auto"/>
              </w:rPr>
            </w:pPr>
            <w:r>
              <w:rPr>
                <w:color w:val="auto"/>
              </w:rPr>
              <w:t>经实地踏勘和查阅相关资料，项目用地不涉及各级自然保护区，不涉及生态保护红线，不涉及占用永久基本农田。项目评价区域范围内无风景名胜区、水源地保护区、生态敏感点和其他需要特殊保护的敏感目标。</w:t>
            </w:r>
          </w:p>
          <w:p w14:paraId="33A7D939">
            <w:pPr>
              <w:adjustRightInd w:val="0"/>
              <w:snapToGrid w:val="0"/>
              <w:spacing w:line="500" w:lineRule="exact"/>
              <w:ind w:firstLine="480" w:firstLineChars="200"/>
              <w:rPr>
                <w:rFonts w:hint="eastAsia" w:ascii="宋体" w:hAnsi="宋体" w:cs="宋体"/>
                <w:color w:val="auto"/>
              </w:rPr>
            </w:pPr>
            <w:r>
              <w:rPr>
                <w:color w:val="auto"/>
              </w:rPr>
              <w:t>项目场地周边500m范围内</w:t>
            </w:r>
            <w:r>
              <w:rPr>
                <w:rFonts w:hint="eastAsia"/>
                <w:color w:val="auto"/>
              </w:rPr>
              <w:t>无居民。</w:t>
            </w:r>
            <w:r>
              <w:rPr>
                <w:color w:val="auto"/>
              </w:rPr>
              <w:t>经工程分析可知，本项目运营期产生废气、</w:t>
            </w:r>
            <w:r>
              <w:rPr>
                <w:rFonts w:hint="eastAsia"/>
                <w:color w:val="auto"/>
              </w:rPr>
              <w:t>废水、</w:t>
            </w:r>
            <w:r>
              <w:rPr>
                <w:color w:val="auto"/>
              </w:rPr>
              <w:t>噪声均可达标排放，同时固废也得到妥善处置</w:t>
            </w:r>
            <w:r>
              <w:rPr>
                <w:rFonts w:hint="eastAsia"/>
                <w:color w:val="auto"/>
              </w:rPr>
              <w:t>，</w:t>
            </w:r>
            <w:r>
              <w:rPr>
                <w:color w:val="auto"/>
              </w:rPr>
              <w:t>项目的建设对周围环境及敏感目标影响较小。</w:t>
            </w:r>
          </w:p>
          <w:p w14:paraId="7B8F7EA4">
            <w:pPr>
              <w:numPr>
                <w:ilvl w:val="255"/>
                <w:numId w:val="0"/>
              </w:numPr>
              <w:autoSpaceDE w:val="0"/>
              <w:autoSpaceDN w:val="0"/>
              <w:adjustRightInd w:val="0"/>
              <w:snapToGrid w:val="0"/>
              <w:spacing w:line="500" w:lineRule="exact"/>
              <w:ind w:firstLine="480" w:firstLineChars="200"/>
              <w:jc w:val="left"/>
              <w:rPr>
                <w:rFonts w:hint="eastAsia" w:ascii="宋体" w:hAnsi="宋体" w:cs="宋体"/>
                <w:bCs/>
                <w:color w:val="auto"/>
              </w:rPr>
            </w:pPr>
            <w:r>
              <w:rPr>
                <w:rFonts w:hint="eastAsia" w:ascii="宋体" w:hAnsi="宋体" w:cs="宋体"/>
                <w:bCs/>
                <w:color w:val="auto"/>
              </w:rPr>
              <w:t>综上所述，从环保角度分析，本项目选址合理。</w:t>
            </w:r>
          </w:p>
          <w:p w14:paraId="129010ED">
            <w:pPr>
              <w:numPr>
                <w:ilvl w:val="255"/>
                <w:numId w:val="0"/>
              </w:numPr>
              <w:autoSpaceDE w:val="0"/>
              <w:autoSpaceDN w:val="0"/>
              <w:adjustRightInd w:val="0"/>
              <w:snapToGrid w:val="0"/>
              <w:spacing w:line="500" w:lineRule="exact"/>
              <w:ind w:firstLine="480" w:firstLineChars="200"/>
              <w:jc w:val="left"/>
              <w:rPr>
                <w:rFonts w:hint="eastAsia" w:ascii="宋体" w:hAnsi="宋体" w:cs="宋体"/>
                <w:bCs/>
                <w:color w:val="auto"/>
              </w:rPr>
            </w:pPr>
          </w:p>
          <w:p w14:paraId="0DBD90AA">
            <w:pPr>
              <w:numPr>
                <w:ilvl w:val="255"/>
                <w:numId w:val="0"/>
              </w:numPr>
              <w:autoSpaceDE w:val="0"/>
              <w:autoSpaceDN w:val="0"/>
              <w:adjustRightInd w:val="0"/>
              <w:snapToGrid w:val="0"/>
              <w:spacing w:line="500" w:lineRule="exact"/>
              <w:ind w:firstLine="480" w:firstLineChars="200"/>
              <w:jc w:val="left"/>
              <w:rPr>
                <w:rFonts w:hint="eastAsia" w:ascii="宋体" w:hAnsi="宋体" w:cs="宋体"/>
                <w:bCs/>
                <w:color w:val="auto"/>
              </w:rPr>
            </w:pPr>
          </w:p>
          <w:p w14:paraId="13B5687F">
            <w:pPr>
              <w:numPr>
                <w:ilvl w:val="255"/>
                <w:numId w:val="0"/>
              </w:numPr>
              <w:autoSpaceDE w:val="0"/>
              <w:autoSpaceDN w:val="0"/>
              <w:adjustRightInd w:val="0"/>
              <w:snapToGrid w:val="0"/>
              <w:spacing w:line="500" w:lineRule="exact"/>
              <w:ind w:firstLine="480" w:firstLineChars="200"/>
              <w:jc w:val="left"/>
              <w:rPr>
                <w:rFonts w:hint="eastAsia" w:ascii="宋体" w:hAnsi="宋体" w:cs="宋体"/>
                <w:bCs/>
                <w:color w:val="auto"/>
              </w:rPr>
            </w:pPr>
          </w:p>
          <w:p w14:paraId="0E8F6C65">
            <w:pPr>
              <w:numPr>
                <w:ilvl w:val="255"/>
                <w:numId w:val="0"/>
              </w:numPr>
              <w:autoSpaceDE w:val="0"/>
              <w:autoSpaceDN w:val="0"/>
              <w:adjustRightInd w:val="0"/>
              <w:snapToGrid w:val="0"/>
              <w:ind w:firstLine="480" w:firstLineChars="200"/>
              <w:jc w:val="left"/>
              <w:rPr>
                <w:rFonts w:hint="eastAsia"/>
                <w:color w:val="auto"/>
                <w:kern w:val="0"/>
                <w:lang w:eastAsia="zh-CN"/>
              </w:rPr>
            </w:pPr>
          </w:p>
          <w:p w14:paraId="126A6ACE">
            <w:pPr>
              <w:numPr>
                <w:ilvl w:val="255"/>
                <w:numId w:val="0"/>
              </w:numPr>
              <w:autoSpaceDE w:val="0"/>
              <w:autoSpaceDN w:val="0"/>
              <w:adjustRightInd w:val="0"/>
              <w:snapToGrid w:val="0"/>
              <w:ind w:firstLine="480" w:firstLineChars="200"/>
              <w:jc w:val="left"/>
              <w:rPr>
                <w:rFonts w:hint="eastAsia"/>
                <w:color w:val="auto"/>
                <w:kern w:val="0"/>
                <w:lang w:eastAsia="zh-CN"/>
              </w:rPr>
            </w:pPr>
          </w:p>
          <w:p w14:paraId="43BF74C4">
            <w:pPr>
              <w:numPr>
                <w:ilvl w:val="255"/>
                <w:numId w:val="0"/>
              </w:numPr>
              <w:autoSpaceDE w:val="0"/>
              <w:autoSpaceDN w:val="0"/>
              <w:adjustRightInd w:val="0"/>
              <w:snapToGrid w:val="0"/>
              <w:ind w:firstLine="480" w:firstLineChars="200"/>
              <w:jc w:val="left"/>
              <w:rPr>
                <w:rFonts w:hint="eastAsia"/>
                <w:color w:val="auto"/>
                <w:kern w:val="0"/>
                <w:lang w:eastAsia="zh-CN"/>
              </w:rPr>
            </w:pPr>
          </w:p>
          <w:p w14:paraId="1D0D46C4">
            <w:pPr>
              <w:numPr>
                <w:ilvl w:val="255"/>
                <w:numId w:val="0"/>
              </w:numPr>
              <w:autoSpaceDE w:val="0"/>
              <w:autoSpaceDN w:val="0"/>
              <w:adjustRightInd w:val="0"/>
              <w:snapToGrid w:val="0"/>
              <w:ind w:firstLine="480" w:firstLineChars="200"/>
              <w:jc w:val="left"/>
              <w:rPr>
                <w:rFonts w:hint="eastAsia"/>
                <w:color w:val="auto"/>
                <w:kern w:val="0"/>
                <w:lang w:eastAsia="zh-CN"/>
              </w:rPr>
            </w:pPr>
          </w:p>
          <w:p w14:paraId="1D46BA8B">
            <w:pPr>
              <w:numPr>
                <w:ilvl w:val="255"/>
                <w:numId w:val="0"/>
              </w:numPr>
              <w:autoSpaceDE w:val="0"/>
              <w:autoSpaceDN w:val="0"/>
              <w:adjustRightInd w:val="0"/>
              <w:snapToGrid w:val="0"/>
              <w:ind w:firstLine="480" w:firstLineChars="200"/>
              <w:jc w:val="left"/>
              <w:rPr>
                <w:rFonts w:hint="eastAsia"/>
                <w:color w:val="auto"/>
                <w:kern w:val="0"/>
                <w:lang w:eastAsia="zh-CN"/>
              </w:rPr>
            </w:pPr>
          </w:p>
          <w:p w14:paraId="4681FD9A">
            <w:pPr>
              <w:numPr>
                <w:ilvl w:val="255"/>
                <w:numId w:val="0"/>
              </w:numPr>
              <w:autoSpaceDE w:val="0"/>
              <w:autoSpaceDN w:val="0"/>
              <w:adjustRightInd w:val="0"/>
              <w:snapToGrid w:val="0"/>
              <w:ind w:firstLine="480" w:firstLineChars="200"/>
              <w:jc w:val="left"/>
              <w:rPr>
                <w:rFonts w:hint="eastAsia" w:eastAsia="宋体"/>
                <w:color w:val="auto"/>
                <w:kern w:val="0"/>
                <w:lang w:eastAsia="zh-CN"/>
              </w:rPr>
            </w:pPr>
          </w:p>
        </w:tc>
      </w:tr>
    </w:tbl>
    <w:p w14:paraId="001A8640">
      <w:pPr>
        <w:spacing w:line="360" w:lineRule="auto"/>
        <w:rPr>
          <w:color w:val="auto"/>
        </w:rPr>
        <w:sectPr>
          <w:footerReference r:id="rId8" w:type="default"/>
          <w:pgSz w:w="11906" w:h="16838"/>
          <w:pgMar w:top="1417" w:right="1417" w:bottom="1417" w:left="1417" w:header="851" w:footer="1077" w:gutter="0"/>
          <w:pgBorders>
            <w:top w:val="none" w:sz="0" w:space="0"/>
            <w:left w:val="none" w:sz="0" w:space="0"/>
            <w:bottom w:val="none" w:sz="0" w:space="0"/>
            <w:right w:val="none" w:sz="0" w:space="0"/>
          </w:pgBorders>
          <w:pgNumType w:start="1"/>
          <w:cols w:space="0" w:num="1"/>
          <w:docGrid w:linePitch="312" w:charSpace="0"/>
        </w:sectPr>
      </w:pPr>
    </w:p>
    <w:p w14:paraId="22600EEA">
      <w:pPr>
        <w:pStyle w:val="21"/>
        <w:jc w:val="center"/>
        <w:outlineLvl w:val="0"/>
        <w:rPr>
          <w:rFonts w:ascii="Times New Roman" w:hAnsi="Times New Roman"/>
          <w:b/>
          <w:bCs/>
          <w:snapToGrid w:val="0"/>
          <w:color w:val="auto"/>
          <w:sz w:val="30"/>
          <w:szCs w:val="30"/>
        </w:rPr>
      </w:pPr>
      <w:r>
        <w:rPr>
          <w:rFonts w:ascii="Times New Roman" w:hAnsi="Times New Roman"/>
          <w:b/>
          <w:bCs/>
          <w:snapToGrid w:val="0"/>
          <w:color w:val="auto"/>
          <w:sz w:val="30"/>
          <w:szCs w:val="30"/>
        </w:rPr>
        <w:t>二、建设项目工程分析</w:t>
      </w:r>
    </w:p>
    <w:tbl>
      <w:tblPr>
        <w:tblStyle w:val="25"/>
        <w:tblW w:w="929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43"/>
        <w:gridCol w:w="8853"/>
      </w:tblGrid>
      <w:tr w14:paraId="7AF6A5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00" w:hRule="atLeast"/>
          <w:jc w:val="center"/>
        </w:trPr>
        <w:tc>
          <w:tcPr>
            <w:tcW w:w="443" w:type="dxa"/>
            <w:tcBorders>
              <w:tl2br w:val="nil"/>
              <w:tr2bl w:val="nil"/>
            </w:tcBorders>
            <w:vAlign w:val="center"/>
          </w:tcPr>
          <w:p w14:paraId="5A671E3D">
            <w:pPr>
              <w:pStyle w:val="21"/>
              <w:adjustRightInd w:val="0"/>
              <w:snapToGrid w:val="0"/>
              <w:spacing w:before="0" w:beforeAutospacing="0" w:after="0" w:afterAutospacing="0"/>
              <w:jc w:val="center"/>
              <w:rPr>
                <w:rFonts w:ascii="Times New Roman" w:hAnsi="Times New Roman"/>
                <w:color w:val="auto"/>
                <w:szCs w:val="24"/>
              </w:rPr>
            </w:pPr>
            <w:r>
              <w:rPr>
                <w:rFonts w:ascii="Times New Roman" w:hAnsi="Times New Roman"/>
                <w:color w:val="auto"/>
                <w:szCs w:val="24"/>
              </w:rPr>
              <w:t>建设内容</w:t>
            </w:r>
          </w:p>
        </w:tc>
        <w:tc>
          <w:tcPr>
            <w:tcW w:w="8853" w:type="dxa"/>
            <w:tcBorders>
              <w:tl2br w:val="nil"/>
              <w:tr2bl w:val="nil"/>
            </w:tcBorders>
          </w:tcPr>
          <w:p w14:paraId="5677CF53">
            <w:pPr>
              <w:widowControl/>
              <w:spacing w:line="480" w:lineRule="exact"/>
              <w:ind w:firstLine="482" w:firstLineChars="200"/>
              <w:rPr>
                <w:b/>
                <w:bCs/>
                <w:color w:val="auto"/>
              </w:rPr>
            </w:pPr>
            <w:r>
              <w:rPr>
                <w:rFonts w:hint="eastAsia"/>
                <w:b/>
                <w:bCs/>
                <w:color w:val="auto"/>
              </w:rPr>
              <w:t>1、项目概况</w:t>
            </w:r>
          </w:p>
          <w:p w14:paraId="4D59854F">
            <w:pPr>
              <w:spacing w:line="480" w:lineRule="exact"/>
              <w:ind w:firstLine="480" w:firstLineChars="200"/>
              <w:rPr>
                <w:rFonts w:cs="宋体"/>
                <w:color w:val="auto"/>
              </w:rPr>
            </w:pPr>
            <w:r>
              <w:rPr>
                <w:rFonts w:hint="eastAsia" w:cs="宋体"/>
                <w:color w:val="auto"/>
              </w:rPr>
              <w:t>项目名称：</w:t>
            </w:r>
            <w:r>
              <w:rPr>
                <w:rFonts w:hint="eastAsia"/>
                <w:color w:val="auto"/>
              </w:rPr>
              <w:t>内蒙古华泽装备制造有限公司金属再生资源综合利用项目</w:t>
            </w:r>
          </w:p>
          <w:p w14:paraId="7E5BFF96">
            <w:pPr>
              <w:spacing w:line="480" w:lineRule="exact"/>
              <w:ind w:firstLine="480" w:firstLineChars="200"/>
              <w:rPr>
                <w:rFonts w:cs="宋体"/>
                <w:color w:val="auto"/>
              </w:rPr>
            </w:pPr>
            <w:r>
              <w:rPr>
                <w:rFonts w:hint="eastAsia" w:cs="宋体"/>
                <w:color w:val="auto"/>
              </w:rPr>
              <w:t>建设单位：</w:t>
            </w:r>
            <w:r>
              <w:rPr>
                <w:rFonts w:hint="eastAsia"/>
                <w:color w:val="auto"/>
              </w:rPr>
              <w:t>内蒙古华泽装备制造有限公司</w:t>
            </w:r>
          </w:p>
          <w:p w14:paraId="2A69202B">
            <w:pPr>
              <w:spacing w:line="480" w:lineRule="exact"/>
              <w:ind w:firstLine="480" w:firstLineChars="200"/>
              <w:rPr>
                <w:rFonts w:cs="宋体"/>
                <w:color w:val="auto"/>
              </w:rPr>
            </w:pPr>
            <w:r>
              <w:rPr>
                <w:rFonts w:hint="eastAsia" w:cs="宋体"/>
                <w:color w:val="auto"/>
              </w:rPr>
              <w:t>项目性质：新建</w:t>
            </w:r>
          </w:p>
          <w:p w14:paraId="46B9144A">
            <w:pPr>
              <w:spacing w:line="480" w:lineRule="exact"/>
              <w:ind w:firstLine="480" w:firstLineChars="200"/>
              <w:rPr>
                <w:rFonts w:cs="宋体"/>
                <w:color w:val="auto"/>
              </w:rPr>
            </w:pPr>
            <w:r>
              <w:rPr>
                <w:rFonts w:hint="eastAsia" w:cs="宋体"/>
                <w:color w:val="auto"/>
              </w:rPr>
              <w:t>建设地点及周边环境概况：建设项目位于</w:t>
            </w:r>
            <w:r>
              <w:rPr>
                <w:rFonts w:hint="eastAsia"/>
                <w:color w:val="auto"/>
              </w:rPr>
              <w:t>鄂尔多斯市鄂托克经济开发区蒙西产业园</w:t>
            </w:r>
            <w:r>
              <w:rPr>
                <w:rFonts w:hint="eastAsia"/>
                <w:color w:val="auto"/>
                <w:szCs w:val="21"/>
                <w:lang w:val="zh-CN"/>
              </w:rPr>
              <w:t>，</w:t>
            </w:r>
            <w:r>
              <w:rPr>
                <w:rFonts w:hint="eastAsia" w:cs="宋体"/>
                <w:color w:val="auto"/>
              </w:rPr>
              <w:t>中心地理坐标为东经</w:t>
            </w:r>
            <w:r>
              <w:rPr>
                <w:rFonts w:hint="eastAsia"/>
                <w:color w:val="auto"/>
              </w:rPr>
              <w:t>106°45′59.602″</w:t>
            </w:r>
            <w:r>
              <w:rPr>
                <w:rFonts w:hint="eastAsia" w:cs="宋体"/>
                <w:color w:val="auto"/>
              </w:rPr>
              <w:t>，北纬</w:t>
            </w:r>
            <w:r>
              <w:rPr>
                <w:rFonts w:hint="eastAsia"/>
                <w:color w:val="auto"/>
              </w:rPr>
              <w:t>39°53′0.744″</w:t>
            </w:r>
            <w:r>
              <w:rPr>
                <w:rFonts w:hint="eastAsia" w:cs="宋体"/>
                <w:color w:val="auto"/>
              </w:rPr>
              <w:t>，项目四周均为空地。项目地理位置见附图1，</w:t>
            </w:r>
            <w:r>
              <w:rPr>
                <w:color w:val="auto"/>
              </w:rPr>
              <w:t>项目区现状和周边现状见附图</w:t>
            </w:r>
            <w:r>
              <w:rPr>
                <w:rFonts w:hint="eastAsia" w:cs="宋体"/>
                <w:color w:val="auto"/>
              </w:rPr>
              <w:t>2。</w:t>
            </w:r>
          </w:p>
          <w:p w14:paraId="162AEE07">
            <w:pPr>
              <w:spacing w:line="480" w:lineRule="exact"/>
              <w:ind w:firstLine="480" w:firstLineChars="200"/>
              <w:rPr>
                <w:rFonts w:cs="宋体"/>
                <w:color w:val="auto"/>
              </w:rPr>
            </w:pPr>
            <w:r>
              <w:rPr>
                <w:rFonts w:hint="eastAsia" w:cs="宋体"/>
                <w:color w:val="auto"/>
              </w:rPr>
              <w:t>建设周期：本项目建设周期为12个月。</w:t>
            </w:r>
          </w:p>
          <w:p w14:paraId="07FA36C6">
            <w:pPr>
              <w:spacing w:line="480" w:lineRule="exact"/>
              <w:ind w:firstLine="480" w:firstLineChars="200"/>
              <w:rPr>
                <w:rFonts w:cs="宋体"/>
                <w:color w:val="auto"/>
                <w:highlight w:val="yellow"/>
              </w:rPr>
            </w:pPr>
            <w:r>
              <w:rPr>
                <w:rFonts w:hint="eastAsia" w:cs="宋体"/>
                <w:color w:val="auto"/>
              </w:rPr>
              <w:t>投资总额：本工程总投资为</w:t>
            </w:r>
            <w:r>
              <w:rPr>
                <w:color w:val="auto"/>
              </w:rPr>
              <w:t>36585</w:t>
            </w:r>
            <w:r>
              <w:rPr>
                <w:rFonts w:hint="eastAsia" w:cs="宋体"/>
                <w:color w:val="auto"/>
              </w:rPr>
              <w:t>万元，其中环保投资2</w:t>
            </w:r>
            <w:r>
              <w:rPr>
                <w:rFonts w:hint="eastAsia" w:cs="宋体"/>
                <w:color w:val="auto"/>
                <w:lang w:val="en-US" w:eastAsia="zh-CN"/>
              </w:rPr>
              <w:t>0</w:t>
            </w:r>
            <w:r>
              <w:rPr>
                <w:rFonts w:hint="eastAsia" w:cs="宋体"/>
                <w:color w:val="auto"/>
              </w:rPr>
              <w:t>1.5万元，占总投资的0.</w:t>
            </w:r>
            <w:r>
              <w:rPr>
                <w:rFonts w:hint="eastAsia" w:cs="宋体"/>
                <w:color w:val="auto"/>
                <w:lang w:val="en-US" w:eastAsia="zh-CN"/>
              </w:rPr>
              <w:t>55</w:t>
            </w:r>
            <w:r>
              <w:rPr>
                <w:rFonts w:hint="eastAsia" w:cs="宋体"/>
                <w:color w:val="auto"/>
              </w:rPr>
              <w:t>%</w:t>
            </w:r>
          </w:p>
          <w:p w14:paraId="2513EE32">
            <w:pPr>
              <w:spacing w:line="480" w:lineRule="exact"/>
              <w:ind w:firstLine="480" w:firstLineChars="200"/>
              <w:rPr>
                <w:rFonts w:cs="宋体"/>
                <w:color w:val="auto"/>
              </w:rPr>
            </w:pPr>
            <w:r>
              <w:rPr>
                <w:rFonts w:hint="eastAsia" w:cs="宋体"/>
                <w:color w:val="auto"/>
              </w:rPr>
              <w:t>项目占地：厂区总占地面积为</w:t>
            </w:r>
            <w:r>
              <w:rPr>
                <w:rFonts w:hint="eastAsia"/>
                <w:color w:val="auto"/>
              </w:rPr>
              <w:t>97948.10</w:t>
            </w:r>
            <w:r>
              <w:rPr>
                <w:rFonts w:hint="eastAsia" w:cs="宋体"/>
                <w:color w:val="auto"/>
              </w:rPr>
              <w:t>m</w:t>
            </w:r>
            <w:r>
              <w:rPr>
                <w:rFonts w:hint="eastAsia" w:cs="宋体"/>
                <w:color w:val="auto"/>
                <w:vertAlign w:val="superscript"/>
              </w:rPr>
              <w:t>2</w:t>
            </w:r>
            <w:r>
              <w:rPr>
                <w:rFonts w:hint="eastAsia" w:cs="宋体"/>
                <w:color w:val="auto"/>
              </w:rPr>
              <w:t>。</w:t>
            </w:r>
          </w:p>
          <w:p w14:paraId="16954021">
            <w:pPr>
              <w:widowControl/>
              <w:spacing w:line="500" w:lineRule="exact"/>
              <w:ind w:firstLine="480" w:firstLineChars="200"/>
              <w:rPr>
                <w:b/>
                <w:bCs/>
                <w:color w:val="auto"/>
              </w:rPr>
            </w:pPr>
            <w:r>
              <w:rPr>
                <w:rFonts w:hint="eastAsia" w:cs="宋体"/>
                <w:color w:val="auto"/>
              </w:rPr>
              <w:t>建设规模：</w:t>
            </w:r>
            <w:r>
              <w:rPr>
                <w:rFonts w:hint="eastAsia"/>
                <w:color w:val="auto"/>
              </w:rPr>
              <w:t>年产熔炼用废钢成品100万吨</w:t>
            </w:r>
            <w:r>
              <w:rPr>
                <w:rFonts w:hint="eastAsia" w:cs="宋体"/>
                <w:color w:val="auto"/>
              </w:rPr>
              <w:t>。</w:t>
            </w:r>
          </w:p>
          <w:p w14:paraId="532FF267">
            <w:pPr>
              <w:widowControl/>
              <w:spacing w:line="500" w:lineRule="exact"/>
              <w:ind w:firstLine="482" w:firstLineChars="200"/>
              <w:rPr>
                <w:b/>
                <w:bCs/>
                <w:color w:val="auto"/>
              </w:rPr>
            </w:pPr>
            <w:r>
              <w:rPr>
                <w:rFonts w:hint="eastAsia"/>
                <w:b/>
                <w:bCs/>
                <w:color w:val="auto"/>
              </w:rPr>
              <w:t>2、建设内容</w:t>
            </w:r>
          </w:p>
          <w:p w14:paraId="56BD215A">
            <w:pPr>
              <w:spacing w:line="500" w:lineRule="exact"/>
              <w:ind w:firstLine="480" w:firstLineChars="200"/>
              <w:rPr>
                <w:color w:val="auto"/>
              </w:rPr>
            </w:pPr>
            <w:r>
              <w:rPr>
                <w:rFonts w:hint="eastAsia" w:cs="宋体"/>
                <w:bCs/>
                <w:color w:val="auto"/>
              </w:rPr>
              <w:t>项目</w:t>
            </w:r>
            <w:r>
              <w:rPr>
                <w:rFonts w:hint="eastAsia"/>
                <w:color w:val="auto"/>
              </w:rPr>
              <w:t>建设内容主要包括破碎车间、维修车间、废钢储存库房以及配套的环保、公辅工程，</w:t>
            </w:r>
            <w:r>
              <w:rPr>
                <w:color w:val="auto"/>
              </w:rPr>
              <w:t>项目工程组成详见表</w:t>
            </w:r>
            <w:r>
              <w:rPr>
                <w:rFonts w:hint="eastAsia"/>
                <w:color w:val="auto"/>
              </w:rPr>
              <w:t>2-</w:t>
            </w:r>
            <w:r>
              <w:rPr>
                <w:color w:val="auto"/>
              </w:rPr>
              <w:t>1。</w:t>
            </w:r>
          </w:p>
          <w:p w14:paraId="3E68E63B">
            <w:pPr>
              <w:spacing w:line="500" w:lineRule="exact"/>
              <w:jc w:val="center"/>
              <w:rPr>
                <w:b/>
                <w:color w:val="auto"/>
              </w:rPr>
            </w:pPr>
            <w:r>
              <w:rPr>
                <w:b/>
                <w:color w:val="auto"/>
              </w:rPr>
              <w:t>表</w:t>
            </w:r>
            <w:r>
              <w:rPr>
                <w:rFonts w:hint="eastAsia"/>
                <w:b/>
                <w:color w:val="auto"/>
              </w:rPr>
              <w:t>2-1</w:t>
            </w:r>
            <w:r>
              <w:rPr>
                <w:b/>
                <w:color w:val="auto"/>
              </w:rPr>
              <w:t xml:space="preserve">    工程主要建设内容一</w:t>
            </w:r>
            <w:commentRangeStart w:id="11"/>
            <w:commentRangeStart w:id="12"/>
            <w:r>
              <w:rPr>
                <w:b/>
                <w:color w:val="auto"/>
              </w:rPr>
              <w:t>览表</w:t>
            </w:r>
            <w:commentRangeEnd w:id="11"/>
            <w:r>
              <w:rPr>
                <w:color w:val="auto"/>
              </w:rPr>
              <w:commentReference w:id="11"/>
            </w:r>
            <w:commentRangeEnd w:id="12"/>
            <w:r>
              <w:commentReference w:id="12"/>
            </w:r>
          </w:p>
          <w:tbl>
            <w:tblPr>
              <w:tblStyle w:val="25"/>
              <w:tblW w:w="4951"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79"/>
              <w:gridCol w:w="673"/>
              <w:gridCol w:w="1205"/>
              <w:gridCol w:w="5880"/>
            </w:tblGrid>
            <w:tr w14:paraId="12B51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Align w:val="center"/>
                </w:tcPr>
                <w:p w14:paraId="0DE10266">
                  <w:pPr>
                    <w:spacing w:line="320" w:lineRule="exact"/>
                    <w:jc w:val="center"/>
                    <w:rPr>
                      <w:color w:val="auto"/>
                    </w:rPr>
                  </w:pPr>
                  <w:r>
                    <w:rPr>
                      <w:color w:val="auto"/>
                      <w:sz w:val="21"/>
                      <w:lang w:bidi="ar"/>
                    </w:rPr>
                    <w:t>类别</w:t>
                  </w:r>
                </w:p>
              </w:tc>
              <w:tc>
                <w:tcPr>
                  <w:tcW w:w="1099" w:type="pct"/>
                  <w:gridSpan w:val="2"/>
                  <w:vAlign w:val="center"/>
                </w:tcPr>
                <w:p w14:paraId="0647DECF">
                  <w:pPr>
                    <w:spacing w:line="320" w:lineRule="exact"/>
                    <w:jc w:val="center"/>
                    <w:rPr>
                      <w:color w:val="auto"/>
                    </w:rPr>
                  </w:pPr>
                  <w:r>
                    <w:rPr>
                      <w:color w:val="auto"/>
                      <w:sz w:val="21"/>
                      <w:lang w:bidi="ar"/>
                    </w:rPr>
                    <w:t>工程内容</w:t>
                  </w:r>
                </w:p>
              </w:tc>
              <w:tc>
                <w:tcPr>
                  <w:tcW w:w="3444" w:type="pct"/>
                  <w:vAlign w:val="center"/>
                </w:tcPr>
                <w:p w14:paraId="2259B76E">
                  <w:pPr>
                    <w:spacing w:line="320" w:lineRule="exact"/>
                    <w:jc w:val="center"/>
                    <w:rPr>
                      <w:color w:val="auto"/>
                    </w:rPr>
                  </w:pPr>
                  <w:r>
                    <w:rPr>
                      <w:color w:val="auto"/>
                      <w:sz w:val="21"/>
                      <w:lang w:bidi="ar"/>
                    </w:rPr>
                    <w:t>建设内容</w:t>
                  </w:r>
                </w:p>
              </w:tc>
            </w:tr>
            <w:tr w14:paraId="4C9C4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Align w:val="center"/>
                </w:tcPr>
                <w:p w14:paraId="2FE57B5A">
                  <w:pPr>
                    <w:spacing w:line="320" w:lineRule="exact"/>
                    <w:jc w:val="center"/>
                    <w:rPr>
                      <w:color w:val="auto"/>
                    </w:rPr>
                  </w:pPr>
                  <w:r>
                    <w:rPr>
                      <w:color w:val="auto"/>
                      <w:sz w:val="21"/>
                      <w:lang w:bidi="ar"/>
                    </w:rPr>
                    <w:t>主体工程</w:t>
                  </w:r>
                </w:p>
              </w:tc>
              <w:tc>
                <w:tcPr>
                  <w:tcW w:w="1099" w:type="pct"/>
                  <w:gridSpan w:val="2"/>
                  <w:vAlign w:val="center"/>
                </w:tcPr>
                <w:p w14:paraId="6522D6DB">
                  <w:pPr>
                    <w:spacing w:line="320" w:lineRule="exact"/>
                    <w:jc w:val="center"/>
                    <w:rPr>
                      <w:color w:val="auto"/>
                    </w:rPr>
                  </w:pPr>
                  <w:r>
                    <w:rPr>
                      <w:rFonts w:hint="eastAsia"/>
                      <w:color w:val="auto"/>
                      <w:sz w:val="21"/>
                      <w:lang w:bidi="ar"/>
                    </w:rPr>
                    <w:t>破碎车间</w:t>
                  </w:r>
                </w:p>
              </w:tc>
              <w:tc>
                <w:tcPr>
                  <w:tcW w:w="3444" w:type="pct"/>
                  <w:vAlign w:val="center"/>
                </w:tcPr>
                <w:p w14:paraId="43A88FE8">
                  <w:pPr>
                    <w:spacing w:line="320" w:lineRule="exact"/>
                    <w:jc w:val="center"/>
                    <w:rPr>
                      <w:color w:val="auto"/>
                    </w:rPr>
                  </w:pPr>
                  <w:r>
                    <w:rPr>
                      <w:color w:val="auto"/>
                      <w:sz w:val="21"/>
                      <w:lang w:bidi="ar"/>
                    </w:rPr>
                    <w:t>钢结构，</w:t>
                  </w:r>
                  <w:r>
                    <w:rPr>
                      <w:rFonts w:hint="eastAsia"/>
                      <w:color w:val="auto"/>
                      <w:sz w:val="21"/>
                      <w:lang w:bidi="ar"/>
                    </w:rPr>
                    <w:t>单层建筑，</w:t>
                  </w:r>
                  <w:r>
                    <w:rPr>
                      <w:color w:val="auto"/>
                      <w:sz w:val="21"/>
                      <w:lang w:bidi="ar"/>
                    </w:rPr>
                    <w:t>建筑面积</w:t>
                  </w:r>
                  <w:r>
                    <w:rPr>
                      <w:color w:val="auto"/>
                      <w:sz w:val="21"/>
                      <w:lang w:eastAsia="zh" w:bidi="ar"/>
                    </w:rPr>
                    <w:t>17785.71</w:t>
                  </w:r>
                  <w:r>
                    <w:rPr>
                      <w:color w:val="auto"/>
                      <w:sz w:val="21"/>
                      <w:lang w:bidi="ar"/>
                    </w:rPr>
                    <w:t>m</w:t>
                  </w:r>
                  <w:r>
                    <w:rPr>
                      <w:color w:val="auto"/>
                      <w:sz w:val="21"/>
                      <w:vertAlign w:val="superscript"/>
                      <w:lang w:bidi="ar"/>
                    </w:rPr>
                    <w:t>2</w:t>
                  </w:r>
                  <w:r>
                    <w:rPr>
                      <w:color w:val="auto"/>
                      <w:sz w:val="21"/>
                      <w:lang w:bidi="ar"/>
                    </w:rPr>
                    <w:t>，高</w:t>
                  </w:r>
                  <w:r>
                    <w:rPr>
                      <w:rFonts w:hint="eastAsia"/>
                      <w:color w:val="auto"/>
                      <w:sz w:val="21"/>
                      <w:lang w:bidi="ar"/>
                    </w:rPr>
                    <w:t>23.9</w:t>
                  </w:r>
                  <w:r>
                    <w:rPr>
                      <w:color w:val="auto"/>
                      <w:sz w:val="21"/>
                      <w:lang w:bidi="ar"/>
                    </w:rPr>
                    <w:t>m，</w:t>
                  </w:r>
                  <w:r>
                    <w:rPr>
                      <w:rFonts w:hint="eastAsia"/>
                      <w:color w:val="auto"/>
                      <w:sz w:val="21"/>
                      <w:lang w:bidi="ar"/>
                    </w:rPr>
                    <w:t>内</w:t>
                  </w:r>
                  <w:r>
                    <w:rPr>
                      <w:rFonts w:hint="eastAsia"/>
                      <w:color w:val="auto"/>
                      <w:sz w:val="21"/>
                      <w:szCs w:val="21"/>
                    </w:rPr>
                    <w:t>设废钢破碎生产线1条、废钢剪断机1台、打包机1台及其他附属设备</w:t>
                  </w:r>
                </w:p>
              </w:tc>
            </w:tr>
            <w:tr w14:paraId="011A3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restart"/>
                  <w:vAlign w:val="center"/>
                </w:tcPr>
                <w:p w14:paraId="0BC4DB60">
                  <w:pPr>
                    <w:spacing w:line="320" w:lineRule="exact"/>
                    <w:jc w:val="center"/>
                    <w:rPr>
                      <w:color w:val="auto"/>
                      <w:sz w:val="21"/>
                      <w:lang w:bidi="ar"/>
                    </w:rPr>
                  </w:pPr>
                  <w:r>
                    <w:rPr>
                      <w:rFonts w:hint="eastAsia"/>
                      <w:color w:val="auto"/>
                      <w:sz w:val="21"/>
                      <w:lang w:bidi="ar"/>
                    </w:rPr>
                    <w:t>辅助工程</w:t>
                  </w:r>
                </w:p>
              </w:tc>
              <w:tc>
                <w:tcPr>
                  <w:tcW w:w="1099" w:type="pct"/>
                  <w:gridSpan w:val="2"/>
                  <w:vAlign w:val="center"/>
                </w:tcPr>
                <w:p w14:paraId="76177B8B">
                  <w:pPr>
                    <w:spacing w:line="320" w:lineRule="exact"/>
                    <w:jc w:val="center"/>
                    <w:rPr>
                      <w:color w:val="auto"/>
                      <w:sz w:val="21"/>
                      <w:lang w:bidi="ar"/>
                    </w:rPr>
                  </w:pPr>
                  <w:r>
                    <w:rPr>
                      <w:rFonts w:hint="eastAsia"/>
                      <w:color w:val="auto"/>
                      <w:sz w:val="21"/>
                      <w:lang w:bidi="ar"/>
                    </w:rPr>
                    <w:t>维修车间</w:t>
                  </w:r>
                </w:p>
              </w:tc>
              <w:tc>
                <w:tcPr>
                  <w:tcW w:w="3444" w:type="pct"/>
                  <w:vAlign w:val="center"/>
                </w:tcPr>
                <w:p w14:paraId="711BD542">
                  <w:pPr>
                    <w:spacing w:line="320" w:lineRule="exact"/>
                    <w:jc w:val="center"/>
                    <w:rPr>
                      <w:color w:val="auto"/>
                      <w:sz w:val="21"/>
                      <w:lang w:bidi="ar"/>
                    </w:rPr>
                  </w:pPr>
                  <w:r>
                    <w:rPr>
                      <w:color w:val="auto"/>
                      <w:sz w:val="21"/>
                      <w:lang w:bidi="ar"/>
                    </w:rPr>
                    <w:t>钢结构，</w:t>
                  </w:r>
                  <w:r>
                    <w:rPr>
                      <w:rFonts w:hint="eastAsia"/>
                      <w:color w:val="auto"/>
                      <w:sz w:val="21"/>
                      <w:lang w:bidi="ar"/>
                    </w:rPr>
                    <w:t>单层建筑，</w:t>
                  </w:r>
                  <w:r>
                    <w:rPr>
                      <w:color w:val="auto"/>
                      <w:sz w:val="21"/>
                      <w:lang w:bidi="ar"/>
                    </w:rPr>
                    <w:t>建筑面积</w:t>
                  </w:r>
                  <w:r>
                    <w:rPr>
                      <w:rFonts w:hint="eastAsia"/>
                      <w:color w:val="auto"/>
                      <w:sz w:val="21"/>
                      <w:lang w:bidi="ar"/>
                    </w:rPr>
                    <w:t>2923.38</w:t>
                  </w:r>
                  <w:r>
                    <w:rPr>
                      <w:color w:val="auto"/>
                      <w:sz w:val="21"/>
                      <w:lang w:bidi="ar"/>
                    </w:rPr>
                    <w:t>m</w:t>
                  </w:r>
                  <w:r>
                    <w:rPr>
                      <w:color w:val="auto"/>
                      <w:sz w:val="21"/>
                      <w:vertAlign w:val="superscript"/>
                      <w:lang w:bidi="ar"/>
                    </w:rPr>
                    <w:t>2</w:t>
                  </w:r>
                  <w:r>
                    <w:rPr>
                      <w:color w:val="auto"/>
                      <w:sz w:val="21"/>
                      <w:lang w:bidi="ar"/>
                    </w:rPr>
                    <w:t>，高</w:t>
                  </w:r>
                  <w:r>
                    <w:rPr>
                      <w:rFonts w:hint="eastAsia"/>
                      <w:color w:val="auto"/>
                      <w:sz w:val="21"/>
                      <w:lang w:bidi="ar"/>
                    </w:rPr>
                    <w:t>13.3</w:t>
                  </w:r>
                  <w:r>
                    <w:rPr>
                      <w:color w:val="auto"/>
                      <w:sz w:val="21"/>
                      <w:lang w:bidi="ar"/>
                    </w:rPr>
                    <w:t>m，</w:t>
                  </w:r>
                  <w:r>
                    <w:rPr>
                      <w:rFonts w:hint="eastAsia"/>
                      <w:color w:val="auto"/>
                      <w:sz w:val="21"/>
                      <w:lang w:bidi="ar"/>
                    </w:rPr>
                    <w:t>内设</w:t>
                  </w:r>
                  <w:r>
                    <w:rPr>
                      <w:rFonts w:hint="eastAsia"/>
                      <w:bCs/>
                      <w:color w:val="auto"/>
                      <w:kern w:val="0"/>
                      <w:sz w:val="21"/>
                      <w:szCs w:val="21"/>
                      <w:lang w:bidi="ar"/>
                    </w:rPr>
                    <w:t>直流手工电焊机</w:t>
                  </w:r>
                  <w:r>
                    <w:rPr>
                      <w:rFonts w:hint="eastAsia"/>
                      <w:color w:val="auto"/>
                      <w:sz w:val="21"/>
                      <w:lang w:bidi="ar"/>
                    </w:rPr>
                    <w:t>2台</w:t>
                  </w:r>
                  <w:r>
                    <w:rPr>
                      <w:color w:val="auto"/>
                      <w:sz w:val="21"/>
                      <w:lang w:bidi="ar"/>
                    </w:rPr>
                    <w:t>、</w:t>
                  </w:r>
                  <w:r>
                    <w:rPr>
                      <w:rFonts w:hint="eastAsia"/>
                      <w:bCs/>
                      <w:color w:val="auto"/>
                      <w:kern w:val="0"/>
                      <w:sz w:val="21"/>
                      <w:szCs w:val="21"/>
                      <w:lang w:bidi="ar"/>
                    </w:rPr>
                    <w:t>二氧化碳气体保护焊机</w:t>
                  </w:r>
                  <w:r>
                    <w:rPr>
                      <w:rFonts w:hint="eastAsia"/>
                      <w:color w:val="auto"/>
                      <w:sz w:val="21"/>
                      <w:lang w:bidi="ar"/>
                    </w:rPr>
                    <w:t>2台</w:t>
                  </w:r>
                  <w:r>
                    <w:rPr>
                      <w:color w:val="auto"/>
                      <w:sz w:val="21"/>
                      <w:lang w:bidi="ar"/>
                    </w:rPr>
                    <w:t>、卡车轮胎拆装机</w:t>
                  </w:r>
                  <w:r>
                    <w:rPr>
                      <w:rFonts w:hint="eastAsia"/>
                      <w:color w:val="auto"/>
                      <w:sz w:val="21"/>
                      <w:lang w:bidi="ar"/>
                    </w:rPr>
                    <w:t>2台、清洗槽2套及其他附属设备</w:t>
                  </w:r>
                </w:p>
              </w:tc>
            </w:tr>
            <w:tr w14:paraId="0FF7F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continue"/>
                  <w:vAlign w:val="center"/>
                </w:tcPr>
                <w:p w14:paraId="4C5E9E8C">
                  <w:pPr>
                    <w:spacing w:line="320" w:lineRule="exact"/>
                    <w:jc w:val="center"/>
                    <w:rPr>
                      <w:color w:val="auto"/>
                      <w:sz w:val="21"/>
                      <w:lang w:bidi="ar"/>
                    </w:rPr>
                  </w:pPr>
                </w:p>
              </w:tc>
              <w:tc>
                <w:tcPr>
                  <w:tcW w:w="1099" w:type="pct"/>
                  <w:gridSpan w:val="2"/>
                  <w:vAlign w:val="center"/>
                </w:tcPr>
                <w:p w14:paraId="495C24E1">
                  <w:pPr>
                    <w:spacing w:line="320" w:lineRule="exact"/>
                    <w:jc w:val="center"/>
                    <w:rPr>
                      <w:color w:val="auto"/>
                      <w:sz w:val="21"/>
                      <w:lang w:bidi="ar"/>
                    </w:rPr>
                  </w:pPr>
                  <w:r>
                    <w:rPr>
                      <w:rFonts w:hint="eastAsia"/>
                      <w:color w:val="auto"/>
                      <w:sz w:val="21"/>
                      <w:lang w:bidi="ar"/>
                    </w:rPr>
                    <w:t>综合楼</w:t>
                  </w:r>
                </w:p>
              </w:tc>
              <w:tc>
                <w:tcPr>
                  <w:tcW w:w="3444" w:type="pct"/>
                  <w:vAlign w:val="center"/>
                </w:tcPr>
                <w:p w14:paraId="74CD0C50">
                  <w:pPr>
                    <w:spacing w:line="320" w:lineRule="exact"/>
                    <w:jc w:val="center"/>
                    <w:rPr>
                      <w:color w:val="auto"/>
                      <w:sz w:val="21"/>
                      <w:lang w:bidi="ar"/>
                    </w:rPr>
                  </w:pPr>
                  <w:r>
                    <w:rPr>
                      <w:rFonts w:hint="eastAsia"/>
                      <w:color w:val="auto"/>
                      <w:sz w:val="21"/>
                      <w:szCs w:val="21"/>
                    </w:rPr>
                    <w:t>用于员工办公、住宿，</w:t>
                  </w:r>
                  <w:r>
                    <w:rPr>
                      <w:color w:val="auto"/>
                      <w:sz w:val="21"/>
                      <w:lang w:bidi="ar"/>
                    </w:rPr>
                    <w:t>钢筋混凝土框架结构</w:t>
                  </w:r>
                  <w:r>
                    <w:rPr>
                      <w:rFonts w:hint="eastAsia"/>
                      <w:color w:val="auto"/>
                      <w:sz w:val="21"/>
                      <w:lang w:bidi="ar"/>
                    </w:rPr>
                    <w:t>，两层建筑，占地面积1200</w:t>
                  </w:r>
                  <w:r>
                    <w:rPr>
                      <w:color w:val="auto"/>
                      <w:sz w:val="21"/>
                      <w:lang w:bidi="ar"/>
                    </w:rPr>
                    <w:t>m</w:t>
                  </w:r>
                  <w:r>
                    <w:rPr>
                      <w:color w:val="auto"/>
                      <w:sz w:val="21"/>
                      <w:vertAlign w:val="superscript"/>
                      <w:lang w:bidi="ar"/>
                    </w:rPr>
                    <w:t>2</w:t>
                  </w:r>
                  <w:r>
                    <w:rPr>
                      <w:color w:val="auto"/>
                      <w:sz w:val="21"/>
                      <w:lang w:bidi="ar"/>
                    </w:rPr>
                    <w:t>，</w:t>
                  </w:r>
                  <w:r>
                    <w:rPr>
                      <w:rFonts w:hint="eastAsia"/>
                      <w:color w:val="auto"/>
                      <w:sz w:val="21"/>
                      <w:lang w:bidi="ar"/>
                    </w:rPr>
                    <w:t>建筑面积2400</w:t>
                  </w:r>
                  <w:r>
                    <w:rPr>
                      <w:color w:val="auto"/>
                      <w:sz w:val="21"/>
                      <w:lang w:bidi="ar"/>
                    </w:rPr>
                    <w:t>m</w:t>
                  </w:r>
                  <w:r>
                    <w:rPr>
                      <w:color w:val="auto"/>
                      <w:sz w:val="21"/>
                      <w:vertAlign w:val="superscript"/>
                      <w:lang w:bidi="ar"/>
                    </w:rPr>
                    <w:t>2</w:t>
                  </w:r>
                  <w:r>
                    <w:rPr>
                      <w:rFonts w:hint="eastAsia"/>
                      <w:color w:val="auto"/>
                      <w:sz w:val="21"/>
                      <w:lang w:bidi="ar"/>
                    </w:rPr>
                    <w:t>，高9.4m</w:t>
                  </w:r>
                </w:p>
              </w:tc>
            </w:tr>
            <w:tr w14:paraId="42DEA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0" w:hRule="atLeast"/>
                <w:jc w:val="center"/>
              </w:trPr>
              <w:tc>
                <w:tcPr>
                  <w:tcW w:w="456" w:type="pct"/>
                  <w:vMerge w:val="restart"/>
                  <w:vAlign w:val="center"/>
                </w:tcPr>
                <w:p w14:paraId="2D44E8B0">
                  <w:pPr>
                    <w:spacing w:line="320" w:lineRule="exact"/>
                    <w:jc w:val="center"/>
                    <w:rPr>
                      <w:color w:val="auto"/>
                      <w:sz w:val="21"/>
                      <w:lang w:bidi="ar"/>
                    </w:rPr>
                  </w:pPr>
                  <w:r>
                    <w:rPr>
                      <w:color w:val="auto"/>
                      <w:sz w:val="21"/>
                      <w:lang w:bidi="ar"/>
                    </w:rPr>
                    <w:t>储运工程</w:t>
                  </w:r>
                </w:p>
              </w:tc>
              <w:tc>
                <w:tcPr>
                  <w:tcW w:w="1099" w:type="pct"/>
                  <w:gridSpan w:val="2"/>
                  <w:vAlign w:val="center"/>
                </w:tcPr>
                <w:p w14:paraId="1CF70B16">
                  <w:pPr>
                    <w:spacing w:line="320" w:lineRule="exact"/>
                    <w:jc w:val="center"/>
                    <w:rPr>
                      <w:color w:val="auto"/>
                      <w:sz w:val="21"/>
                      <w:lang w:bidi="ar"/>
                    </w:rPr>
                  </w:pPr>
                  <w:r>
                    <w:rPr>
                      <w:color w:val="auto"/>
                      <w:sz w:val="21"/>
                      <w:lang w:bidi="ar"/>
                    </w:rPr>
                    <w:t>废钢储存库房</w:t>
                  </w:r>
                </w:p>
              </w:tc>
              <w:tc>
                <w:tcPr>
                  <w:tcW w:w="3444" w:type="pct"/>
                  <w:vAlign w:val="center"/>
                </w:tcPr>
                <w:p w14:paraId="342035BB">
                  <w:pPr>
                    <w:spacing w:line="320" w:lineRule="exact"/>
                    <w:jc w:val="center"/>
                    <w:rPr>
                      <w:color w:val="auto"/>
                      <w:sz w:val="21"/>
                      <w:lang w:bidi="ar"/>
                    </w:rPr>
                  </w:pPr>
                  <w:r>
                    <w:rPr>
                      <w:color w:val="auto"/>
                      <w:sz w:val="21"/>
                      <w:lang w:bidi="ar"/>
                    </w:rPr>
                    <w:t>钢结构，</w:t>
                  </w:r>
                  <w:r>
                    <w:rPr>
                      <w:rFonts w:hint="eastAsia"/>
                      <w:color w:val="auto"/>
                      <w:sz w:val="21"/>
                      <w:lang w:bidi="ar"/>
                    </w:rPr>
                    <w:t>单层建筑，</w:t>
                  </w:r>
                  <w:r>
                    <w:rPr>
                      <w:color w:val="auto"/>
                      <w:sz w:val="21"/>
                      <w:lang w:bidi="ar"/>
                    </w:rPr>
                    <w:t>建筑面积</w:t>
                  </w:r>
                  <w:r>
                    <w:rPr>
                      <w:color w:val="auto"/>
                      <w:sz w:val="21"/>
                      <w:lang w:eastAsia="zh" w:bidi="ar"/>
                    </w:rPr>
                    <w:t>32267.10</w:t>
                  </w:r>
                  <w:r>
                    <w:rPr>
                      <w:color w:val="auto"/>
                      <w:sz w:val="21"/>
                      <w:lang w:bidi="ar"/>
                    </w:rPr>
                    <w:t>m</w:t>
                  </w:r>
                  <w:r>
                    <w:rPr>
                      <w:color w:val="auto"/>
                      <w:sz w:val="21"/>
                      <w:vertAlign w:val="superscript"/>
                      <w:lang w:bidi="ar"/>
                    </w:rPr>
                    <w:t>2</w:t>
                  </w:r>
                  <w:r>
                    <w:rPr>
                      <w:color w:val="auto"/>
                      <w:sz w:val="21"/>
                      <w:lang w:bidi="ar"/>
                    </w:rPr>
                    <w:t>，高</w:t>
                  </w:r>
                  <w:r>
                    <w:rPr>
                      <w:rFonts w:hint="eastAsia"/>
                      <w:color w:val="auto"/>
                      <w:sz w:val="21"/>
                      <w:lang w:bidi="ar"/>
                    </w:rPr>
                    <w:t>22</w:t>
                  </w:r>
                  <w:r>
                    <w:rPr>
                      <w:color w:val="auto"/>
                      <w:sz w:val="21"/>
                      <w:lang w:bidi="ar"/>
                    </w:rPr>
                    <w:t>m，</w:t>
                  </w:r>
                  <w:r>
                    <w:rPr>
                      <w:rFonts w:hint="eastAsia"/>
                      <w:color w:val="auto"/>
                      <w:sz w:val="21"/>
                      <w:lang w:bidi="ar"/>
                    </w:rPr>
                    <w:t>用于储存原料废钢铁</w:t>
                  </w:r>
                  <w:r>
                    <w:rPr>
                      <w:rFonts w:hint="eastAsia"/>
                      <w:color w:val="auto"/>
                    </w:rPr>
                    <w:t>，</w:t>
                  </w:r>
                  <w:r>
                    <w:rPr>
                      <w:rFonts w:hint="eastAsia"/>
                      <w:color w:val="auto"/>
                      <w:sz w:val="21"/>
                      <w:szCs w:val="21"/>
                    </w:rPr>
                    <w:t>最大储存量为32万t，储存周期为3个月</w:t>
                  </w:r>
                </w:p>
              </w:tc>
            </w:tr>
            <w:tr w14:paraId="3E449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456" w:type="pct"/>
                  <w:vMerge w:val="continue"/>
                  <w:vAlign w:val="center"/>
                </w:tcPr>
                <w:p w14:paraId="2F0CD430">
                  <w:pPr>
                    <w:spacing w:line="320" w:lineRule="exact"/>
                    <w:jc w:val="center"/>
                    <w:rPr>
                      <w:color w:val="auto"/>
                      <w:sz w:val="21"/>
                      <w:lang w:bidi="ar"/>
                    </w:rPr>
                  </w:pPr>
                </w:p>
              </w:tc>
              <w:tc>
                <w:tcPr>
                  <w:tcW w:w="1099" w:type="pct"/>
                  <w:gridSpan w:val="2"/>
                  <w:vAlign w:val="center"/>
                </w:tcPr>
                <w:p w14:paraId="1BCFD5E9">
                  <w:pPr>
                    <w:spacing w:line="320" w:lineRule="exact"/>
                    <w:jc w:val="center"/>
                    <w:rPr>
                      <w:rFonts w:hint="eastAsia" w:eastAsia="宋体"/>
                      <w:color w:val="0000FF"/>
                      <w:sz w:val="21"/>
                      <w:lang w:val="en-US" w:eastAsia="zh-CN" w:bidi="ar"/>
                    </w:rPr>
                  </w:pPr>
                  <w:r>
                    <w:rPr>
                      <w:rFonts w:hint="eastAsia"/>
                      <w:color w:val="0000FF"/>
                      <w:sz w:val="21"/>
                      <w:lang w:val="en-US" w:eastAsia="zh-CN" w:bidi="ar"/>
                    </w:rPr>
                    <w:t>成品区</w:t>
                  </w:r>
                </w:p>
              </w:tc>
              <w:tc>
                <w:tcPr>
                  <w:tcW w:w="3444" w:type="pct"/>
                  <w:vAlign w:val="center"/>
                </w:tcPr>
                <w:p w14:paraId="585A1995">
                  <w:pPr>
                    <w:spacing w:line="320" w:lineRule="exact"/>
                    <w:jc w:val="center"/>
                    <w:rPr>
                      <w:rFonts w:hint="default" w:eastAsia="宋体"/>
                      <w:color w:val="0000FF"/>
                      <w:sz w:val="21"/>
                      <w:lang w:val="en-US" w:eastAsia="zh-CN" w:bidi="ar"/>
                    </w:rPr>
                  </w:pPr>
                  <w:r>
                    <w:rPr>
                      <w:rFonts w:hint="eastAsia"/>
                      <w:color w:val="0000FF"/>
                      <w:sz w:val="21"/>
                      <w:lang w:val="en-US" w:eastAsia="zh-CN" w:bidi="ar"/>
                    </w:rPr>
                    <w:t>成品区位于破碎车间内，占地面积8000</w:t>
                  </w:r>
                  <w:r>
                    <w:rPr>
                      <w:color w:val="0000FF"/>
                      <w:sz w:val="21"/>
                      <w:lang w:bidi="ar"/>
                    </w:rPr>
                    <w:t>m</w:t>
                  </w:r>
                  <w:r>
                    <w:rPr>
                      <w:color w:val="0000FF"/>
                      <w:sz w:val="21"/>
                      <w:vertAlign w:val="superscript"/>
                      <w:lang w:bidi="ar"/>
                    </w:rPr>
                    <w:t>2</w:t>
                  </w:r>
                </w:p>
              </w:tc>
            </w:tr>
            <w:tr w14:paraId="22B0D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restart"/>
                  <w:vAlign w:val="center"/>
                </w:tcPr>
                <w:p w14:paraId="2B5CF1AA">
                  <w:pPr>
                    <w:spacing w:line="320" w:lineRule="exact"/>
                    <w:jc w:val="center"/>
                    <w:rPr>
                      <w:color w:val="auto"/>
                    </w:rPr>
                  </w:pPr>
                  <w:r>
                    <w:rPr>
                      <w:color w:val="auto"/>
                      <w:sz w:val="21"/>
                      <w:lang w:bidi="ar"/>
                    </w:rPr>
                    <w:t>公用工程</w:t>
                  </w:r>
                </w:p>
              </w:tc>
              <w:tc>
                <w:tcPr>
                  <w:tcW w:w="1099" w:type="pct"/>
                  <w:gridSpan w:val="2"/>
                  <w:vAlign w:val="center"/>
                </w:tcPr>
                <w:p w14:paraId="48871209">
                  <w:pPr>
                    <w:spacing w:line="320" w:lineRule="exact"/>
                    <w:jc w:val="center"/>
                    <w:rPr>
                      <w:color w:val="auto"/>
                    </w:rPr>
                  </w:pPr>
                  <w:r>
                    <w:rPr>
                      <w:color w:val="auto"/>
                      <w:sz w:val="21"/>
                      <w:lang w:bidi="ar"/>
                    </w:rPr>
                    <w:t>供水</w:t>
                  </w:r>
                </w:p>
              </w:tc>
              <w:tc>
                <w:tcPr>
                  <w:tcW w:w="3444" w:type="pct"/>
                  <w:vAlign w:val="center"/>
                </w:tcPr>
                <w:p w14:paraId="24C9A626">
                  <w:pPr>
                    <w:spacing w:line="320" w:lineRule="exact"/>
                    <w:jc w:val="center"/>
                    <w:rPr>
                      <w:color w:val="auto"/>
                      <w:sz w:val="21"/>
                      <w:szCs w:val="21"/>
                    </w:rPr>
                  </w:pPr>
                  <w:r>
                    <w:rPr>
                      <w:rFonts w:hint="eastAsia" w:ascii="宋体" w:hAnsi="宋体" w:cs="宋体"/>
                      <w:color w:val="auto"/>
                      <w:sz w:val="21"/>
                      <w:szCs w:val="21"/>
                    </w:rPr>
                    <w:t>本项目用水依托园区供水管网。</w:t>
                  </w:r>
                </w:p>
              </w:tc>
            </w:tr>
            <w:tr w14:paraId="2D239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5" w:hRule="atLeast"/>
                <w:jc w:val="center"/>
              </w:trPr>
              <w:tc>
                <w:tcPr>
                  <w:tcW w:w="456" w:type="pct"/>
                  <w:vMerge w:val="continue"/>
                  <w:vAlign w:val="center"/>
                </w:tcPr>
                <w:p w14:paraId="5BC6E0E6">
                  <w:pPr>
                    <w:spacing w:line="320" w:lineRule="exact"/>
                    <w:jc w:val="center"/>
                    <w:rPr>
                      <w:color w:val="auto"/>
                      <w:sz w:val="21"/>
                    </w:rPr>
                  </w:pPr>
                </w:p>
              </w:tc>
              <w:tc>
                <w:tcPr>
                  <w:tcW w:w="1099" w:type="pct"/>
                  <w:gridSpan w:val="2"/>
                  <w:vAlign w:val="center"/>
                </w:tcPr>
                <w:p w14:paraId="5AB98C77">
                  <w:pPr>
                    <w:spacing w:line="320" w:lineRule="exact"/>
                    <w:jc w:val="center"/>
                    <w:rPr>
                      <w:color w:val="auto"/>
                      <w:sz w:val="21"/>
                      <w:lang w:bidi="ar"/>
                    </w:rPr>
                  </w:pPr>
                  <w:r>
                    <w:rPr>
                      <w:color w:val="auto"/>
                      <w:sz w:val="21"/>
                      <w:lang w:bidi="ar"/>
                    </w:rPr>
                    <w:t>供电</w:t>
                  </w:r>
                </w:p>
              </w:tc>
              <w:tc>
                <w:tcPr>
                  <w:tcW w:w="3444" w:type="pct"/>
                  <w:vAlign w:val="center"/>
                </w:tcPr>
                <w:p w14:paraId="695270B4">
                  <w:pPr>
                    <w:spacing w:line="320" w:lineRule="exact"/>
                    <w:jc w:val="center"/>
                    <w:rPr>
                      <w:color w:val="auto"/>
                      <w:sz w:val="21"/>
                      <w:szCs w:val="21"/>
                      <w:lang w:bidi="ar"/>
                    </w:rPr>
                  </w:pPr>
                  <w:r>
                    <w:rPr>
                      <w:rFonts w:hint="eastAsia" w:ascii="宋体" w:hAnsi="宋体" w:cs="宋体"/>
                      <w:color w:val="auto"/>
                      <w:sz w:val="21"/>
                      <w:szCs w:val="21"/>
                    </w:rPr>
                    <w:t>本项目用电依托园区供电管网。</w:t>
                  </w:r>
                </w:p>
              </w:tc>
            </w:tr>
            <w:tr w14:paraId="70DDC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5" w:hRule="atLeast"/>
                <w:jc w:val="center"/>
              </w:trPr>
              <w:tc>
                <w:tcPr>
                  <w:tcW w:w="456" w:type="pct"/>
                  <w:vMerge w:val="continue"/>
                  <w:vAlign w:val="center"/>
                </w:tcPr>
                <w:p w14:paraId="52415053">
                  <w:pPr>
                    <w:spacing w:line="320" w:lineRule="exact"/>
                    <w:jc w:val="center"/>
                    <w:rPr>
                      <w:color w:val="auto"/>
                      <w:sz w:val="21"/>
                    </w:rPr>
                  </w:pPr>
                </w:p>
              </w:tc>
              <w:tc>
                <w:tcPr>
                  <w:tcW w:w="1099" w:type="pct"/>
                  <w:gridSpan w:val="2"/>
                  <w:vAlign w:val="center"/>
                </w:tcPr>
                <w:p w14:paraId="0160A2B6">
                  <w:pPr>
                    <w:spacing w:line="320" w:lineRule="exact"/>
                    <w:jc w:val="center"/>
                    <w:rPr>
                      <w:color w:val="auto"/>
                    </w:rPr>
                  </w:pPr>
                  <w:r>
                    <w:rPr>
                      <w:rFonts w:hint="eastAsia"/>
                      <w:color w:val="auto"/>
                      <w:sz w:val="21"/>
                      <w:szCs w:val="21"/>
                    </w:rPr>
                    <w:t>供热</w:t>
                  </w:r>
                </w:p>
              </w:tc>
              <w:tc>
                <w:tcPr>
                  <w:tcW w:w="3444" w:type="pct"/>
                  <w:vAlign w:val="center"/>
                </w:tcPr>
                <w:p w14:paraId="235697F0">
                  <w:pPr>
                    <w:spacing w:line="320" w:lineRule="exact"/>
                    <w:jc w:val="center"/>
                    <w:rPr>
                      <w:color w:val="auto"/>
                      <w:sz w:val="21"/>
                      <w:szCs w:val="21"/>
                    </w:rPr>
                  </w:pPr>
                  <w:r>
                    <w:rPr>
                      <w:rFonts w:hint="eastAsia" w:ascii="宋体" w:hAnsi="宋体" w:cs="宋体"/>
                      <w:color w:val="auto"/>
                      <w:sz w:val="21"/>
                      <w:szCs w:val="21"/>
                    </w:rPr>
                    <w:t>本项目供热来自园区集中供热。</w:t>
                  </w:r>
                </w:p>
              </w:tc>
            </w:tr>
            <w:tr w14:paraId="7DB08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restart"/>
                  <w:vAlign w:val="center"/>
                </w:tcPr>
                <w:p w14:paraId="0BBC7D33">
                  <w:pPr>
                    <w:spacing w:line="320" w:lineRule="exact"/>
                    <w:jc w:val="center"/>
                    <w:rPr>
                      <w:color w:val="auto"/>
                    </w:rPr>
                  </w:pPr>
                  <w:r>
                    <w:rPr>
                      <w:color w:val="auto"/>
                      <w:sz w:val="21"/>
                      <w:lang w:bidi="ar"/>
                    </w:rPr>
                    <w:t>环保工程</w:t>
                  </w:r>
                </w:p>
              </w:tc>
              <w:tc>
                <w:tcPr>
                  <w:tcW w:w="394" w:type="pct"/>
                  <w:vMerge w:val="restart"/>
                  <w:vAlign w:val="center"/>
                </w:tcPr>
                <w:p w14:paraId="6886336E">
                  <w:pPr>
                    <w:spacing w:line="320" w:lineRule="exact"/>
                    <w:jc w:val="center"/>
                    <w:rPr>
                      <w:color w:val="auto"/>
                      <w:sz w:val="21"/>
                      <w:lang w:bidi="ar"/>
                    </w:rPr>
                  </w:pPr>
                  <w:r>
                    <w:rPr>
                      <w:color w:val="auto"/>
                      <w:sz w:val="21"/>
                      <w:lang w:bidi="ar"/>
                    </w:rPr>
                    <w:t>废气</w:t>
                  </w:r>
                </w:p>
                <w:p w14:paraId="6AC8BEE3">
                  <w:pPr>
                    <w:spacing w:line="320" w:lineRule="exact"/>
                    <w:jc w:val="center"/>
                    <w:rPr>
                      <w:color w:val="auto"/>
                    </w:rPr>
                  </w:pPr>
                  <w:r>
                    <w:rPr>
                      <w:color w:val="auto"/>
                      <w:sz w:val="21"/>
                      <w:lang w:bidi="ar"/>
                    </w:rPr>
                    <w:t>治理</w:t>
                  </w:r>
                </w:p>
              </w:tc>
              <w:tc>
                <w:tcPr>
                  <w:tcW w:w="705" w:type="pct"/>
                  <w:vAlign w:val="center"/>
                </w:tcPr>
                <w:p w14:paraId="216361FC">
                  <w:pPr>
                    <w:spacing w:line="320" w:lineRule="exact"/>
                    <w:jc w:val="center"/>
                    <w:rPr>
                      <w:color w:val="auto"/>
                    </w:rPr>
                  </w:pPr>
                  <w:r>
                    <w:rPr>
                      <w:rFonts w:hint="eastAsia" w:ascii="宋体" w:hAnsi="宋体"/>
                      <w:color w:val="auto"/>
                      <w:sz w:val="21"/>
                      <w:szCs w:val="21"/>
                      <w:lang w:bidi="ar"/>
                    </w:rPr>
                    <w:t>破碎、剪切粉尘</w:t>
                  </w:r>
                </w:p>
              </w:tc>
              <w:tc>
                <w:tcPr>
                  <w:tcW w:w="3444" w:type="pct"/>
                  <w:vAlign w:val="center"/>
                </w:tcPr>
                <w:p w14:paraId="0DAF2BD1">
                  <w:pPr>
                    <w:spacing w:line="320" w:lineRule="exact"/>
                    <w:jc w:val="center"/>
                    <w:rPr>
                      <w:color w:val="auto"/>
                      <w:szCs w:val="21"/>
                    </w:rPr>
                  </w:pPr>
                  <w:r>
                    <w:rPr>
                      <w:color w:val="auto"/>
                      <w:sz w:val="21"/>
                      <w:szCs w:val="21"/>
                      <w:lang w:bidi="ar"/>
                    </w:rPr>
                    <w:t>破碎机</w:t>
                  </w:r>
                  <w:r>
                    <w:rPr>
                      <w:rFonts w:hint="eastAsia"/>
                      <w:color w:val="auto"/>
                      <w:sz w:val="21"/>
                      <w:szCs w:val="21"/>
                      <w:lang w:bidi="ar"/>
                    </w:rPr>
                    <w:t>、</w:t>
                  </w:r>
                  <w:r>
                    <w:rPr>
                      <w:color w:val="auto"/>
                      <w:sz w:val="21"/>
                      <w:szCs w:val="21"/>
                      <w:lang w:bidi="ar"/>
                    </w:rPr>
                    <w:t>剪断机</w:t>
                  </w:r>
                  <w:r>
                    <w:rPr>
                      <w:rFonts w:hint="eastAsia"/>
                      <w:color w:val="auto"/>
                      <w:sz w:val="21"/>
                      <w:szCs w:val="21"/>
                      <w:lang w:bidi="ar"/>
                    </w:rPr>
                    <w:t>分别设集气罩（共2个），废气</w:t>
                  </w:r>
                  <w:r>
                    <w:rPr>
                      <w:rFonts w:hint="eastAsia"/>
                      <w:color w:val="auto"/>
                      <w:sz w:val="21"/>
                      <w:szCs w:val="21"/>
                    </w:rPr>
                    <w:t>经集气罩</w:t>
                  </w:r>
                  <w:r>
                    <w:rPr>
                      <w:color w:val="auto"/>
                      <w:sz w:val="21"/>
                      <w:szCs w:val="21"/>
                      <w:lang w:bidi="ar"/>
                    </w:rPr>
                    <w:t>收集后引入</w:t>
                  </w:r>
                  <w:r>
                    <w:rPr>
                      <w:rFonts w:hint="eastAsia"/>
                      <w:color w:val="auto"/>
                      <w:sz w:val="21"/>
                      <w:szCs w:val="21"/>
                      <w:lang w:bidi="ar"/>
                    </w:rPr>
                    <w:t>1套</w:t>
                  </w:r>
                  <w:r>
                    <w:rPr>
                      <w:color w:val="auto"/>
                      <w:sz w:val="21"/>
                      <w:szCs w:val="21"/>
                      <w:lang w:bidi="ar"/>
                    </w:rPr>
                    <w:t>布袋除尘器</w:t>
                  </w:r>
                  <w:r>
                    <w:rPr>
                      <w:rFonts w:hint="eastAsia"/>
                      <w:color w:val="auto"/>
                      <w:sz w:val="21"/>
                      <w:szCs w:val="21"/>
                      <w:lang w:bidi="ar"/>
                    </w:rPr>
                    <w:t>，</w:t>
                  </w:r>
                  <w:r>
                    <w:rPr>
                      <w:color w:val="auto"/>
                      <w:sz w:val="21"/>
                      <w:szCs w:val="21"/>
                      <w:lang w:bidi="ar"/>
                    </w:rPr>
                    <w:t>处理后通过</w:t>
                  </w:r>
                  <w:r>
                    <w:rPr>
                      <w:rFonts w:hint="eastAsia"/>
                      <w:color w:val="auto"/>
                      <w:sz w:val="21"/>
                      <w:szCs w:val="21"/>
                      <w:lang w:bidi="ar"/>
                    </w:rPr>
                    <w:t>30</w:t>
                  </w:r>
                  <w:r>
                    <w:rPr>
                      <w:color w:val="auto"/>
                      <w:sz w:val="21"/>
                      <w:szCs w:val="21"/>
                      <w:lang w:bidi="ar"/>
                    </w:rPr>
                    <w:t>m排气筒（DA001）排放</w:t>
                  </w:r>
                </w:p>
              </w:tc>
            </w:tr>
            <w:tr w14:paraId="23579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continue"/>
                  <w:vAlign w:val="center"/>
                </w:tcPr>
                <w:p w14:paraId="6CF0AE1E">
                  <w:pPr>
                    <w:spacing w:line="320" w:lineRule="exact"/>
                    <w:jc w:val="center"/>
                    <w:rPr>
                      <w:color w:val="auto"/>
                      <w:sz w:val="21"/>
                      <w:lang w:bidi="ar"/>
                    </w:rPr>
                  </w:pPr>
                </w:p>
              </w:tc>
              <w:tc>
                <w:tcPr>
                  <w:tcW w:w="394" w:type="pct"/>
                  <w:vMerge w:val="continue"/>
                  <w:vAlign w:val="center"/>
                </w:tcPr>
                <w:p w14:paraId="48BD8ED6">
                  <w:pPr>
                    <w:spacing w:line="320" w:lineRule="exact"/>
                    <w:jc w:val="center"/>
                    <w:rPr>
                      <w:color w:val="auto"/>
                      <w:sz w:val="21"/>
                      <w:lang w:bidi="ar"/>
                    </w:rPr>
                  </w:pPr>
                </w:p>
              </w:tc>
              <w:tc>
                <w:tcPr>
                  <w:tcW w:w="705" w:type="pct"/>
                  <w:vAlign w:val="center"/>
                </w:tcPr>
                <w:p w14:paraId="00D0A9E8">
                  <w:pPr>
                    <w:spacing w:line="320" w:lineRule="exact"/>
                    <w:jc w:val="center"/>
                    <w:rPr>
                      <w:color w:val="auto"/>
                      <w:sz w:val="21"/>
                      <w:lang w:bidi="ar"/>
                    </w:rPr>
                  </w:pPr>
                  <w:r>
                    <w:rPr>
                      <w:rFonts w:hint="eastAsia"/>
                      <w:color w:val="auto"/>
                      <w:sz w:val="21"/>
                      <w:lang w:bidi="ar"/>
                    </w:rPr>
                    <w:t>焊接烟尘</w:t>
                  </w:r>
                </w:p>
              </w:tc>
              <w:tc>
                <w:tcPr>
                  <w:tcW w:w="3444" w:type="pct"/>
                  <w:vAlign w:val="center"/>
                </w:tcPr>
                <w:p w14:paraId="73D6F66A">
                  <w:pPr>
                    <w:spacing w:line="320" w:lineRule="exact"/>
                    <w:jc w:val="center"/>
                    <w:rPr>
                      <w:color w:val="auto"/>
                      <w:sz w:val="21"/>
                      <w:szCs w:val="21"/>
                      <w:lang w:bidi="ar"/>
                    </w:rPr>
                  </w:pPr>
                  <w:r>
                    <w:rPr>
                      <w:rFonts w:hint="eastAsia"/>
                      <w:color w:val="auto"/>
                      <w:sz w:val="21"/>
                    </w:rPr>
                    <w:t>每台焊机设1套</w:t>
                  </w:r>
                  <w:r>
                    <w:rPr>
                      <w:color w:val="auto"/>
                      <w:sz w:val="21"/>
                    </w:rPr>
                    <w:t>移动式烟尘净化器</w:t>
                  </w:r>
                  <w:r>
                    <w:rPr>
                      <w:rFonts w:hint="eastAsia"/>
                      <w:color w:val="auto"/>
                      <w:sz w:val="21"/>
                    </w:rPr>
                    <w:t>，焊接烟尘采用</w:t>
                  </w:r>
                  <w:r>
                    <w:rPr>
                      <w:color w:val="auto"/>
                      <w:sz w:val="21"/>
                    </w:rPr>
                    <w:t>移动式烟尘净化器</w:t>
                  </w:r>
                  <w:r>
                    <w:rPr>
                      <w:rFonts w:hint="eastAsia"/>
                      <w:color w:val="auto"/>
                      <w:sz w:val="21"/>
                    </w:rPr>
                    <w:t>（共4套）</w:t>
                  </w:r>
                  <w:r>
                    <w:rPr>
                      <w:color w:val="auto"/>
                      <w:sz w:val="21"/>
                    </w:rPr>
                    <w:t>收集后无组织排放</w:t>
                  </w:r>
                </w:p>
              </w:tc>
            </w:tr>
            <w:tr w14:paraId="685EC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continue"/>
                  <w:vAlign w:val="center"/>
                </w:tcPr>
                <w:p w14:paraId="0C9AB748">
                  <w:pPr>
                    <w:spacing w:line="320" w:lineRule="exact"/>
                    <w:jc w:val="center"/>
                    <w:rPr>
                      <w:color w:val="auto"/>
                      <w:sz w:val="21"/>
                      <w:lang w:bidi="ar"/>
                    </w:rPr>
                  </w:pPr>
                </w:p>
              </w:tc>
              <w:tc>
                <w:tcPr>
                  <w:tcW w:w="394" w:type="pct"/>
                  <w:vMerge w:val="continue"/>
                  <w:vAlign w:val="center"/>
                </w:tcPr>
                <w:p w14:paraId="6A9C6086">
                  <w:pPr>
                    <w:spacing w:line="320" w:lineRule="exact"/>
                    <w:jc w:val="center"/>
                    <w:rPr>
                      <w:color w:val="auto"/>
                      <w:sz w:val="21"/>
                      <w:lang w:bidi="ar"/>
                    </w:rPr>
                  </w:pPr>
                </w:p>
              </w:tc>
              <w:tc>
                <w:tcPr>
                  <w:tcW w:w="705" w:type="pct"/>
                  <w:vAlign w:val="center"/>
                </w:tcPr>
                <w:p w14:paraId="79833E20">
                  <w:pPr>
                    <w:spacing w:line="320" w:lineRule="exact"/>
                    <w:jc w:val="center"/>
                    <w:rPr>
                      <w:color w:val="auto"/>
                      <w:sz w:val="21"/>
                      <w:lang w:bidi="ar"/>
                    </w:rPr>
                  </w:pPr>
                  <w:r>
                    <w:rPr>
                      <w:rFonts w:hint="eastAsia"/>
                      <w:color w:val="auto"/>
                      <w:sz w:val="21"/>
                      <w:lang w:bidi="ar"/>
                    </w:rPr>
                    <w:t>硫酸雾、非甲烷总烃</w:t>
                  </w:r>
                </w:p>
              </w:tc>
              <w:tc>
                <w:tcPr>
                  <w:tcW w:w="3444" w:type="pct"/>
                  <w:vAlign w:val="center"/>
                </w:tcPr>
                <w:p w14:paraId="54880551">
                  <w:pPr>
                    <w:keepNext w:val="0"/>
                    <w:keepLines w:val="0"/>
                    <w:pageBreakBefore w:val="0"/>
                    <w:widowControl w:val="0"/>
                    <w:kinsoku/>
                    <w:wordWrap/>
                    <w:overflowPunct/>
                    <w:topLinePunct w:val="0"/>
                    <w:autoSpaceDE/>
                    <w:autoSpaceDN/>
                    <w:bidi w:val="0"/>
                    <w:adjustRightInd/>
                    <w:snapToGrid/>
                    <w:spacing w:line="320" w:lineRule="exact"/>
                    <w:ind w:left="-48" w:leftChars="-20" w:right="-48" w:rightChars="-20"/>
                    <w:jc w:val="center"/>
                    <w:textAlignment w:val="auto"/>
                    <w:rPr>
                      <w:color w:val="auto"/>
                      <w:sz w:val="21"/>
                      <w:szCs w:val="21"/>
                    </w:rPr>
                  </w:pPr>
                  <w:r>
                    <w:rPr>
                      <w:rFonts w:hint="eastAsia"/>
                      <w:color w:val="auto"/>
                      <w:sz w:val="21"/>
                      <w:szCs w:val="21"/>
                      <w:lang w:val="en-US" w:eastAsia="zh-CN"/>
                    </w:rPr>
                    <w:t>废铅蓄电池本身在常规储存状态下，不会产生废气，非正常工况下，若废铅蓄电池出现破损、废电解液泄漏，危废暂存库设有防渗塑料桶用来盛装废电解液，并加盖密闭存储</w:t>
                  </w:r>
                  <w:r>
                    <w:rPr>
                      <w:rFonts w:hint="eastAsia"/>
                      <w:color w:val="auto"/>
                      <w:sz w:val="21"/>
                      <w:szCs w:val="21"/>
                    </w:rPr>
                    <w:t>；废矿物油贮存在加盖密封铁皮桶内；危废暂存库为封闭式建筑，加强危废暂存库通风，缩短贮存周期，对周围环境影响较小</w:t>
                  </w:r>
                </w:p>
              </w:tc>
            </w:tr>
            <w:tr w14:paraId="1BFFB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continue"/>
                  <w:vAlign w:val="center"/>
                </w:tcPr>
                <w:p w14:paraId="43B2B9E4">
                  <w:pPr>
                    <w:spacing w:line="320" w:lineRule="exact"/>
                    <w:jc w:val="center"/>
                    <w:rPr>
                      <w:color w:val="auto"/>
                      <w:sz w:val="21"/>
                      <w:lang w:bidi="ar"/>
                    </w:rPr>
                  </w:pPr>
                </w:p>
              </w:tc>
              <w:tc>
                <w:tcPr>
                  <w:tcW w:w="394" w:type="pct"/>
                  <w:vMerge w:val="continue"/>
                  <w:vAlign w:val="center"/>
                </w:tcPr>
                <w:p w14:paraId="59A1A48F">
                  <w:pPr>
                    <w:spacing w:line="320" w:lineRule="exact"/>
                    <w:jc w:val="center"/>
                    <w:rPr>
                      <w:color w:val="auto"/>
                      <w:sz w:val="21"/>
                      <w:lang w:bidi="ar"/>
                    </w:rPr>
                  </w:pPr>
                </w:p>
              </w:tc>
              <w:tc>
                <w:tcPr>
                  <w:tcW w:w="705" w:type="pct"/>
                  <w:vAlign w:val="center"/>
                </w:tcPr>
                <w:p w14:paraId="6DB90997">
                  <w:pPr>
                    <w:spacing w:line="320" w:lineRule="exact"/>
                    <w:jc w:val="center"/>
                    <w:rPr>
                      <w:color w:val="auto"/>
                      <w:sz w:val="21"/>
                      <w:lang w:bidi="ar"/>
                    </w:rPr>
                  </w:pPr>
                  <w:r>
                    <w:rPr>
                      <w:rFonts w:hint="eastAsia"/>
                      <w:color w:val="auto"/>
                      <w:sz w:val="21"/>
                      <w:lang w:bidi="ar"/>
                    </w:rPr>
                    <w:t>运输扬尘</w:t>
                  </w:r>
                </w:p>
              </w:tc>
              <w:tc>
                <w:tcPr>
                  <w:tcW w:w="3444" w:type="pct"/>
                  <w:vAlign w:val="center"/>
                </w:tcPr>
                <w:p w14:paraId="5A147A12">
                  <w:pPr>
                    <w:spacing w:line="320" w:lineRule="exact"/>
                    <w:jc w:val="center"/>
                    <w:rPr>
                      <w:color w:val="auto"/>
                      <w:sz w:val="21"/>
                      <w:szCs w:val="21"/>
                      <w:lang w:bidi="ar"/>
                    </w:rPr>
                  </w:pPr>
                  <w:r>
                    <w:rPr>
                      <w:color w:val="auto"/>
                      <w:sz w:val="21"/>
                      <w:szCs w:val="21"/>
                    </w:rPr>
                    <w:t>道路硬化+清扫车打扫+运输车辆加盖篷布</w:t>
                  </w:r>
                </w:p>
              </w:tc>
            </w:tr>
            <w:tr w14:paraId="4AD92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continue"/>
                  <w:vAlign w:val="center"/>
                </w:tcPr>
                <w:p w14:paraId="5D147462">
                  <w:pPr>
                    <w:spacing w:line="320" w:lineRule="exact"/>
                    <w:jc w:val="center"/>
                    <w:rPr>
                      <w:color w:val="auto"/>
                      <w:sz w:val="21"/>
                    </w:rPr>
                  </w:pPr>
                </w:p>
              </w:tc>
              <w:tc>
                <w:tcPr>
                  <w:tcW w:w="394" w:type="pct"/>
                  <w:vMerge w:val="restart"/>
                  <w:vAlign w:val="center"/>
                </w:tcPr>
                <w:p w14:paraId="20AB0383">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lang w:bidi="ar"/>
                    </w:rPr>
                  </w:pPr>
                  <w:r>
                    <w:rPr>
                      <w:color w:val="auto"/>
                      <w:sz w:val="21"/>
                      <w:lang w:bidi="ar"/>
                    </w:rPr>
                    <w:t>废水</w:t>
                  </w:r>
                </w:p>
                <w:p w14:paraId="6C8E9EB9">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rPr>
                  </w:pPr>
                  <w:r>
                    <w:rPr>
                      <w:color w:val="auto"/>
                      <w:sz w:val="21"/>
                      <w:lang w:bidi="ar"/>
                    </w:rPr>
                    <w:t>治理</w:t>
                  </w:r>
                </w:p>
              </w:tc>
              <w:tc>
                <w:tcPr>
                  <w:tcW w:w="705" w:type="pct"/>
                  <w:vAlign w:val="center"/>
                </w:tcPr>
                <w:p w14:paraId="12FDD380">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lang w:bidi="ar"/>
                    </w:rPr>
                  </w:pPr>
                  <w:r>
                    <w:rPr>
                      <w:rFonts w:hint="eastAsia"/>
                      <w:color w:val="auto"/>
                      <w:sz w:val="21"/>
                      <w:lang w:bidi="ar"/>
                    </w:rPr>
                    <w:t>维修车间</w:t>
                  </w:r>
                </w:p>
                <w:p w14:paraId="29BEC58D">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lang w:bidi="ar"/>
                    </w:rPr>
                  </w:pPr>
                  <w:r>
                    <w:rPr>
                      <w:rFonts w:hint="eastAsia"/>
                      <w:color w:val="auto"/>
                      <w:sz w:val="21"/>
                      <w:lang w:bidi="ar"/>
                    </w:rPr>
                    <w:t>清洗废水</w:t>
                  </w:r>
                </w:p>
              </w:tc>
              <w:tc>
                <w:tcPr>
                  <w:tcW w:w="3444" w:type="pct"/>
                  <w:vAlign w:val="center"/>
                </w:tcPr>
                <w:p w14:paraId="520A7B21">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bCs/>
                      <w:color w:val="auto"/>
                      <w:sz w:val="21"/>
                      <w:szCs w:val="21"/>
                      <w:lang w:bidi="ar"/>
                    </w:rPr>
                  </w:pPr>
                  <w:r>
                    <w:rPr>
                      <w:rFonts w:hint="eastAsia"/>
                      <w:bCs/>
                      <w:color w:val="auto"/>
                      <w:sz w:val="21"/>
                      <w:szCs w:val="21"/>
                      <w:lang w:bidi="ar"/>
                    </w:rPr>
                    <w:t>清洗废水经一体化污水处理设施处理后</w:t>
                  </w:r>
                  <w:r>
                    <w:rPr>
                      <w:rFonts w:hint="eastAsia"/>
                      <w:color w:val="auto"/>
                      <w:sz w:val="21"/>
                      <w:lang w:val="en-US" w:eastAsia="zh-CN"/>
                    </w:rPr>
                    <w:t>用于厂区绿化、道路洒水</w:t>
                  </w:r>
                </w:p>
              </w:tc>
            </w:tr>
            <w:tr w14:paraId="5B936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continue"/>
                  <w:vAlign w:val="center"/>
                </w:tcPr>
                <w:p w14:paraId="40A135A4">
                  <w:pPr>
                    <w:spacing w:line="320" w:lineRule="exact"/>
                    <w:jc w:val="center"/>
                    <w:rPr>
                      <w:color w:val="auto"/>
                      <w:sz w:val="21"/>
                    </w:rPr>
                  </w:pPr>
                </w:p>
              </w:tc>
              <w:tc>
                <w:tcPr>
                  <w:tcW w:w="394" w:type="pct"/>
                  <w:vMerge w:val="continue"/>
                  <w:vAlign w:val="center"/>
                </w:tcPr>
                <w:p w14:paraId="58E951EE">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rPr>
                  </w:pPr>
                </w:p>
              </w:tc>
              <w:tc>
                <w:tcPr>
                  <w:tcW w:w="705" w:type="pct"/>
                  <w:vAlign w:val="center"/>
                </w:tcPr>
                <w:p w14:paraId="5579DCB0">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rPr>
                  </w:pPr>
                  <w:r>
                    <w:rPr>
                      <w:color w:val="auto"/>
                      <w:sz w:val="21"/>
                      <w:lang w:bidi="ar"/>
                    </w:rPr>
                    <w:t>生活污水</w:t>
                  </w:r>
                </w:p>
              </w:tc>
              <w:tc>
                <w:tcPr>
                  <w:tcW w:w="3444" w:type="pct"/>
                  <w:vAlign w:val="center"/>
                </w:tcPr>
                <w:p w14:paraId="6D8CFAD0">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rPr>
                  </w:pPr>
                  <w:r>
                    <w:rPr>
                      <w:rFonts w:hint="eastAsia"/>
                      <w:color w:val="auto"/>
                      <w:sz w:val="21"/>
                    </w:rPr>
                    <w:t>生活污水经化粪池处理后经园区污水管网排入蒙西工业园区生活污水处理厂</w:t>
                  </w:r>
                </w:p>
              </w:tc>
            </w:tr>
            <w:tr w14:paraId="463B9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continue"/>
                  <w:vAlign w:val="center"/>
                </w:tcPr>
                <w:p w14:paraId="74F63B99">
                  <w:pPr>
                    <w:spacing w:line="320" w:lineRule="exact"/>
                    <w:jc w:val="center"/>
                    <w:rPr>
                      <w:color w:val="auto"/>
                      <w:sz w:val="21"/>
                    </w:rPr>
                  </w:pPr>
                </w:p>
              </w:tc>
              <w:tc>
                <w:tcPr>
                  <w:tcW w:w="394" w:type="pct"/>
                  <w:vMerge w:val="continue"/>
                  <w:vAlign w:val="center"/>
                </w:tcPr>
                <w:p w14:paraId="3CF29B85">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rPr>
                  </w:pPr>
                </w:p>
              </w:tc>
              <w:tc>
                <w:tcPr>
                  <w:tcW w:w="705" w:type="pct"/>
                  <w:vAlign w:val="center"/>
                </w:tcPr>
                <w:p w14:paraId="2B1EE948">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highlight w:val="yellow"/>
                      <w:lang w:bidi="ar"/>
                    </w:rPr>
                  </w:pPr>
                  <w:r>
                    <w:rPr>
                      <w:rFonts w:hint="eastAsia"/>
                      <w:color w:val="auto"/>
                      <w:sz w:val="21"/>
                      <w:szCs w:val="21"/>
                      <w:lang w:bidi="ar"/>
                    </w:rPr>
                    <w:t>初期雨水</w:t>
                  </w:r>
                </w:p>
              </w:tc>
              <w:tc>
                <w:tcPr>
                  <w:tcW w:w="3444" w:type="pct"/>
                  <w:vAlign w:val="center"/>
                </w:tcPr>
                <w:p w14:paraId="36642E53">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rPr>
                  </w:pPr>
                  <w:r>
                    <w:rPr>
                      <w:rFonts w:hint="eastAsia"/>
                      <w:color w:val="auto"/>
                      <w:sz w:val="21"/>
                      <w:szCs w:val="21"/>
                    </w:rPr>
                    <w:t>项目</w:t>
                  </w:r>
                  <w:r>
                    <w:rPr>
                      <w:color w:val="auto"/>
                    </w:rPr>
                    <w:commentReference w:id="13"/>
                  </w:r>
                  <w:r>
                    <w:rPr>
                      <w:rFonts w:hint="eastAsia"/>
                      <w:color w:val="auto"/>
                      <w:sz w:val="21"/>
                      <w:szCs w:val="21"/>
                    </w:rPr>
                    <w:t>在厂区最低处（西南侧）建设</w:t>
                  </w:r>
                  <w:r>
                    <w:rPr>
                      <w:color w:val="auto"/>
                      <w:sz w:val="21"/>
                      <w:szCs w:val="21"/>
                    </w:rPr>
                    <w:t>1</w:t>
                  </w:r>
                  <w:r>
                    <w:rPr>
                      <w:rFonts w:hint="eastAsia"/>
                      <w:color w:val="auto"/>
                      <w:sz w:val="21"/>
                      <w:szCs w:val="21"/>
                    </w:rPr>
                    <w:t>座150</w:t>
                  </w:r>
                  <w:r>
                    <w:rPr>
                      <w:color w:val="auto"/>
                      <w:sz w:val="21"/>
                      <w:szCs w:val="21"/>
                    </w:rPr>
                    <w:t>m</w:t>
                  </w:r>
                  <w:r>
                    <w:rPr>
                      <w:color w:val="auto"/>
                      <w:sz w:val="21"/>
                      <w:szCs w:val="21"/>
                      <w:vertAlign w:val="superscript"/>
                    </w:rPr>
                    <w:t>3</w:t>
                  </w:r>
                  <w:r>
                    <w:rPr>
                      <w:rFonts w:hint="eastAsia"/>
                      <w:color w:val="auto"/>
                      <w:sz w:val="21"/>
                      <w:szCs w:val="21"/>
                    </w:rPr>
                    <w:t>初期雨水池，收集的雨水经沉淀后回用于厂区空地洒水降尘。</w:t>
                  </w:r>
                </w:p>
              </w:tc>
            </w:tr>
            <w:tr w14:paraId="653D7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continue"/>
                  <w:vAlign w:val="center"/>
                </w:tcPr>
                <w:p w14:paraId="5933D2E5">
                  <w:pPr>
                    <w:spacing w:line="320" w:lineRule="exact"/>
                    <w:jc w:val="center"/>
                    <w:rPr>
                      <w:color w:val="auto"/>
                      <w:sz w:val="21"/>
                    </w:rPr>
                  </w:pPr>
                </w:p>
              </w:tc>
              <w:tc>
                <w:tcPr>
                  <w:tcW w:w="394" w:type="pct"/>
                  <w:vAlign w:val="center"/>
                </w:tcPr>
                <w:p w14:paraId="33E8C79E">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lang w:bidi="ar"/>
                    </w:rPr>
                  </w:pPr>
                  <w:r>
                    <w:rPr>
                      <w:color w:val="auto"/>
                      <w:sz w:val="21"/>
                      <w:szCs w:val="21"/>
                      <w:lang w:bidi="ar"/>
                    </w:rPr>
                    <w:t>噪声</w:t>
                  </w:r>
                </w:p>
                <w:p w14:paraId="79AA0855">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rPr>
                  </w:pPr>
                  <w:r>
                    <w:rPr>
                      <w:color w:val="auto"/>
                      <w:sz w:val="21"/>
                      <w:szCs w:val="21"/>
                      <w:lang w:bidi="ar"/>
                    </w:rPr>
                    <w:t>治理</w:t>
                  </w:r>
                </w:p>
              </w:tc>
              <w:tc>
                <w:tcPr>
                  <w:tcW w:w="705" w:type="pct"/>
                  <w:vAlign w:val="center"/>
                </w:tcPr>
                <w:p w14:paraId="593E7BE8">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rPr>
                  </w:pPr>
                  <w:r>
                    <w:rPr>
                      <w:color w:val="auto"/>
                      <w:sz w:val="21"/>
                      <w:szCs w:val="21"/>
                      <w:lang w:bidi="ar"/>
                    </w:rPr>
                    <w:t>设备噪声</w:t>
                  </w:r>
                </w:p>
              </w:tc>
              <w:tc>
                <w:tcPr>
                  <w:tcW w:w="3444" w:type="pct"/>
                  <w:vAlign w:val="center"/>
                </w:tcPr>
                <w:p w14:paraId="18CEF590">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rPr>
                  </w:pPr>
                  <w:r>
                    <w:rPr>
                      <w:bCs/>
                      <w:color w:val="auto"/>
                      <w:sz w:val="21"/>
                      <w:szCs w:val="21"/>
                      <w:lang w:bidi="ar"/>
                    </w:rPr>
                    <w:t>选用低噪设备，</w:t>
                  </w:r>
                  <w:r>
                    <w:rPr>
                      <w:color w:val="auto"/>
                      <w:sz w:val="21"/>
                      <w:szCs w:val="21"/>
                      <w:lang w:bidi="ar"/>
                    </w:rPr>
                    <w:t>厂房隔声、基础减振等措施</w:t>
                  </w:r>
                </w:p>
              </w:tc>
            </w:tr>
            <w:tr w14:paraId="3CB89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0" w:hRule="atLeast"/>
                <w:jc w:val="center"/>
              </w:trPr>
              <w:tc>
                <w:tcPr>
                  <w:tcW w:w="456" w:type="pct"/>
                  <w:vMerge w:val="continue"/>
                  <w:vAlign w:val="center"/>
                </w:tcPr>
                <w:p w14:paraId="7F0286E7">
                  <w:pPr>
                    <w:spacing w:line="320" w:lineRule="exact"/>
                    <w:jc w:val="center"/>
                    <w:rPr>
                      <w:color w:val="auto"/>
                      <w:sz w:val="21"/>
                    </w:rPr>
                  </w:pPr>
                </w:p>
              </w:tc>
              <w:tc>
                <w:tcPr>
                  <w:tcW w:w="394" w:type="pct"/>
                  <w:vMerge w:val="restart"/>
                  <w:vAlign w:val="center"/>
                </w:tcPr>
                <w:p w14:paraId="51D8CD33">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lang w:bidi="ar"/>
                    </w:rPr>
                  </w:pPr>
                  <w:r>
                    <w:rPr>
                      <w:color w:val="auto"/>
                      <w:sz w:val="21"/>
                      <w:lang w:bidi="ar"/>
                    </w:rPr>
                    <w:t>固废</w:t>
                  </w:r>
                </w:p>
                <w:p w14:paraId="1736C79B">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rPr>
                  </w:pPr>
                  <w:r>
                    <w:rPr>
                      <w:color w:val="auto"/>
                      <w:sz w:val="21"/>
                      <w:lang w:bidi="ar"/>
                    </w:rPr>
                    <w:t>治理</w:t>
                  </w:r>
                </w:p>
              </w:tc>
              <w:tc>
                <w:tcPr>
                  <w:tcW w:w="705" w:type="pct"/>
                  <w:vAlign w:val="center"/>
                </w:tcPr>
                <w:p w14:paraId="490F69E1">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rPr>
                  </w:pPr>
                  <w:r>
                    <w:rPr>
                      <w:rFonts w:hint="eastAsia"/>
                      <w:color w:val="auto"/>
                      <w:sz w:val="21"/>
                      <w:szCs w:val="21"/>
                    </w:rPr>
                    <w:t>危险废物</w:t>
                  </w:r>
                </w:p>
              </w:tc>
              <w:tc>
                <w:tcPr>
                  <w:tcW w:w="3444" w:type="pct"/>
                  <w:vAlign w:val="center"/>
                </w:tcPr>
                <w:p w14:paraId="6F0433EB">
                  <w:pPr>
                    <w:keepNext w:val="0"/>
                    <w:keepLines w:val="0"/>
                    <w:pageBreakBefore w:val="0"/>
                    <w:widowControl w:val="0"/>
                    <w:kinsoku/>
                    <w:wordWrap/>
                    <w:overflowPunct/>
                    <w:topLinePunct w:val="0"/>
                    <w:autoSpaceDE/>
                    <w:autoSpaceDN/>
                    <w:bidi w:val="0"/>
                    <w:adjustRightInd/>
                    <w:snapToGrid/>
                    <w:spacing w:line="310" w:lineRule="exact"/>
                    <w:ind w:left="-48" w:leftChars="-20" w:right="-48" w:rightChars="-20"/>
                    <w:jc w:val="center"/>
                    <w:textAlignment w:val="auto"/>
                    <w:rPr>
                      <w:color w:val="auto"/>
                      <w:sz w:val="21"/>
                      <w:szCs w:val="21"/>
                    </w:rPr>
                  </w:pPr>
                  <w:r>
                    <w:rPr>
                      <w:rFonts w:hint="eastAsia"/>
                      <w:color w:val="auto"/>
                      <w:sz w:val="21"/>
                      <w:szCs w:val="21"/>
                    </w:rPr>
                    <w:t>设1座危废暂存库，建筑面积</w:t>
                  </w:r>
                  <w:r>
                    <w:rPr>
                      <w:rFonts w:hint="eastAsia"/>
                      <w:color w:val="auto"/>
                      <w:sz w:val="21"/>
                      <w:szCs w:val="21"/>
                      <w:lang w:val="en-US" w:eastAsia="zh-CN"/>
                    </w:rPr>
                    <w:t>50</w:t>
                  </w:r>
                  <w:r>
                    <w:rPr>
                      <w:rFonts w:hint="eastAsia"/>
                      <w:color w:val="auto"/>
                      <w:sz w:val="21"/>
                      <w:szCs w:val="21"/>
                    </w:rPr>
                    <w:t>m</w:t>
                  </w:r>
                  <w:r>
                    <w:rPr>
                      <w:rFonts w:hint="eastAsia"/>
                      <w:color w:val="auto"/>
                      <w:sz w:val="21"/>
                      <w:szCs w:val="21"/>
                      <w:vertAlign w:val="superscript"/>
                    </w:rPr>
                    <w:t>2</w:t>
                  </w:r>
                  <w:r>
                    <w:rPr>
                      <w:rFonts w:hint="eastAsia"/>
                      <w:color w:val="auto"/>
                      <w:sz w:val="21"/>
                      <w:szCs w:val="21"/>
                    </w:rPr>
                    <w:t>，高5.1m，废机油、废制动液、废铅酸蓄电池、废机滤、废油、污泥</w:t>
                  </w:r>
                  <w:r>
                    <w:rPr>
                      <w:rFonts w:hint="eastAsia"/>
                      <w:color w:val="auto"/>
                      <w:sz w:val="21"/>
                      <w:szCs w:val="21"/>
                      <w:lang w:eastAsia="zh-CN"/>
                    </w:rPr>
                    <w:t>、</w:t>
                  </w:r>
                  <w:r>
                    <w:rPr>
                      <w:rFonts w:hint="eastAsia"/>
                      <w:color w:val="auto"/>
                      <w:sz w:val="21"/>
                      <w:szCs w:val="21"/>
                      <w:lang w:val="en-US" w:eastAsia="zh-CN"/>
                    </w:rPr>
                    <w:t>废膜、沾染油污的废零部件</w:t>
                  </w:r>
                  <w:r>
                    <w:rPr>
                      <w:rFonts w:hint="eastAsia"/>
                      <w:color w:val="auto"/>
                      <w:sz w:val="21"/>
                      <w:szCs w:val="21"/>
                    </w:rPr>
                    <w:t>分类暂存于危废库，定期交由有资质单位处置</w:t>
                  </w:r>
                </w:p>
              </w:tc>
            </w:tr>
            <w:tr w14:paraId="7F4A5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continue"/>
                  <w:vAlign w:val="center"/>
                </w:tcPr>
                <w:p w14:paraId="5A41DF24">
                  <w:pPr>
                    <w:spacing w:line="320" w:lineRule="exact"/>
                    <w:jc w:val="center"/>
                    <w:rPr>
                      <w:color w:val="auto"/>
                      <w:sz w:val="21"/>
                    </w:rPr>
                  </w:pPr>
                </w:p>
              </w:tc>
              <w:tc>
                <w:tcPr>
                  <w:tcW w:w="394" w:type="pct"/>
                  <w:vMerge w:val="continue"/>
                  <w:vAlign w:val="center"/>
                </w:tcPr>
                <w:p w14:paraId="7DEF88AD">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rPr>
                  </w:pPr>
                </w:p>
              </w:tc>
              <w:tc>
                <w:tcPr>
                  <w:tcW w:w="705" w:type="pct"/>
                  <w:vAlign w:val="center"/>
                </w:tcPr>
                <w:p w14:paraId="5D217F86">
                  <w:pPr>
                    <w:keepNext w:val="0"/>
                    <w:keepLines w:val="0"/>
                    <w:pageBreakBefore w:val="0"/>
                    <w:widowControl w:val="0"/>
                    <w:kinsoku/>
                    <w:wordWrap/>
                    <w:overflowPunct/>
                    <w:topLinePunct w:val="0"/>
                    <w:autoSpaceDE/>
                    <w:autoSpaceDN/>
                    <w:bidi w:val="0"/>
                    <w:adjustRightInd/>
                    <w:snapToGrid/>
                    <w:spacing w:line="310" w:lineRule="exact"/>
                    <w:ind w:left="-48" w:leftChars="-20" w:right="-48" w:rightChars="-20"/>
                    <w:jc w:val="center"/>
                    <w:textAlignment w:val="auto"/>
                    <w:rPr>
                      <w:color w:val="auto"/>
                      <w:sz w:val="21"/>
                      <w:szCs w:val="21"/>
                      <w:lang w:bidi="ar"/>
                    </w:rPr>
                  </w:pPr>
                  <w:r>
                    <w:rPr>
                      <w:rFonts w:hint="eastAsia"/>
                      <w:color w:val="auto"/>
                      <w:sz w:val="21"/>
                      <w:szCs w:val="21"/>
                      <w:lang w:bidi="ar"/>
                    </w:rPr>
                    <w:t>非磁性物质</w:t>
                  </w:r>
                </w:p>
              </w:tc>
              <w:tc>
                <w:tcPr>
                  <w:tcW w:w="3444" w:type="pct"/>
                  <w:tcBorders>
                    <w:bottom w:val="single" w:color="auto" w:sz="4" w:space="0"/>
                  </w:tcBorders>
                  <w:vAlign w:val="center"/>
                </w:tcPr>
                <w:p w14:paraId="4AA2325E">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lang w:bidi="ar"/>
                    </w:rPr>
                  </w:pPr>
                  <w:r>
                    <w:rPr>
                      <w:rFonts w:hint="eastAsia"/>
                      <w:color w:val="auto"/>
                      <w:sz w:val="21"/>
                      <w:szCs w:val="21"/>
                    </w:rPr>
                    <w:t>非磁性物质暂存于</w:t>
                  </w:r>
                  <w:r>
                    <w:rPr>
                      <w:rFonts w:hint="eastAsia"/>
                      <w:color w:val="auto"/>
                      <w:sz w:val="21"/>
                      <w:szCs w:val="21"/>
                      <w:lang w:val="en-US" w:eastAsia="zh-CN"/>
                    </w:rPr>
                    <w:t>废钢储存库房</w:t>
                  </w:r>
                  <w:r>
                    <w:rPr>
                      <w:rFonts w:hint="eastAsia"/>
                      <w:color w:val="auto"/>
                      <w:sz w:val="21"/>
                      <w:szCs w:val="21"/>
                    </w:rPr>
                    <w:t>，收集后外售废品回收公司综合利用</w:t>
                  </w:r>
                </w:p>
              </w:tc>
            </w:tr>
            <w:tr w14:paraId="23A16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continue"/>
                  <w:vAlign w:val="center"/>
                </w:tcPr>
                <w:p w14:paraId="1B4F8AB7">
                  <w:pPr>
                    <w:spacing w:line="320" w:lineRule="exact"/>
                    <w:jc w:val="center"/>
                    <w:rPr>
                      <w:color w:val="auto"/>
                      <w:sz w:val="21"/>
                    </w:rPr>
                  </w:pPr>
                </w:p>
              </w:tc>
              <w:tc>
                <w:tcPr>
                  <w:tcW w:w="394" w:type="pct"/>
                  <w:vMerge w:val="continue"/>
                  <w:vAlign w:val="center"/>
                </w:tcPr>
                <w:p w14:paraId="07276DE7">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rPr>
                  </w:pPr>
                </w:p>
              </w:tc>
              <w:tc>
                <w:tcPr>
                  <w:tcW w:w="705" w:type="pct"/>
                  <w:vAlign w:val="center"/>
                </w:tcPr>
                <w:p w14:paraId="750471DE">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lang w:bidi="ar"/>
                    </w:rPr>
                  </w:pPr>
                  <w:r>
                    <w:rPr>
                      <w:rFonts w:hint="eastAsia"/>
                      <w:color w:val="auto"/>
                      <w:sz w:val="21"/>
                      <w:szCs w:val="21"/>
                      <w:lang w:bidi="ar"/>
                    </w:rPr>
                    <w:t>废零部件</w:t>
                  </w:r>
                </w:p>
              </w:tc>
              <w:tc>
                <w:tcPr>
                  <w:tcW w:w="3444" w:type="pct"/>
                  <w:tcBorders>
                    <w:top w:val="single" w:color="auto" w:sz="4" w:space="0"/>
                  </w:tcBorders>
                  <w:vAlign w:val="center"/>
                </w:tcPr>
                <w:p w14:paraId="15786C0D">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lang w:bidi="ar"/>
                    </w:rPr>
                  </w:pPr>
                  <w:r>
                    <w:rPr>
                      <w:rFonts w:hint="eastAsia"/>
                      <w:color w:val="auto"/>
                      <w:sz w:val="21"/>
                      <w:szCs w:val="21"/>
                      <w:lang w:bidi="ar"/>
                    </w:rPr>
                    <w:t>设1座一般固废暂存间，建筑面积20</w:t>
                  </w:r>
                  <w:r>
                    <w:rPr>
                      <w:rFonts w:hint="eastAsia"/>
                      <w:color w:val="auto"/>
                      <w:sz w:val="21"/>
                      <w:szCs w:val="21"/>
                    </w:rPr>
                    <w:t>m</w:t>
                  </w:r>
                  <w:r>
                    <w:rPr>
                      <w:rFonts w:hint="eastAsia"/>
                      <w:color w:val="auto"/>
                      <w:sz w:val="21"/>
                      <w:szCs w:val="21"/>
                      <w:vertAlign w:val="superscript"/>
                    </w:rPr>
                    <w:t>2</w:t>
                  </w:r>
                  <w:r>
                    <w:rPr>
                      <w:rFonts w:hint="eastAsia"/>
                      <w:color w:val="auto"/>
                      <w:sz w:val="21"/>
                      <w:szCs w:val="21"/>
                    </w:rPr>
                    <w:t>，</w:t>
                  </w:r>
                  <w:r>
                    <w:rPr>
                      <w:rFonts w:hint="eastAsia"/>
                      <w:color w:val="auto"/>
                      <w:sz w:val="21"/>
                      <w:szCs w:val="21"/>
                      <w:lang w:val="en-US" w:eastAsia="zh-CN"/>
                    </w:rPr>
                    <w:t>未沾染油污的废零部件</w:t>
                  </w:r>
                  <w:r>
                    <w:rPr>
                      <w:rFonts w:hint="eastAsia"/>
                      <w:color w:val="auto"/>
                      <w:sz w:val="21"/>
                      <w:szCs w:val="21"/>
                    </w:rPr>
                    <w:t>分类暂存于一般固废暂存间，收</w:t>
                  </w:r>
                  <w:r>
                    <w:rPr>
                      <w:color w:val="auto"/>
                      <w:sz w:val="21"/>
                      <w:szCs w:val="21"/>
                    </w:rPr>
                    <w:t>集后外售废品回收公司综合利用</w:t>
                  </w:r>
                </w:p>
              </w:tc>
            </w:tr>
            <w:tr w14:paraId="2BC60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continue"/>
                  <w:vAlign w:val="center"/>
                </w:tcPr>
                <w:p w14:paraId="289848F0">
                  <w:pPr>
                    <w:spacing w:line="320" w:lineRule="exact"/>
                    <w:jc w:val="center"/>
                    <w:rPr>
                      <w:color w:val="auto"/>
                      <w:sz w:val="21"/>
                    </w:rPr>
                  </w:pPr>
                </w:p>
              </w:tc>
              <w:tc>
                <w:tcPr>
                  <w:tcW w:w="394" w:type="pct"/>
                  <w:vMerge w:val="continue"/>
                  <w:vAlign w:val="center"/>
                </w:tcPr>
                <w:p w14:paraId="0832B7EC">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rPr>
                  </w:pPr>
                </w:p>
              </w:tc>
              <w:tc>
                <w:tcPr>
                  <w:tcW w:w="705" w:type="pct"/>
                  <w:vAlign w:val="center"/>
                </w:tcPr>
                <w:p w14:paraId="7DB3B967">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rPr>
                  </w:pPr>
                  <w:r>
                    <w:rPr>
                      <w:color w:val="auto"/>
                      <w:sz w:val="21"/>
                      <w:szCs w:val="21"/>
                      <w:lang w:bidi="ar"/>
                    </w:rPr>
                    <w:t>除尘器收集粉尘</w:t>
                  </w:r>
                </w:p>
              </w:tc>
              <w:tc>
                <w:tcPr>
                  <w:tcW w:w="3444" w:type="pct"/>
                  <w:vAlign w:val="center"/>
                </w:tcPr>
                <w:p w14:paraId="521AF16A">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rFonts w:hint="default"/>
                      <w:color w:val="auto"/>
                      <w:sz w:val="21"/>
                      <w:szCs w:val="21"/>
                      <w:lang w:val="en-US"/>
                    </w:rPr>
                  </w:pPr>
                  <w:r>
                    <w:rPr>
                      <w:rFonts w:hint="eastAsia"/>
                      <w:color w:val="0000FF"/>
                      <w:sz w:val="21"/>
                      <w:szCs w:val="21"/>
                      <w:lang w:val="en-US" w:eastAsia="zh-CN"/>
                    </w:rPr>
                    <w:t>收集后</w:t>
                  </w:r>
                  <w:commentRangeStart w:id="14"/>
                  <w:r>
                    <w:rPr>
                      <w:rFonts w:hint="eastAsia"/>
                      <w:color w:val="0000FF"/>
                      <w:sz w:val="21"/>
                      <w:szCs w:val="21"/>
                      <w:lang w:val="en-US" w:eastAsia="zh-CN"/>
                    </w:rPr>
                    <w:t>作为</w:t>
                  </w:r>
                  <w:commentRangeEnd w:id="14"/>
                  <w:r>
                    <w:rPr>
                      <w:color w:val="0000FF"/>
                    </w:rPr>
                    <w:commentReference w:id="14"/>
                  </w:r>
                  <w:r>
                    <w:rPr>
                      <w:rFonts w:hint="eastAsia"/>
                      <w:color w:val="0000FF"/>
                      <w:sz w:val="21"/>
                      <w:szCs w:val="21"/>
                      <w:lang w:val="en-US" w:eastAsia="zh-CN"/>
                    </w:rPr>
                    <w:t>产品外售</w:t>
                  </w:r>
                </w:p>
              </w:tc>
            </w:tr>
            <w:tr w14:paraId="5D113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continue"/>
                  <w:vAlign w:val="center"/>
                </w:tcPr>
                <w:p w14:paraId="640102FA">
                  <w:pPr>
                    <w:spacing w:line="320" w:lineRule="exact"/>
                    <w:jc w:val="center"/>
                    <w:rPr>
                      <w:color w:val="auto"/>
                      <w:sz w:val="21"/>
                    </w:rPr>
                  </w:pPr>
                </w:p>
              </w:tc>
              <w:tc>
                <w:tcPr>
                  <w:tcW w:w="394" w:type="pct"/>
                  <w:vMerge w:val="continue"/>
                  <w:vAlign w:val="center"/>
                </w:tcPr>
                <w:p w14:paraId="3B37C754">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rPr>
                  </w:pPr>
                </w:p>
              </w:tc>
              <w:tc>
                <w:tcPr>
                  <w:tcW w:w="705" w:type="pct"/>
                  <w:vAlign w:val="center"/>
                </w:tcPr>
                <w:p w14:paraId="702C0BA3">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lang w:bidi="ar"/>
                    </w:rPr>
                  </w:pPr>
                  <w:r>
                    <w:rPr>
                      <w:color w:val="auto"/>
                      <w:sz w:val="21"/>
                      <w:szCs w:val="21"/>
                      <w:lang w:bidi="ar"/>
                    </w:rPr>
                    <w:t>生活垃圾</w:t>
                  </w:r>
                </w:p>
              </w:tc>
              <w:tc>
                <w:tcPr>
                  <w:tcW w:w="3444" w:type="pct"/>
                  <w:vAlign w:val="center"/>
                </w:tcPr>
                <w:p w14:paraId="37DD4B60">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lang w:bidi="ar"/>
                    </w:rPr>
                  </w:pPr>
                  <w:r>
                    <w:rPr>
                      <w:color w:val="auto"/>
                      <w:sz w:val="21"/>
                      <w:szCs w:val="21"/>
                      <w:lang w:bidi="ar"/>
                    </w:rPr>
                    <w:t>生活垃圾收集后由当地环卫部门定期清运</w:t>
                  </w:r>
                </w:p>
              </w:tc>
            </w:tr>
            <w:tr w14:paraId="62AE7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56" w:type="pct"/>
                  <w:vMerge w:val="continue"/>
                  <w:vAlign w:val="center"/>
                </w:tcPr>
                <w:p w14:paraId="6B24C169">
                  <w:pPr>
                    <w:spacing w:line="320" w:lineRule="exact"/>
                    <w:jc w:val="center"/>
                    <w:rPr>
                      <w:color w:val="auto"/>
                      <w:sz w:val="21"/>
                    </w:rPr>
                  </w:pPr>
                </w:p>
              </w:tc>
              <w:tc>
                <w:tcPr>
                  <w:tcW w:w="1099" w:type="pct"/>
                  <w:gridSpan w:val="2"/>
                  <w:vAlign w:val="center"/>
                </w:tcPr>
                <w:p w14:paraId="1C1E9546">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lang w:bidi="ar"/>
                    </w:rPr>
                  </w:pPr>
                  <w:r>
                    <w:rPr>
                      <w:rFonts w:hint="eastAsia"/>
                      <w:color w:val="auto"/>
                      <w:sz w:val="21"/>
                    </w:rPr>
                    <w:t>环境风险</w:t>
                  </w:r>
                </w:p>
              </w:tc>
              <w:tc>
                <w:tcPr>
                  <w:tcW w:w="3444" w:type="pct"/>
                  <w:vAlign w:val="center"/>
                </w:tcPr>
                <w:p w14:paraId="330856E2">
                  <w:pPr>
                    <w:keepNext w:val="0"/>
                    <w:keepLines w:val="0"/>
                    <w:pageBreakBefore w:val="0"/>
                    <w:widowControl w:val="0"/>
                    <w:kinsoku/>
                    <w:wordWrap/>
                    <w:overflowPunct/>
                    <w:topLinePunct w:val="0"/>
                    <w:autoSpaceDE/>
                    <w:autoSpaceDN/>
                    <w:bidi w:val="0"/>
                    <w:adjustRightInd/>
                    <w:snapToGrid/>
                    <w:spacing w:line="310" w:lineRule="exact"/>
                    <w:jc w:val="center"/>
                    <w:textAlignment w:val="auto"/>
                    <w:rPr>
                      <w:color w:val="auto"/>
                      <w:sz w:val="21"/>
                      <w:szCs w:val="21"/>
                      <w:lang w:bidi="ar"/>
                    </w:rPr>
                  </w:pPr>
                  <w:r>
                    <w:rPr>
                      <w:rFonts w:hint="eastAsia"/>
                      <w:color w:val="auto"/>
                      <w:sz w:val="21"/>
                    </w:rPr>
                    <w:t>项目拟在厂区最低处（西南侧）设置1座400m</w:t>
                  </w:r>
                  <w:r>
                    <w:rPr>
                      <w:rFonts w:hint="eastAsia"/>
                      <w:color w:val="auto"/>
                      <w:sz w:val="21"/>
                      <w:vertAlign w:val="superscript"/>
                    </w:rPr>
                    <w:t>3</w:t>
                  </w:r>
                  <w:r>
                    <w:rPr>
                      <w:rFonts w:hint="eastAsia"/>
                      <w:color w:val="auto"/>
                      <w:sz w:val="21"/>
                    </w:rPr>
                    <w:t>事故水池，用于事故情况下废水收集。</w:t>
                  </w:r>
                </w:p>
              </w:tc>
            </w:tr>
          </w:tbl>
          <w:p w14:paraId="5E80DDD1">
            <w:pPr>
              <w:spacing w:line="480" w:lineRule="exact"/>
              <w:ind w:firstLine="482" w:firstLineChars="200"/>
              <w:rPr>
                <w:b/>
                <w:bCs/>
                <w:color w:val="auto"/>
              </w:rPr>
            </w:pPr>
            <w:r>
              <w:rPr>
                <w:b/>
                <w:bCs/>
                <w:color w:val="auto"/>
              </w:rPr>
              <w:t>2、产品方案</w:t>
            </w:r>
          </w:p>
          <w:p w14:paraId="204D97C1">
            <w:pPr>
              <w:spacing w:line="480" w:lineRule="exact"/>
              <w:ind w:firstLine="480" w:firstLineChars="200"/>
              <w:rPr>
                <w:color w:val="auto"/>
              </w:rPr>
            </w:pPr>
            <w:r>
              <w:rPr>
                <w:color w:val="auto"/>
              </w:rPr>
              <w:t>本项目产品为熔炼用废钢，</w:t>
            </w:r>
            <w:commentRangeStart w:id="15"/>
            <w:r>
              <w:rPr>
                <w:rFonts w:hint="eastAsia"/>
                <w:color w:val="0000FF"/>
              </w:rPr>
              <w:t>部分</w:t>
            </w:r>
            <w:r>
              <w:rPr>
                <w:rFonts w:hint="eastAsia"/>
                <w:color w:val="0000FF"/>
                <w:lang w:val="en-US" w:eastAsia="zh-CN"/>
              </w:rPr>
              <w:t>产品</w:t>
            </w:r>
            <w:r>
              <w:rPr>
                <w:rFonts w:hint="eastAsia"/>
                <w:color w:val="0000FF"/>
              </w:rPr>
              <w:t>外售，部分用于内蒙古华泽装备制造有限公司年产 20 万吨高端精密锻造项目</w:t>
            </w:r>
            <w:commentRangeEnd w:id="15"/>
            <w:r>
              <w:rPr>
                <w:color w:val="0000FF"/>
              </w:rPr>
              <w:commentReference w:id="15"/>
            </w:r>
            <w:r>
              <w:rPr>
                <w:rFonts w:hint="eastAsia"/>
                <w:color w:val="auto"/>
                <w:lang w:eastAsia="zh-CN"/>
              </w:rPr>
              <w:t>。</w:t>
            </w:r>
            <w:r>
              <w:rPr>
                <w:rFonts w:hint="eastAsia"/>
                <w:color w:val="auto"/>
              </w:rPr>
              <w:t>废钢产品符合《废钢铁》（GB4223-2017）的</w:t>
            </w:r>
            <w:commentRangeStart w:id="16"/>
            <w:commentRangeStart w:id="17"/>
            <w:r>
              <w:rPr>
                <w:rFonts w:hint="eastAsia"/>
                <w:color w:val="auto"/>
              </w:rPr>
              <w:t>熔炼用废钢要求</w:t>
            </w:r>
            <w:commentRangeEnd w:id="16"/>
            <w:r>
              <w:rPr>
                <w:color w:val="auto"/>
              </w:rPr>
              <w:commentReference w:id="16"/>
            </w:r>
            <w:commentRangeEnd w:id="17"/>
            <w:r>
              <w:commentReference w:id="17"/>
            </w:r>
            <w:r>
              <w:rPr>
                <w:rFonts w:hint="eastAsia"/>
                <w:color w:val="auto"/>
              </w:rPr>
              <w:t>；同时对</w:t>
            </w:r>
            <w:r>
              <w:rPr>
                <w:rFonts w:hint="eastAsia"/>
                <w:color w:val="auto"/>
                <w:lang w:val="en-US" w:eastAsia="zh-CN"/>
              </w:rPr>
              <w:t>本公司</w:t>
            </w:r>
            <w:r>
              <w:rPr>
                <w:rFonts w:hint="eastAsia"/>
                <w:color w:val="auto"/>
              </w:rPr>
              <w:t>货运卡车进行维修。</w:t>
            </w:r>
            <w:r>
              <w:rPr>
                <w:color w:val="auto"/>
              </w:rPr>
              <w:t>项目产品</w:t>
            </w:r>
            <w:r>
              <w:rPr>
                <w:rFonts w:hint="eastAsia"/>
                <w:color w:val="auto"/>
              </w:rPr>
              <w:t>方案</w:t>
            </w:r>
            <w:r>
              <w:rPr>
                <w:color w:val="auto"/>
              </w:rPr>
              <w:t>见下表</w:t>
            </w:r>
            <w:r>
              <w:rPr>
                <w:rFonts w:hint="eastAsia"/>
                <w:color w:val="auto"/>
              </w:rPr>
              <w:t>。</w:t>
            </w:r>
          </w:p>
          <w:p w14:paraId="5EF127AF">
            <w:pPr>
              <w:spacing w:line="480" w:lineRule="exact"/>
              <w:jc w:val="center"/>
              <w:rPr>
                <w:color w:val="auto"/>
              </w:rPr>
            </w:pPr>
            <w:r>
              <w:rPr>
                <w:b/>
                <w:bCs/>
                <w:color w:val="auto"/>
              </w:rPr>
              <w:t>表</w:t>
            </w:r>
            <w:r>
              <w:rPr>
                <w:rFonts w:hint="eastAsia"/>
                <w:b/>
                <w:bCs/>
                <w:color w:val="auto"/>
              </w:rPr>
              <w:t>2-</w:t>
            </w:r>
            <w:r>
              <w:rPr>
                <w:b/>
                <w:bCs/>
                <w:color w:val="auto"/>
              </w:rPr>
              <w:t xml:space="preserve">2 </w:t>
            </w:r>
            <w:r>
              <w:rPr>
                <w:rFonts w:hint="eastAsia"/>
                <w:b/>
                <w:bCs/>
                <w:color w:val="auto"/>
              </w:rPr>
              <w:t xml:space="preserve">  </w:t>
            </w:r>
            <w:r>
              <w:rPr>
                <w:b/>
                <w:bCs/>
                <w:color w:val="auto"/>
              </w:rPr>
              <w:t xml:space="preserve"> 产品</w:t>
            </w:r>
            <w:r>
              <w:rPr>
                <w:rFonts w:hint="eastAsia"/>
                <w:b/>
                <w:bCs/>
                <w:color w:val="auto"/>
              </w:rPr>
              <w:t>方案</w:t>
            </w:r>
            <w:r>
              <w:rPr>
                <w:b/>
                <w:bCs/>
                <w:color w:val="auto"/>
              </w:rPr>
              <w:t>一览表</w:t>
            </w:r>
          </w:p>
          <w:tbl>
            <w:tblPr>
              <w:tblStyle w:val="2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0"/>
              <w:gridCol w:w="1510"/>
              <w:gridCol w:w="2400"/>
              <w:gridCol w:w="3777"/>
            </w:tblGrid>
            <w:tr w14:paraId="14527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450" w:type="dxa"/>
                  <w:gridSpan w:val="2"/>
                  <w:noWrap/>
                  <w:tcMar>
                    <w:top w:w="15" w:type="dxa"/>
                    <w:left w:w="15" w:type="dxa"/>
                    <w:right w:w="15" w:type="dxa"/>
                  </w:tcMar>
                  <w:vAlign w:val="center"/>
                </w:tcPr>
                <w:p w14:paraId="474C3588">
                  <w:pPr>
                    <w:widowControl/>
                    <w:adjustRightInd w:val="0"/>
                    <w:snapToGrid w:val="0"/>
                    <w:spacing w:line="320" w:lineRule="exact"/>
                    <w:jc w:val="center"/>
                    <w:textAlignment w:val="center"/>
                    <w:rPr>
                      <w:bCs/>
                      <w:color w:val="auto"/>
                      <w:sz w:val="21"/>
                      <w:szCs w:val="21"/>
                    </w:rPr>
                  </w:pPr>
                  <w:r>
                    <w:rPr>
                      <w:bCs/>
                      <w:color w:val="auto"/>
                      <w:kern w:val="0"/>
                      <w:sz w:val="21"/>
                      <w:szCs w:val="21"/>
                      <w:lang w:bidi="ar"/>
                    </w:rPr>
                    <w:t>产品名称</w:t>
                  </w:r>
                </w:p>
              </w:tc>
              <w:tc>
                <w:tcPr>
                  <w:tcW w:w="2400" w:type="dxa"/>
                  <w:noWrap/>
                  <w:tcMar>
                    <w:top w:w="15" w:type="dxa"/>
                    <w:left w:w="15" w:type="dxa"/>
                    <w:right w:w="15" w:type="dxa"/>
                  </w:tcMar>
                  <w:vAlign w:val="center"/>
                </w:tcPr>
                <w:p w14:paraId="75029F7B">
                  <w:pPr>
                    <w:widowControl/>
                    <w:adjustRightInd w:val="0"/>
                    <w:snapToGrid w:val="0"/>
                    <w:spacing w:line="320" w:lineRule="exact"/>
                    <w:jc w:val="center"/>
                    <w:textAlignment w:val="center"/>
                    <w:rPr>
                      <w:bCs/>
                      <w:color w:val="auto"/>
                      <w:sz w:val="21"/>
                      <w:szCs w:val="21"/>
                    </w:rPr>
                  </w:pPr>
                  <w:r>
                    <w:rPr>
                      <w:rFonts w:hint="eastAsia"/>
                      <w:bCs/>
                      <w:color w:val="auto"/>
                      <w:kern w:val="0"/>
                      <w:sz w:val="21"/>
                      <w:szCs w:val="21"/>
                      <w:lang w:bidi="ar"/>
                    </w:rPr>
                    <w:t>产量</w:t>
                  </w:r>
                </w:p>
              </w:tc>
              <w:tc>
                <w:tcPr>
                  <w:tcW w:w="3777" w:type="dxa"/>
                  <w:noWrap/>
                  <w:tcMar>
                    <w:top w:w="15" w:type="dxa"/>
                    <w:left w:w="15" w:type="dxa"/>
                    <w:right w:w="15" w:type="dxa"/>
                  </w:tcMar>
                  <w:vAlign w:val="center"/>
                </w:tcPr>
                <w:p w14:paraId="1F064704">
                  <w:pPr>
                    <w:widowControl/>
                    <w:adjustRightInd w:val="0"/>
                    <w:snapToGrid w:val="0"/>
                    <w:spacing w:line="320" w:lineRule="exact"/>
                    <w:jc w:val="center"/>
                    <w:textAlignment w:val="center"/>
                    <w:rPr>
                      <w:bCs/>
                      <w:color w:val="auto"/>
                      <w:sz w:val="21"/>
                      <w:szCs w:val="21"/>
                    </w:rPr>
                  </w:pPr>
                  <w:r>
                    <w:rPr>
                      <w:rFonts w:hint="eastAsia"/>
                      <w:bCs/>
                      <w:color w:val="auto"/>
                      <w:sz w:val="21"/>
                      <w:szCs w:val="21"/>
                    </w:rPr>
                    <w:t>备注</w:t>
                  </w:r>
                </w:p>
              </w:tc>
            </w:tr>
            <w:tr w14:paraId="60001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450" w:type="dxa"/>
                  <w:gridSpan w:val="2"/>
                  <w:noWrap/>
                  <w:tcMar>
                    <w:top w:w="15" w:type="dxa"/>
                    <w:left w:w="15" w:type="dxa"/>
                    <w:right w:w="15" w:type="dxa"/>
                  </w:tcMar>
                  <w:vAlign w:val="center"/>
                </w:tcPr>
                <w:p w14:paraId="21D2456A">
                  <w:pPr>
                    <w:widowControl/>
                    <w:adjustRightInd w:val="0"/>
                    <w:snapToGrid w:val="0"/>
                    <w:spacing w:line="320" w:lineRule="exact"/>
                    <w:jc w:val="center"/>
                    <w:textAlignment w:val="center"/>
                    <w:rPr>
                      <w:bCs/>
                      <w:color w:val="auto"/>
                      <w:sz w:val="21"/>
                      <w:szCs w:val="21"/>
                    </w:rPr>
                  </w:pPr>
                  <w:r>
                    <w:rPr>
                      <w:bCs/>
                      <w:color w:val="auto"/>
                      <w:sz w:val="21"/>
                      <w:szCs w:val="21"/>
                    </w:rPr>
                    <w:t>熔炼用废钢</w:t>
                  </w:r>
                </w:p>
              </w:tc>
              <w:tc>
                <w:tcPr>
                  <w:tcW w:w="2400" w:type="dxa"/>
                  <w:noWrap/>
                  <w:tcMar>
                    <w:top w:w="15" w:type="dxa"/>
                    <w:left w:w="15" w:type="dxa"/>
                    <w:right w:w="15" w:type="dxa"/>
                  </w:tcMar>
                  <w:vAlign w:val="center"/>
                </w:tcPr>
                <w:p w14:paraId="07B33FD6">
                  <w:pPr>
                    <w:widowControl/>
                    <w:adjustRightInd w:val="0"/>
                    <w:snapToGrid w:val="0"/>
                    <w:spacing w:line="320" w:lineRule="exact"/>
                    <w:jc w:val="center"/>
                    <w:textAlignment w:val="center"/>
                    <w:rPr>
                      <w:bCs/>
                      <w:color w:val="auto"/>
                      <w:sz w:val="21"/>
                      <w:szCs w:val="21"/>
                    </w:rPr>
                  </w:pPr>
                  <w:r>
                    <w:rPr>
                      <w:rFonts w:hint="eastAsia"/>
                      <w:bCs/>
                      <w:color w:val="auto"/>
                      <w:kern w:val="0"/>
                      <w:sz w:val="21"/>
                      <w:szCs w:val="21"/>
                      <w:lang w:bidi="ar"/>
                    </w:rPr>
                    <w:t>100</w:t>
                  </w:r>
                  <w:r>
                    <w:rPr>
                      <w:bCs/>
                      <w:color w:val="auto"/>
                      <w:kern w:val="0"/>
                      <w:sz w:val="21"/>
                      <w:szCs w:val="21"/>
                      <w:lang w:bidi="ar"/>
                    </w:rPr>
                    <w:t>万t/a</w:t>
                  </w:r>
                </w:p>
              </w:tc>
              <w:tc>
                <w:tcPr>
                  <w:tcW w:w="3777" w:type="dxa"/>
                  <w:noWrap/>
                  <w:tcMar>
                    <w:top w:w="15" w:type="dxa"/>
                    <w:left w:w="15" w:type="dxa"/>
                    <w:right w:w="15" w:type="dxa"/>
                  </w:tcMar>
                  <w:vAlign w:val="center"/>
                </w:tcPr>
                <w:p w14:paraId="11644B28">
                  <w:pPr>
                    <w:widowControl/>
                    <w:adjustRightInd w:val="0"/>
                    <w:snapToGrid w:val="0"/>
                    <w:spacing w:line="320" w:lineRule="exact"/>
                    <w:jc w:val="center"/>
                    <w:textAlignment w:val="center"/>
                    <w:rPr>
                      <w:bCs/>
                      <w:color w:val="auto"/>
                      <w:sz w:val="21"/>
                      <w:szCs w:val="21"/>
                    </w:rPr>
                  </w:pPr>
                </w:p>
              </w:tc>
            </w:tr>
            <w:tr w14:paraId="44967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940" w:type="dxa"/>
                  <w:vMerge w:val="restart"/>
                  <w:tcBorders>
                    <w:right w:val="single" w:color="auto" w:sz="4" w:space="0"/>
                  </w:tcBorders>
                  <w:noWrap/>
                  <w:tcMar>
                    <w:top w:w="15" w:type="dxa"/>
                    <w:left w:w="15" w:type="dxa"/>
                    <w:right w:w="15" w:type="dxa"/>
                  </w:tcMar>
                  <w:vAlign w:val="center"/>
                </w:tcPr>
                <w:p w14:paraId="6ED0F41E">
                  <w:pPr>
                    <w:widowControl/>
                    <w:adjustRightInd w:val="0"/>
                    <w:snapToGrid w:val="0"/>
                    <w:spacing w:line="320" w:lineRule="exact"/>
                    <w:jc w:val="center"/>
                    <w:textAlignment w:val="center"/>
                    <w:rPr>
                      <w:bCs/>
                      <w:color w:val="auto"/>
                      <w:sz w:val="21"/>
                      <w:szCs w:val="21"/>
                    </w:rPr>
                  </w:pPr>
                  <w:r>
                    <w:rPr>
                      <w:rFonts w:hint="eastAsia"/>
                      <w:bCs/>
                      <w:color w:val="auto"/>
                      <w:sz w:val="21"/>
                      <w:szCs w:val="21"/>
                    </w:rPr>
                    <w:t>其中</w:t>
                  </w:r>
                </w:p>
              </w:tc>
              <w:tc>
                <w:tcPr>
                  <w:tcW w:w="1510" w:type="dxa"/>
                  <w:tcBorders>
                    <w:left w:val="single" w:color="auto" w:sz="4" w:space="0"/>
                  </w:tcBorders>
                  <w:noWrap/>
                  <w:tcMar>
                    <w:top w:w="15" w:type="dxa"/>
                    <w:left w:w="15" w:type="dxa"/>
                    <w:right w:w="15" w:type="dxa"/>
                  </w:tcMar>
                  <w:vAlign w:val="center"/>
                </w:tcPr>
                <w:p w14:paraId="041126C6">
                  <w:pPr>
                    <w:widowControl/>
                    <w:adjustRightInd w:val="0"/>
                    <w:snapToGrid w:val="0"/>
                    <w:spacing w:line="320" w:lineRule="exact"/>
                    <w:jc w:val="center"/>
                    <w:textAlignment w:val="center"/>
                    <w:rPr>
                      <w:bCs/>
                      <w:color w:val="auto"/>
                      <w:sz w:val="21"/>
                      <w:szCs w:val="21"/>
                    </w:rPr>
                  </w:pPr>
                  <w:r>
                    <w:rPr>
                      <w:bCs/>
                      <w:color w:val="auto"/>
                      <w:sz w:val="21"/>
                      <w:szCs w:val="21"/>
                    </w:rPr>
                    <w:t>破碎废钢</w:t>
                  </w:r>
                </w:p>
              </w:tc>
              <w:tc>
                <w:tcPr>
                  <w:tcW w:w="2400" w:type="dxa"/>
                  <w:noWrap/>
                  <w:tcMar>
                    <w:top w:w="15" w:type="dxa"/>
                    <w:left w:w="15" w:type="dxa"/>
                    <w:right w:w="15" w:type="dxa"/>
                  </w:tcMar>
                  <w:vAlign w:val="center"/>
                </w:tcPr>
                <w:p w14:paraId="2E08303F">
                  <w:pPr>
                    <w:widowControl/>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val="en-US" w:eastAsia="zh-CN" w:bidi="ar"/>
                    </w:rPr>
                    <w:t>69.8</w:t>
                  </w:r>
                  <w:r>
                    <w:rPr>
                      <w:bCs/>
                      <w:color w:val="auto"/>
                      <w:kern w:val="0"/>
                      <w:sz w:val="21"/>
                      <w:szCs w:val="21"/>
                      <w:lang w:bidi="ar"/>
                    </w:rPr>
                    <w:t>万t/a</w:t>
                  </w:r>
                </w:p>
              </w:tc>
              <w:tc>
                <w:tcPr>
                  <w:tcW w:w="3777" w:type="dxa"/>
                  <w:noWrap/>
                  <w:tcMar>
                    <w:top w:w="15" w:type="dxa"/>
                    <w:left w:w="15" w:type="dxa"/>
                    <w:right w:w="15" w:type="dxa"/>
                  </w:tcMar>
                  <w:vAlign w:val="center"/>
                </w:tcPr>
                <w:p w14:paraId="02C29C1C">
                  <w:pPr>
                    <w:widowControl/>
                    <w:adjustRightInd w:val="0"/>
                    <w:snapToGrid w:val="0"/>
                    <w:spacing w:line="320" w:lineRule="exact"/>
                    <w:jc w:val="center"/>
                    <w:textAlignment w:val="center"/>
                    <w:rPr>
                      <w:bCs/>
                      <w:color w:val="auto"/>
                      <w:sz w:val="21"/>
                      <w:szCs w:val="21"/>
                    </w:rPr>
                  </w:pPr>
                </w:p>
              </w:tc>
            </w:tr>
            <w:tr w14:paraId="2790F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940" w:type="dxa"/>
                  <w:vMerge w:val="continue"/>
                  <w:tcBorders>
                    <w:right w:val="single" w:color="auto" w:sz="4" w:space="0"/>
                  </w:tcBorders>
                  <w:noWrap/>
                  <w:tcMar>
                    <w:top w:w="15" w:type="dxa"/>
                    <w:left w:w="15" w:type="dxa"/>
                    <w:right w:w="15" w:type="dxa"/>
                  </w:tcMar>
                  <w:vAlign w:val="center"/>
                </w:tcPr>
                <w:p w14:paraId="51F0696E">
                  <w:pPr>
                    <w:widowControl/>
                    <w:adjustRightInd w:val="0"/>
                    <w:snapToGrid w:val="0"/>
                    <w:spacing w:line="320" w:lineRule="exact"/>
                    <w:jc w:val="center"/>
                    <w:textAlignment w:val="center"/>
                    <w:rPr>
                      <w:bCs/>
                      <w:color w:val="auto"/>
                      <w:sz w:val="21"/>
                      <w:szCs w:val="21"/>
                    </w:rPr>
                  </w:pPr>
                </w:p>
              </w:tc>
              <w:tc>
                <w:tcPr>
                  <w:tcW w:w="1510" w:type="dxa"/>
                  <w:tcBorders>
                    <w:left w:val="single" w:color="auto" w:sz="4" w:space="0"/>
                  </w:tcBorders>
                  <w:noWrap/>
                  <w:tcMar>
                    <w:top w:w="15" w:type="dxa"/>
                    <w:left w:w="15" w:type="dxa"/>
                    <w:right w:w="15" w:type="dxa"/>
                  </w:tcMar>
                  <w:vAlign w:val="center"/>
                </w:tcPr>
                <w:p w14:paraId="58A316AA">
                  <w:pPr>
                    <w:widowControl/>
                    <w:adjustRightInd w:val="0"/>
                    <w:snapToGrid w:val="0"/>
                    <w:spacing w:line="320" w:lineRule="exact"/>
                    <w:jc w:val="center"/>
                    <w:textAlignment w:val="center"/>
                    <w:rPr>
                      <w:bCs/>
                      <w:color w:val="auto"/>
                      <w:sz w:val="21"/>
                      <w:szCs w:val="21"/>
                    </w:rPr>
                  </w:pPr>
                  <w:r>
                    <w:rPr>
                      <w:bCs/>
                      <w:color w:val="auto"/>
                      <w:sz w:val="21"/>
                      <w:szCs w:val="21"/>
                    </w:rPr>
                    <w:t>剪切废钢</w:t>
                  </w:r>
                </w:p>
              </w:tc>
              <w:tc>
                <w:tcPr>
                  <w:tcW w:w="2400" w:type="dxa"/>
                  <w:noWrap/>
                  <w:tcMar>
                    <w:top w:w="15" w:type="dxa"/>
                    <w:left w:w="15" w:type="dxa"/>
                    <w:right w:w="15" w:type="dxa"/>
                  </w:tcMar>
                  <w:vAlign w:val="center"/>
                </w:tcPr>
                <w:p w14:paraId="2C547DE9">
                  <w:pPr>
                    <w:widowControl/>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1</w:t>
                  </w:r>
                  <w:r>
                    <w:rPr>
                      <w:rFonts w:hint="eastAsia"/>
                      <w:bCs/>
                      <w:color w:val="auto"/>
                      <w:kern w:val="0"/>
                      <w:sz w:val="21"/>
                      <w:szCs w:val="21"/>
                      <w:lang w:val="en-US" w:eastAsia="zh-CN" w:bidi="ar"/>
                    </w:rPr>
                    <w:t>7.5</w:t>
                  </w:r>
                  <w:r>
                    <w:rPr>
                      <w:bCs/>
                      <w:color w:val="auto"/>
                      <w:kern w:val="0"/>
                      <w:sz w:val="21"/>
                      <w:szCs w:val="21"/>
                      <w:lang w:bidi="ar"/>
                    </w:rPr>
                    <w:t>万t/a</w:t>
                  </w:r>
                </w:p>
              </w:tc>
              <w:tc>
                <w:tcPr>
                  <w:tcW w:w="3777" w:type="dxa"/>
                  <w:noWrap/>
                  <w:tcMar>
                    <w:top w:w="15" w:type="dxa"/>
                    <w:left w:w="15" w:type="dxa"/>
                    <w:right w:w="15" w:type="dxa"/>
                  </w:tcMar>
                  <w:vAlign w:val="center"/>
                </w:tcPr>
                <w:p w14:paraId="6BFBB918">
                  <w:pPr>
                    <w:widowControl/>
                    <w:adjustRightInd w:val="0"/>
                    <w:snapToGrid w:val="0"/>
                    <w:spacing w:line="320" w:lineRule="exact"/>
                    <w:jc w:val="center"/>
                    <w:textAlignment w:val="center"/>
                    <w:rPr>
                      <w:bCs/>
                      <w:color w:val="auto"/>
                      <w:sz w:val="21"/>
                      <w:szCs w:val="21"/>
                    </w:rPr>
                  </w:pPr>
                </w:p>
              </w:tc>
            </w:tr>
            <w:tr w14:paraId="1C958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940" w:type="dxa"/>
                  <w:vMerge w:val="continue"/>
                  <w:tcBorders>
                    <w:right w:val="single" w:color="auto" w:sz="4" w:space="0"/>
                  </w:tcBorders>
                  <w:noWrap/>
                  <w:tcMar>
                    <w:top w:w="15" w:type="dxa"/>
                    <w:left w:w="15" w:type="dxa"/>
                    <w:right w:w="15" w:type="dxa"/>
                  </w:tcMar>
                  <w:vAlign w:val="center"/>
                </w:tcPr>
                <w:p w14:paraId="16315FD6">
                  <w:pPr>
                    <w:widowControl/>
                    <w:adjustRightInd w:val="0"/>
                    <w:snapToGrid w:val="0"/>
                    <w:spacing w:line="320" w:lineRule="exact"/>
                    <w:jc w:val="center"/>
                    <w:textAlignment w:val="center"/>
                    <w:rPr>
                      <w:bCs/>
                      <w:color w:val="auto"/>
                      <w:sz w:val="21"/>
                      <w:szCs w:val="21"/>
                    </w:rPr>
                  </w:pPr>
                </w:p>
              </w:tc>
              <w:tc>
                <w:tcPr>
                  <w:tcW w:w="1510" w:type="dxa"/>
                  <w:tcBorders>
                    <w:left w:val="single" w:color="auto" w:sz="4" w:space="0"/>
                  </w:tcBorders>
                  <w:noWrap/>
                  <w:tcMar>
                    <w:top w:w="15" w:type="dxa"/>
                    <w:left w:w="15" w:type="dxa"/>
                    <w:right w:w="15" w:type="dxa"/>
                  </w:tcMar>
                  <w:vAlign w:val="center"/>
                </w:tcPr>
                <w:p w14:paraId="5034A721">
                  <w:pPr>
                    <w:widowControl/>
                    <w:adjustRightInd w:val="0"/>
                    <w:snapToGrid w:val="0"/>
                    <w:spacing w:line="320" w:lineRule="exact"/>
                    <w:jc w:val="center"/>
                    <w:textAlignment w:val="center"/>
                    <w:rPr>
                      <w:bCs/>
                      <w:color w:val="auto"/>
                      <w:sz w:val="21"/>
                      <w:szCs w:val="21"/>
                    </w:rPr>
                  </w:pPr>
                  <w:r>
                    <w:rPr>
                      <w:bCs/>
                      <w:color w:val="auto"/>
                      <w:sz w:val="21"/>
                      <w:szCs w:val="21"/>
                    </w:rPr>
                    <w:t>打包废钢</w:t>
                  </w:r>
                </w:p>
              </w:tc>
              <w:tc>
                <w:tcPr>
                  <w:tcW w:w="2400" w:type="dxa"/>
                  <w:noWrap/>
                  <w:tcMar>
                    <w:top w:w="15" w:type="dxa"/>
                    <w:left w:w="15" w:type="dxa"/>
                    <w:right w:w="15" w:type="dxa"/>
                  </w:tcMar>
                  <w:vAlign w:val="center"/>
                </w:tcPr>
                <w:p w14:paraId="0E819138">
                  <w:pPr>
                    <w:widowControl/>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val="en-US" w:eastAsia="zh-CN" w:bidi="ar"/>
                    </w:rPr>
                    <w:t>12.7</w:t>
                  </w:r>
                  <w:r>
                    <w:rPr>
                      <w:bCs/>
                      <w:color w:val="auto"/>
                      <w:kern w:val="0"/>
                      <w:sz w:val="21"/>
                      <w:szCs w:val="21"/>
                      <w:lang w:bidi="ar"/>
                    </w:rPr>
                    <w:t>万t/a</w:t>
                  </w:r>
                </w:p>
              </w:tc>
              <w:tc>
                <w:tcPr>
                  <w:tcW w:w="3777" w:type="dxa"/>
                  <w:noWrap/>
                  <w:tcMar>
                    <w:top w:w="15" w:type="dxa"/>
                    <w:left w:w="15" w:type="dxa"/>
                    <w:right w:w="15" w:type="dxa"/>
                  </w:tcMar>
                  <w:vAlign w:val="center"/>
                </w:tcPr>
                <w:p w14:paraId="6873E8D9">
                  <w:pPr>
                    <w:widowControl/>
                    <w:adjustRightInd w:val="0"/>
                    <w:snapToGrid w:val="0"/>
                    <w:spacing w:line="320" w:lineRule="exact"/>
                    <w:jc w:val="center"/>
                    <w:textAlignment w:val="center"/>
                    <w:rPr>
                      <w:bCs/>
                      <w:color w:val="auto"/>
                      <w:sz w:val="21"/>
                      <w:szCs w:val="21"/>
                    </w:rPr>
                  </w:pPr>
                </w:p>
              </w:tc>
            </w:tr>
            <w:tr w14:paraId="67761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450" w:type="dxa"/>
                  <w:gridSpan w:val="2"/>
                  <w:noWrap/>
                  <w:tcMar>
                    <w:top w:w="15" w:type="dxa"/>
                    <w:left w:w="15" w:type="dxa"/>
                    <w:right w:w="15" w:type="dxa"/>
                  </w:tcMar>
                  <w:vAlign w:val="center"/>
                </w:tcPr>
                <w:p w14:paraId="352530B4">
                  <w:pPr>
                    <w:widowControl/>
                    <w:adjustRightInd w:val="0"/>
                    <w:snapToGrid w:val="0"/>
                    <w:spacing w:line="320" w:lineRule="exact"/>
                    <w:jc w:val="center"/>
                    <w:textAlignment w:val="center"/>
                    <w:rPr>
                      <w:bCs/>
                      <w:color w:val="auto"/>
                      <w:sz w:val="21"/>
                      <w:szCs w:val="21"/>
                    </w:rPr>
                  </w:pPr>
                  <w:r>
                    <w:rPr>
                      <w:rFonts w:hint="eastAsia"/>
                      <w:bCs/>
                      <w:color w:val="auto"/>
                      <w:sz w:val="21"/>
                      <w:szCs w:val="21"/>
                    </w:rPr>
                    <w:t>维修卡车</w:t>
                  </w:r>
                </w:p>
              </w:tc>
              <w:tc>
                <w:tcPr>
                  <w:tcW w:w="2400" w:type="dxa"/>
                  <w:noWrap/>
                  <w:tcMar>
                    <w:top w:w="15" w:type="dxa"/>
                    <w:left w:w="15" w:type="dxa"/>
                    <w:right w:w="15" w:type="dxa"/>
                  </w:tcMar>
                  <w:vAlign w:val="center"/>
                </w:tcPr>
                <w:p w14:paraId="25744666">
                  <w:pPr>
                    <w:widowControl/>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val="en-US" w:eastAsia="zh-CN" w:bidi="ar"/>
                    </w:rPr>
                    <w:t>100</w:t>
                  </w:r>
                  <w:r>
                    <w:rPr>
                      <w:rFonts w:hint="eastAsia"/>
                      <w:bCs/>
                      <w:color w:val="auto"/>
                      <w:kern w:val="0"/>
                      <w:sz w:val="21"/>
                      <w:szCs w:val="21"/>
                      <w:lang w:bidi="ar"/>
                    </w:rPr>
                    <w:t>辆/a</w:t>
                  </w:r>
                </w:p>
              </w:tc>
              <w:tc>
                <w:tcPr>
                  <w:tcW w:w="3777" w:type="dxa"/>
                  <w:noWrap/>
                  <w:tcMar>
                    <w:top w:w="15" w:type="dxa"/>
                    <w:left w:w="15" w:type="dxa"/>
                    <w:right w:w="15" w:type="dxa"/>
                  </w:tcMar>
                  <w:vAlign w:val="center"/>
                </w:tcPr>
                <w:p w14:paraId="2A0D8909">
                  <w:pPr>
                    <w:widowControl/>
                    <w:adjustRightInd w:val="0"/>
                    <w:snapToGrid w:val="0"/>
                    <w:spacing w:line="320" w:lineRule="exact"/>
                    <w:jc w:val="center"/>
                    <w:textAlignment w:val="center"/>
                    <w:rPr>
                      <w:bCs/>
                      <w:color w:val="auto"/>
                      <w:sz w:val="21"/>
                      <w:szCs w:val="21"/>
                    </w:rPr>
                  </w:pPr>
                  <w:r>
                    <w:rPr>
                      <w:bCs/>
                      <w:color w:val="auto"/>
                      <w:sz w:val="21"/>
                      <w:szCs w:val="21"/>
                    </w:rPr>
                    <w:t>本公司货运卡车</w:t>
                  </w:r>
                </w:p>
              </w:tc>
            </w:tr>
          </w:tbl>
          <w:p w14:paraId="209D6A6F">
            <w:pPr>
              <w:spacing w:line="500" w:lineRule="exact"/>
              <w:ind w:firstLine="480" w:firstLineChars="200"/>
              <w:rPr>
                <w:rFonts w:hint="eastAsia"/>
                <w:b w:val="0"/>
                <w:bCs w:val="0"/>
                <w:color w:val="0000FF"/>
              </w:rPr>
            </w:pPr>
            <w:r>
              <w:rPr>
                <w:rFonts w:hint="eastAsia"/>
                <w:b w:val="0"/>
                <w:bCs w:val="0"/>
                <w:color w:val="0000FF"/>
              </w:rPr>
              <w:t>废钢标准(GB4223-2017)相关条款（熔炼用废钢部分）：</w:t>
            </w:r>
          </w:p>
          <w:p w14:paraId="55BC08AA">
            <w:pPr>
              <w:spacing w:line="500" w:lineRule="exact"/>
              <w:ind w:firstLine="480" w:firstLineChars="200"/>
              <w:rPr>
                <w:rFonts w:hint="eastAsia"/>
                <w:b w:val="0"/>
                <w:bCs w:val="0"/>
                <w:color w:val="0000FF"/>
              </w:rPr>
            </w:pPr>
            <w:r>
              <w:rPr>
                <w:rFonts w:hint="eastAsia"/>
                <w:b w:val="0"/>
                <w:bCs w:val="0"/>
                <w:color w:val="0000FF"/>
              </w:rPr>
              <w:t>（1）废钢的碳含量一般小于2.0</w:t>
            </w:r>
            <w:r>
              <w:rPr>
                <w:rFonts w:hint="eastAsia"/>
                <w:b w:val="0"/>
                <w:bCs w:val="0"/>
                <w:color w:val="0000FF"/>
                <w:lang w:eastAsia="zh-CN"/>
              </w:rPr>
              <w:t>%</w:t>
            </w:r>
            <w:r>
              <w:rPr>
                <w:rFonts w:hint="eastAsia"/>
                <w:b w:val="0"/>
                <w:bCs w:val="0"/>
                <w:color w:val="0000FF"/>
              </w:rPr>
              <w:t>，硫含量、磷含量均不大于0.050</w:t>
            </w:r>
            <w:r>
              <w:rPr>
                <w:rFonts w:hint="eastAsia"/>
                <w:b w:val="0"/>
                <w:bCs w:val="0"/>
                <w:color w:val="0000FF"/>
                <w:lang w:eastAsia="zh-CN"/>
              </w:rPr>
              <w:t>%</w:t>
            </w:r>
            <w:r>
              <w:rPr>
                <w:rFonts w:hint="eastAsia"/>
                <w:b w:val="0"/>
                <w:bCs w:val="0"/>
                <w:color w:val="0000FF"/>
              </w:rPr>
              <w:t>。</w:t>
            </w:r>
          </w:p>
          <w:p w14:paraId="08827CBE">
            <w:pPr>
              <w:spacing w:line="500" w:lineRule="exact"/>
              <w:ind w:firstLine="480" w:firstLineChars="200"/>
              <w:rPr>
                <w:rFonts w:hint="eastAsia"/>
                <w:b w:val="0"/>
                <w:bCs w:val="0"/>
                <w:color w:val="0000FF"/>
              </w:rPr>
            </w:pPr>
            <w:r>
              <w:rPr>
                <w:rFonts w:hint="eastAsia"/>
                <w:b w:val="0"/>
                <w:bCs w:val="0"/>
                <w:color w:val="0000FF"/>
              </w:rPr>
              <w:t>（2）非合金废钢中残余元素应符合以下要求：镍的质量分数不大于0.30</w:t>
            </w:r>
            <w:r>
              <w:rPr>
                <w:rFonts w:hint="eastAsia"/>
                <w:b w:val="0"/>
                <w:bCs w:val="0"/>
                <w:color w:val="0000FF"/>
                <w:lang w:eastAsia="zh-CN"/>
              </w:rPr>
              <w:t>%</w:t>
            </w:r>
            <w:r>
              <w:rPr>
                <w:rFonts w:hint="eastAsia"/>
                <w:b w:val="0"/>
                <w:bCs w:val="0"/>
                <w:color w:val="0000FF"/>
              </w:rPr>
              <w:t>、铬的质量分数不大于0.30</w:t>
            </w:r>
            <w:r>
              <w:rPr>
                <w:rFonts w:hint="eastAsia"/>
                <w:b w:val="0"/>
                <w:bCs w:val="0"/>
                <w:color w:val="0000FF"/>
                <w:lang w:eastAsia="zh-CN"/>
              </w:rPr>
              <w:t>%</w:t>
            </w:r>
            <w:r>
              <w:rPr>
                <w:rFonts w:hint="eastAsia"/>
                <w:b w:val="0"/>
                <w:bCs w:val="0"/>
                <w:color w:val="0000FF"/>
              </w:rPr>
              <w:t>、铜的质量分数不大于0.30</w:t>
            </w:r>
            <w:r>
              <w:rPr>
                <w:rFonts w:hint="eastAsia"/>
                <w:b w:val="0"/>
                <w:bCs w:val="0"/>
                <w:color w:val="0000FF"/>
                <w:lang w:eastAsia="zh-CN"/>
              </w:rPr>
              <w:t>%</w:t>
            </w:r>
            <w:r>
              <w:rPr>
                <w:rFonts w:hint="eastAsia"/>
                <w:b w:val="0"/>
                <w:bCs w:val="0"/>
                <w:color w:val="0000FF"/>
              </w:rPr>
              <w:t>。除锰、硅以外，其他残余元素含量总和(质量分数)不大于0.60</w:t>
            </w:r>
            <w:r>
              <w:rPr>
                <w:rFonts w:hint="eastAsia"/>
                <w:b w:val="0"/>
                <w:bCs w:val="0"/>
                <w:color w:val="0000FF"/>
                <w:lang w:eastAsia="zh-CN"/>
              </w:rPr>
              <w:t>%</w:t>
            </w:r>
            <w:r>
              <w:rPr>
                <w:rFonts w:hint="eastAsia"/>
                <w:b w:val="0"/>
                <w:bCs w:val="0"/>
                <w:color w:val="0000FF"/>
              </w:rPr>
              <w:t>。</w:t>
            </w:r>
          </w:p>
          <w:p w14:paraId="060A158F">
            <w:pPr>
              <w:spacing w:line="500" w:lineRule="exact"/>
              <w:ind w:firstLine="482" w:firstLineChars="200"/>
              <w:rPr>
                <w:b/>
                <w:bCs/>
                <w:color w:val="auto"/>
              </w:rPr>
            </w:pPr>
            <w:r>
              <w:rPr>
                <w:rFonts w:hint="eastAsia"/>
                <w:b/>
                <w:bCs/>
                <w:color w:val="auto"/>
              </w:rPr>
              <w:t>3、主要设备</w:t>
            </w:r>
          </w:p>
          <w:p w14:paraId="75E2139D">
            <w:pPr>
              <w:spacing w:line="500" w:lineRule="exact"/>
              <w:ind w:firstLine="480" w:firstLineChars="200"/>
              <w:rPr>
                <w:color w:val="auto"/>
              </w:rPr>
            </w:pPr>
            <w:r>
              <w:rPr>
                <w:rFonts w:hint="eastAsia"/>
                <w:color w:val="auto"/>
              </w:rPr>
              <w:t>项目主要生产设备见下表。</w:t>
            </w:r>
          </w:p>
          <w:p w14:paraId="2E8A63BA">
            <w:pPr>
              <w:spacing w:line="500" w:lineRule="exact"/>
              <w:jc w:val="center"/>
              <w:rPr>
                <w:b/>
                <w:bCs/>
                <w:color w:val="auto"/>
              </w:rPr>
            </w:pPr>
            <w:r>
              <w:rPr>
                <w:rFonts w:hint="eastAsia"/>
                <w:b/>
                <w:bCs/>
                <w:color w:val="auto"/>
              </w:rPr>
              <w:t>表2-3    主要生产设备一览表</w:t>
            </w:r>
          </w:p>
          <w:tbl>
            <w:tblPr>
              <w:tblStyle w:val="25"/>
              <w:tblW w:w="8637" w:type="dxa"/>
              <w:jc w:val="center"/>
              <w:tblLayout w:type="fixed"/>
              <w:tblCellMar>
                <w:top w:w="0" w:type="dxa"/>
                <w:left w:w="0" w:type="dxa"/>
                <w:bottom w:w="0" w:type="dxa"/>
                <w:right w:w="0" w:type="dxa"/>
              </w:tblCellMar>
            </w:tblPr>
            <w:tblGrid>
              <w:gridCol w:w="760"/>
              <w:gridCol w:w="2835"/>
              <w:gridCol w:w="3525"/>
              <w:gridCol w:w="1517"/>
            </w:tblGrid>
            <w:tr w14:paraId="3FD582D7">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6CB318">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bCs/>
                      <w:color w:val="auto"/>
                      <w:kern w:val="0"/>
                      <w:sz w:val="21"/>
                      <w:szCs w:val="21"/>
                      <w:lang w:bidi="ar"/>
                    </w:rPr>
                    <w:t>序号</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DA15B8">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bCs/>
                      <w:color w:val="auto"/>
                      <w:kern w:val="0"/>
                      <w:sz w:val="21"/>
                      <w:szCs w:val="21"/>
                      <w:lang w:bidi="ar"/>
                    </w:rPr>
                    <w:t>设备名称</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4F3130">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bCs/>
                      <w:color w:val="auto"/>
                      <w:kern w:val="0"/>
                      <w:sz w:val="21"/>
                      <w:szCs w:val="21"/>
                      <w:lang w:bidi="ar"/>
                    </w:rPr>
                    <w:t>型号</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A4D3E2">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bCs/>
                      <w:color w:val="auto"/>
                      <w:kern w:val="0"/>
                      <w:sz w:val="21"/>
                      <w:szCs w:val="21"/>
                      <w:lang w:bidi="ar"/>
                    </w:rPr>
                    <w:t>数量</w:t>
                  </w:r>
                </w:p>
              </w:tc>
            </w:tr>
            <w:tr w14:paraId="5E09231A">
              <w:tblPrEx>
                <w:tblCellMar>
                  <w:top w:w="0" w:type="dxa"/>
                  <w:left w:w="0" w:type="dxa"/>
                  <w:bottom w:w="0" w:type="dxa"/>
                  <w:right w:w="0" w:type="dxa"/>
                </w:tblCellMar>
              </w:tblPrEx>
              <w:trPr>
                <w:jc w:val="center"/>
              </w:trPr>
              <w:tc>
                <w:tcPr>
                  <w:tcW w:w="8637"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8EB12F">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废钢回收生产线</w:t>
                  </w:r>
                </w:p>
              </w:tc>
            </w:tr>
            <w:tr w14:paraId="602F0B8F">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91CBAE">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bCs/>
                      <w:color w:val="auto"/>
                      <w:sz w:val="21"/>
                      <w:szCs w:val="21"/>
                    </w:rPr>
                    <w:t>1</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AC0C9B">
                  <w:pPr>
                    <w:keepNext w:val="0"/>
                    <w:keepLines w:val="0"/>
                    <w:pageBreakBefore w:val="0"/>
                    <w:widowControl/>
                    <w:kinsoku/>
                    <w:wordWrap/>
                    <w:overflowPunct/>
                    <w:topLinePunct w:val="0"/>
                    <w:autoSpaceDE/>
                    <w:autoSpaceDN/>
                    <w:bidi w:val="0"/>
                    <w:spacing w:line="320" w:lineRule="exact"/>
                    <w:jc w:val="center"/>
                    <w:textAlignment w:val="center"/>
                    <w:rPr>
                      <w:bCs/>
                      <w:color w:val="auto"/>
                      <w:sz w:val="21"/>
                      <w:szCs w:val="21"/>
                    </w:rPr>
                  </w:pPr>
                  <w:r>
                    <w:rPr>
                      <w:color w:val="auto"/>
                      <w:kern w:val="0"/>
                      <w:sz w:val="21"/>
                      <w:szCs w:val="21"/>
                      <w:lang w:bidi="ar"/>
                    </w:rPr>
                    <w:t>废钢破碎生产线</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17048C">
                  <w:pPr>
                    <w:keepNext w:val="0"/>
                    <w:keepLines w:val="0"/>
                    <w:pageBreakBefore w:val="0"/>
                    <w:widowControl/>
                    <w:kinsoku/>
                    <w:wordWrap/>
                    <w:overflowPunct/>
                    <w:topLinePunct w:val="0"/>
                    <w:autoSpaceDE/>
                    <w:autoSpaceDN/>
                    <w:bidi w:val="0"/>
                    <w:spacing w:line="320" w:lineRule="exact"/>
                    <w:jc w:val="center"/>
                    <w:textAlignment w:val="center"/>
                    <w:rPr>
                      <w:bCs/>
                      <w:color w:val="auto"/>
                      <w:kern w:val="0"/>
                      <w:sz w:val="21"/>
                      <w:szCs w:val="21"/>
                      <w:lang w:bidi="ar"/>
                    </w:rPr>
                  </w:pPr>
                  <w:r>
                    <w:rPr>
                      <w:color w:val="auto"/>
                      <w:kern w:val="0"/>
                      <w:sz w:val="21"/>
                      <w:szCs w:val="21"/>
                      <w:lang w:bidi="ar"/>
                    </w:rPr>
                    <w:t>6000hp</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B08D78">
                  <w:pPr>
                    <w:keepNext w:val="0"/>
                    <w:keepLines w:val="0"/>
                    <w:pageBreakBefore w:val="0"/>
                    <w:widowControl/>
                    <w:kinsoku/>
                    <w:wordWrap/>
                    <w:overflowPunct/>
                    <w:topLinePunct w:val="0"/>
                    <w:autoSpaceDE/>
                    <w:autoSpaceDN/>
                    <w:bidi w:val="0"/>
                    <w:spacing w:line="320" w:lineRule="exact"/>
                    <w:jc w:val="center"/>
                    <w:textAlignment w:val="center"/>
                    <w:rPr>
                      <w:bCs/>
                      <w:color w:val="auto"/>
                      <w:sz w:val="21"/>
                      <w:szCs w:val="21"/>
                    </w:rPr>
                  </w:pPr>
                  <w:r>
                    <w:rPr>
                      <w:color w:val="auto"/>
                      <w:kern w:val="0"/>
                      <w:sz w:val="21"/>
                      <w:szCs w:val="21"/>
                      <w:lang w:bidi="ar"/>
                    </w:rPr>
                    <w:t>1</w:t>
                  </w:r>
                  <w:r>
                    <w:rPr>
                      <w:rFonts w:hint="eastAsia"/>
                      <w:color w:val="auto"/>
                      <w:kern w:val="0"/>
                      <w:sz w:val="21"/>
                      <w:szCs w:val="21"/>
                      <w:lang w:bidi="ar"/>
                    </w:rPr>
                    <w:t>条</w:t>
                  </w:r>
                </w:p>
              </w:tc>
            </w:tr>
            <w:tr w14:paraId="3716A0BB">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E94060">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bCs/>
                      <w:color w:val="auto"/>
                      <w:kern w:val="0"/>
                      <w:sz w:val="21"/>
                      <w:szCs w:val="21"/>
                      <w:lang w:bidi="ar"/>
                    </w:rPr>
                    <w:t>2</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B4614F">
                  <w:pPr>
                    <w:keepNext w:val="0"/>
                    <w:keepLines w:val="0"/>
                    <w:pageBreakBefore w:val="0"/>
                    <w:widowControl/>
                    <w:kinsoku/>
                    <w:wordWrap/>
                    <w:overflowPunct/>
                    <w:topLinePunct w:val="0"/>
                    <w:autoSpaceDE/>
                    <w:autoSpaceDN/>
                    <w:bidi w:val="0"/>
                    <w:spacing w:line="320" w:lineRule="exact"/>
                    <w:jc w:val="center"/>
                    <w:textAlignment w:val="center"/>
                    <w:rPr>
                      <w:bCs/>
                      <w:color w:val="auto"/>
                      <w:sz w:val="21"/>
                      <w:szCs w:val="21"/>
                    </w:rPr>
                  </w:pPr>
                  <w:r>
                    <w:rPr>
                      <w:color w:val="auto"/>
                      <w:kern w:val="0"/>
                      <w:sz w:val="21"/>
                      <w:szCs w:val="21"/>
                      <w:lang w:bidi="ar"/>
                    </w:rPr>
                    <w:t>废钢门式剪断机</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84D040">
                  <w:pPr>
                    <w:keepNext w:val="0"/>
                    <w:keepLines w:val="0"/>
                    <w:pageBreakBefore w:val="0"/>
                    <w:widowControl/>
                    <w:kinsoku/>
                    <w:wordWrap/>
                    <w:overflowPunct/>
                    <w:topLinePunct w:val="0"/>
                    <w:autoSpaceDE/>
                    <w:autoSpaceDN/>
                    <w:bidi w:val="0"/>
                    <w:spacing w:line="320" w:lineRule="exact"/>
                    <w:jc w:val="center"/>
                    <w:textAlignment w:val="center"/>
                    <w:rPr>
                      <w:bCs/>
                      <w:color w:val="auto"/>
                      <w:kern w:val="0"/>
                      <w:sz w:val="21"/>
                      <w:szCs w:val="21"/>
                      <w:lang w:bidi="ar"/>
                    </w:rPr>
                  </w:pPr>
                  <w:r>
                    <w:rPr>
                      <w:color w:val="auto"/>
                      <w:kern w:val="0"/>
                      <w:sz w:val="21"/>
                      <w:szCs w:val="21"/>
                      <w:lang w:bidi="ar"/>
                    </w:rPr>
                    <w:t>1600t</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4D622F">
                  <w:pPr>
                    <w:keepNext w:val="0"/>
                    <w:keepLines w:val="0"/>
                    <w:pageBreakBefore w:val="0"/>
                    <w:widowControl/>
                    <w:kinsoku/>
                    <w:wordWrap/>
                    <w:overflowPunct/>
                    <w:topLinePunct w:val="0"/>
                    <w:autoSpaceDE/>
                    <w:autoSpaceDN/>
                    <w:bidi w:val="0"/>
                    <w:spacing w:line="320" w:lineRule="exact"/>
                    <w:jc w:val="center"/>
                    <w:textAlignment w:val="center"/>
                    <w:rPr>
                      <w:bCs/>
                      <w:color w:val="auto"/>
                      <w:sz w:val="21"/>
                      <w:szCs w:val="21"/>
                    </w:rPr>
                  </w:pPr>
                  <w:r>
                    <w:rPr>
                      <w:color w:val="auto"/>
                      <w:kern w:val="0"/>
                      <w:sz w:val="21"/>
                      <w:szCs w:val="21"/>
                      <w:lang w:bidi="ar"/>
                    </w:rPr>
                    <w:t>1</w:t>
                  </w:r>
                  <w:r>
                    <w:rPr>
                      <w:rFonts w:hint="eastAsia"/>
                      <w:color w:val="auto"/>
                      <w:kern w:val="0"/>
                      <w:sz w:val="21"/>
                      <w:szCs w:val="21"/>
                      <w:lang w:bidi="ar"/>
                    </w:rPr>
                    <w:t>台</w:t>
                  </w:r>
                </w:p>
              </w:tc>
            </w:tr>
            <w:tr w14:paraId="0EFA15DD">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528206">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bCs/>
                      <w:color w:val="auto"/>
                      <w:kern w:val="0"/>
                      <w:sz w:val="21"/>
                      <w:szCs w:val="21"/>
                      <w:lang w:bidi="ar"/>
                    </w:rPr>
                    <w:t>3</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E9543B">
                  <w:pPr>
                    <w:keepNext w:val="0"/>
                    <w:keepLines w:val="0"/>
                    <w:pageBreakBefore w:val="0"/>
                    <w:widowControl/>
                    <w:kinsoku/>
                    <w:wordWrap/>
                    <w:overflowPunct/>
                    <w:topLinePunct w:val="0"/>
                    <w:autoSpaceDE/>
                    <w:autoSpaceDN/>
                    <w:bidi w:val="0"/>
                    <w:spacing w:line="320" w:lineRule="exact"/>
                    <w:jc w:val="center"/>
                    <w:textAlignment w:val="center"/>
                    <w:rPr>
                      <w:bCs/>
                      <w:color w:val="auto"/>
                      <w:sz w:val="21"/>
                      <w:szCs w:val="21"/>
                    </w:rPr>
                  </w:pPr>
                  <w:r>
                    <w:rPr>
                      <w:color w:val="auto"/>
                      <w:kern w:val="0"/>
                      <w:sz w:val="21"/>
                      <w:szCs w:val="21"/>
                      <w:lang w:bidi="ar"/>
                    </w:rPr>
                    <w:t>废钢打包机</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9579E2">
                  <w:pPr>
                    <w:keepNext w:val="0"/>
                    <w:keepLines w:val="0"/>
                    <w:pageBreakBefore w:val="0"/>
                    <w:widowControl/>
                    <w:kinsoku/>
                    <w:wordWrap/>
                    <w:overflowPunct/>
                    <w:topLinePunct w:val="0"/>
                    <w:autoSpaceDE/>
                    <w:autoSpaceDN/>
                    <w:bidi w:val="0"/>
                    <w:spacing w:line="320" w:lineRule="exact"/>
                    <w:jc w:val="center"/>
                    <w:textAlignment w:val="center"/>
                    <w:rPr>
                      <w:bCs/>
                      <w:color w:val="auto"/>
                      <w:kern w:val="0"/>
                      <w:sz w:val="21"/>
                      <w:szCs w:val="21"/>
                      <w:lang w:bidi="ar"/>
                    </w:rPr>
                  </w:pPr>
                  <w:r>
                    <w:rPr>
                      <w:color w:val="auto"/>
                      <w:kern w:val="0"/>
                      <w:sz w:val="21"/>
                      <w:szCs w:val="21"/>
                      <w:lang w:bidi="ar"/>
                    </w:rPr>
                    <w:t>2000t</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AF6CC0">
                  <w:pPr>
                    <w:keepNext w:val="0"/>
                    <w:keepLines w:val="0"/>
                    <w:pageBreakBefore w:val="0"/>
                    <w:widowControl/>
                    <w:kinsoku/>
                    <w:wordWrap/>
                    <w:overflowPunct/>
                    <w:topLinePunct w:val="0"/>
                    <w:autoSpaceDE/>
                    <w:autoSpaceDN/>
                    <w:bidi w:val="0"/>
                    <w:spacing w:line="320" w:lineRule="exact"/>
                    <w:jc w:val="center"/>
                    <w:textAlignment w:val="center"/>
                    <w:rPr>
                      <w:bCs/>
                      <w:color w:val="auto"/>
                      <w:sz w:val="21"/>
                      <w:szCs w:val="21"/>
                    </w:rPr>
                  </w:pPr>
                  <w:r>
                    <w:rPr>
                      <w:color w:val="auto"/>
                      <w:kern w:val="0"/>
                      <w:sz w:val="21"/>
                      <w:szCs w:val="21"/>
                      <w:lang w:bidi="ar"/>
                    </w:rPr>
                    <w:t>1</w:t>
                  </w:r>
                  <w:r>
                    <w:rPr>
                      <w:rFonts w:hint="eastAsia"/>
                      <w:color w:val="auto"/>
                      <w:kern w:val="0"/>
                      <w:sz w:val="21"/>
                      <w:szCs w:val="21"/>
                      <w:lang w:bidi="ar"/>
                    </w:rPr>
                    <w:t>台</w:t>
                  </w:r>
                </w:p>
              </w:tc>
            </w:tr>
            <w:tr w14:paraId="40F8D5B6">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E6EDA9">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4</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3A2DD5">
                  <w:pPr>
                    <w:keepNext w:val="0"/>
                    <w:keepLines w:val="0"/>
                    <w:pageBreakBefore w:val="0"/>
                    <w:widowControl/>
                    <w:kinsoku/>
                    <w:wordWrap/>
                    <w:overflowPunct/>
                    <w:topLinePunct w:val="0"/>
                    <w:autoSpaceDE/>
                    <w:autoSpaceDN/>
                    <w:bidi w:val="0"/>
                    <w:spacing w:line="320" w:lineRule="exact"/>
                    <w:jc w:val="center"/>
                    <w:textAlignment w:val="center"/>
                    <w:rPr>
                      <w:bCs/>
                      <w:color w:val="auto"/>
                      <w:sz w:val="21"/>
                      <w:szCs w:val="21"/>
                    </w:rPr>
                  </w:pPr>
                  <w:r>
                    <w:rPr>
                      <w:color w:val="auto"/>
                      <w:kern w:val="0"/>
                      <w:sz w:val="21"/>
                      <w:szCs w:val="21"/>
                      <w:lang w:bidi="ar"/>
                    </w:rPr>
                    <w:t>装载机</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BEB2F1">
                  <w:pPr>
                    <w:keepNext w:val="0"/>
                    <w:keepLines w:val="0"/>
                    <w:pageBreakBefore w:val="0"/>
                    <w:widowControl/>
                    <w:kinsoku/>
                    <w:wordWrap/>
                    <w:overflowPunct/>
                    <w:topLinePunct w:val="0"/>
                    <w:autoSpaceDE/>
                    <w:autoSpaceDN/>
                    <w:bidi w:val="0"/>
                    <w:spacing w:line="320" w:lineRule="exact"/>
                    <w:jc w:val="center"/>
                    <w:textAlignment w:val="center"/>
                    <w:rPr>
                      <w:bCs/>
                      <w:color w:val="auto"/>
                      <w:kern w:val="0"/>
                      <w:sz w:val="21"/>
                      <w:szCs w:val="21"/>
                      <w:lang w:bidi="ar"/>
                    </w:rPr>
                  </w:pPr>
                  <w:r>
                    <w:rPr>
                      <w:color w:val="auto"/>
                      <w:kern w:val="0"/>
                      <w:sz w:val="21"/>
                      <w:szCs w:val="21"/>
                      <w:lang w:bidi="ar"/>
                    </w:rPr>
                    <w:t>50型</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042CB9">
                  <w:pPr>
                    <w:keepNext w:val="0"/>
                    <w:keepLines w:val="0"/>
                    <w:pageBreakBefore w:val="0"/>
                    <w:widowControl/>
                    <w:kinsoku/>
                    <w:wordWrap/>
                    <w:overflowPunct/>
                    <w:topLinePunct w:val="0"/>
                    <w:autoSpaceDE/>
                    <w:autoSpaceDN/>
                    <w:bidi w:val="0"/>
                    <w:spacing w:line="320" w:lineRule="exact"/>
                    <w:jc w:val="center"/>
                    <w:textAlignment w:val="center"/>
                    <w:rPr>
                      <w:bCs/>
                      <w:color w:val="auto"/>
                      <w:kern w:val="0"/>
                      <w:sz w:val="21"/>
                      <w:szCs w:val="21"/>
                      <w:lang w:bidi="ar"/>
                    </w:rPr>
                  </w:pPr>
                  <w:r>
                    <w:rPr>
                      <w:color w:val="auto"/>
                      <w:kern w:val="0"/>
                      <w:sz w:val="21"/>
                      <w:szCs w:val="21"/>
                      <w:lang w:bidi="ar"/>
                    </w:rPr>
                    <w:t>1</w:t>
                  </w:r>
                  <w:r>
                    <w:rPr>
                      <w:rFonts w:hint="eastAsia"/>
                      <w:color w:val="auto"/>
                      <w:kern w:val="0"/>
                      <w:sz w:val="21"/>
                      <w:szCs w:val="21"/>
                      <w:lang w:bidi="ar"/>
                    </w:rPr>
                    <w:t>台</w:t>
                  </w:r>
                </w:p>
              </w:tc>
            </w:tr>
            <w:tr w14:paraId="2F3453A3">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A405BE">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rFonts w:hint="eastAsia"/>
                      <w:bCs/>
                      <w:color w:val="auto"/>
                      <w:kern w:val="0"/>
                      <w:sz w:val="21"/>
                      <w:szCs w:val="21"/>
                      <w:lang w:bidi="ar"/>
                    </w:rPr>
                    <w:t>5</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60EF11">
                  <w:pPr>
                    <w:keepNext w:val="0"/>
                    <w:keepLines w:val="0"/>
                    <w:pageBreakBefore w:val="0"/>
                    <w:widowControl/>
                    <w:kinsoku/>
                    <w:wordWrap/>
                    <w:overflowPunct/>
                    <w:topLinePunct w:val="0"/>
                    <w:autoSpaceDE/>
                    <w:autoSpaceDN/>
                    <w:bidi w:val="0"/>
                    <w:spacing w:line="320" w:lineRule="exact"/>
                    <w:jc w:val="center"/>
                    <w:textAlignment w:val="center"/>
                    <w:rPr>
                      <w:bCs/>
                      <w:color w:val="auto"/>
                      <w:sz w:val="21"/>
                      <w:szCs w:val="21"/>
                    </w:rPr>
                  </w:pPr>
                  <w:r>
                    <w:rPr>
                      <w:color w:val="auto"/>
                      <w:kern w:val="0"/>
                      <w:sz w:val="21"/>
                      <w:szCs w:val="21"/>
                      <w:lang w:bidi="ar"/>
                    </w:rPr>
                    <w:t>抓钢机</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0D8BA6">
                  <w:pPr>
                    <w:keepNext w:val="0"/>
                    <w:keepLines w:val="0"/>
                    <w:pageBreakBefore w:val="0"/>
                    <w:widowControl/>
                    <w:kinsoku/>
                    <w:wordWrap/>
                    <w:overflowPunct/>
                    <w:topLinePunct w:val="0"/>
                    <w:autoSpaceDE/>
                    <w:autoSpaceDN/>
                    <w:bidi w:val="0"/>
                    <w:spacing w:line="320" w:lineRule="exact"/>
                    <w:jc w:val="center"/>
                    <w:textAlignment w:val="center"/>
                    <w:rPr>
                      <w:bCs/>
                      <w:color w:val="auto"/>
                      <w:kern w:val="0"/>
                      <w:sz w:val="21"/>
                      <w:szCs w:val="21"/>
                      <w:lang w:bidi="ar"/>
                    </w:rPr>
                  </w:pPr>
                  <w:r>
                    <w:rPr>
                      <w:color w:val="auto"/>
                      <w:kern w:val="0"/>
                      <w:sz w:val="21"/>
                      <w:szCs w:val="21"/>
                      <w:lang w:bidi="ar"/>
                    </w:rPr>
                    <w:t>40t</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41C9A3">
                  <w:pPr>
                    <w:keepNext w:val="0"/>
                    <w:keepLines w:val="0"/>
                    <w:pageBreakBefore w:val="0"/>
                    <w:widowControl/>
                    <w:kinsoku/>
                    <w:wordWrap/>
                    <w:overflowPunct/>
                    <w:topLinePunct w:val="0"/>
                    <w:autoSpaceDE/>
                    <w:autoSpaceDN/>
                    <w:bidi w:val="0"/>
                    <w:spacing w:line="320" w:lineRule="exact"/>
                    <w:jc w:val="center"/>
                    <w:textAlignment w:val="center"/>
                    <w:rPr>
                      <w:bCs/>
                      <w:color w:val="auto"/>
                      <w:sz w:val="21"/>
                      <w:szCs w:val="21"/>
                    </w:rPr>
                  </w:pPr>
                  <w:r>
                    <w:rPr>
                      <w:color w:val="auto"/>
                      <w:kern w:val="0"/>
                      <w:sz w:val="21"/>
                      <w:szCs w:val="21"/>
                      <w:lang w:bidi="ar"/>
                    </w:rPr>
                    <w:t>5</w:t>
                  </w:r>
                  <w:r>
                    <w:rPr>
                      <w:rFonts w:hint="eastAsia"/>
                      <w:color w:val="auto"/>
                      <w:kern w:val="0"/>
                      <w:sz w:val="21"/>
                      <w:szCs w:val="21"/>
                      <w:lang w:bidi="ar"/>
                    </w:rPr>
                    <w:t>台</w:t>
                  </w:r>
                </w:p>
              </w:tc>
            </w:tr>
            <w:tr w14:paraId="14CE8D1E">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C2786D">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6</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97CAE8">
                  <w:pPr>
                    <w:keepNext w:val="0"/>
                    <w:keepLines w:val="0"/>
                    <w:pageBreakBefore w:val="0"/>
                    <w:widowControl/>
                    <w:kinsoku/>
                    <w:wordWrap/>
                    <w:overflowPunct/>
                    <w:topLinePunct w:val="0"/>
                    <w:autoSpaceDE/>
                    <w:autoSpaceDN/>
                    <w:bidi w:val="0"/>
                    <w:spacing w:line="320" w:lineRule="exact"/>
                    <w:jc w:val="center"/>
                    <w:textAlignment w:val="center"/>
                    <w:rPr>
                      <w:bCs/>
                      <w:color w:val="auto"/>
                      <w:sz w:val="21"/>
                      <w:szCs w:val="21"/>
                    </w:rPr>
                  </w:pPr>
                  <w:r>
                    <w:rPr>
                      <w:color w:val="auto"/>
                      <w:sz w:val="21"/>
                      <w:szCs w:val="21"/>
                      <w:lang w:bidi="ar"/>
                    </w:rPr>
                    <w:t>铲车</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35EB1E">
                  <w:pPr>
                    <w:keepNext w:val="0"/>
                    <w:keepLines w:val="0"/>
                    <w:pageBreakBefore w:val="0"/>
                    <w:widowControl/>
                    <w:kinsoku/>
                    <w:wordWrap/>
                    <w:overflowPunct/>
                    <w:topLinePunct w:val="0"/>
                    <w:autoSpaceDE/>
                    <w:autoSpaceDN/>
                    <w:bidi w:val="0"/>
                    <w:spacing w:line="320" w:lineRule="exact"/>
                    <w:jc w:val="center"/>
                    <w:textAlignment w:val="center"/>
                    <w:rPr>
                      <w:bCs/>
                      <w:color w:val="auto"/>
                      <w:kern w:val="0"/>
                      <w:sz w:val="21"/>
                      <w:szCs w:val="21"/>
                      <w:lang w:bidi="ar"/>
                    </w:rPr>
                  </w:pPr>
                  <w:r>
                    <w:rPr>
                      <w:color w:val="auto"/>
                      <w:sz w:val="21"/>
                      <w:szCs w:val="21"/>
                      <w:lang w:bidi="ar"/>
                    </w:rPr>
                    <w:t>20型</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07E7A0">
                  <w:pPr>
                    <w:keepNext w:val="0"/>
                    <w:keepLines w:val="0"/>
                    <w:pageBreakBefore w:val="0"/>
                    <w:widowControl/>
                    <w:kinsoku/>
                    <w:wordWrap/>
                    <w:overflowPunct/>
                    <w:topLinePunct w:val="0"/>
                    <w:autoSpaceDE/>
                    <w:autoSpaceDN/>
                    <w:bidi w:val="0"/>
                    <w:spacing w:line="320" w:lineRule="exact"/>
                    <w:jc w:val="center"/>
                    <w:textAlignment w:val="center"/>
                    <w:rPr>
                      <w:bCs/>
                      <w:color w:val="auto"/>
                      <w:kern w:val="0"/>
                      <w:sz w:val="21"/>
                      <w:szCs w:val="21"/>
                      <w:lang w:bidi="ar"/>
                    </w:rPr>
                  </w:pPr>
                  <w:r>
                    <w:rPr>
                      <w:color w:val="auto"/>
                      <w:kern w:val="0"/>
                      <w:sz w:val="21"/>
                      <w:szCs w:val="21"/>
                      <w:lang w:bidi="ar"/>
                    </w:rPr>
                    <w:t>2</w:t>
                  </w:r>
                  <w:r>
                    <w:rPr>
                      <w:rFonts w:hint="eastAsia"/>
                      <w:color w:val="auto"/>
                      <w:kern w:val="0"/>
                      <w:sz w:val="21"/>
                      <w:szCs w:val="21"/>
                      <w:lang w:bidi="ar"/>
                    </w:rPr>
                    <w:t>辆</w:t>
                  </w:r>
                </w:p>
              </w:tc>
            </w:tr>
            <w:tr w14:paraId="0AE3A7EC">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78C4DF">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7</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573263">
                  <w:pPr>
                    <w:keepNext w:val="0"/>
                    <w:keepLines w:val="0"/>
                    <w:pageBreakBefore w:val="0"/>
                    <w:widowControl/>
                    <w:kinsoku/>
                    <w:wordWrap/>
                    <w:overflowPunct/>
                    <w:topLinePunct w:val="0"/>
                    <w:autoSpaceDE/>
                    <w:autoSpaceDN/>
                    <w:bidi w:val="0"/>
                    <w:spacing w:line="320" w:lineRule="exact"/>
                    <w:jc w:val="center"/>
                    <w:textAlignment w:val="center"/>
                    <w:rPr>
                      <w:bCs/>
                      <w:color w:val="auto"/>
                      <w:sz w:val="21"/>
                      <w:szCs w:val="21"/>
                    </w:rPr>
                  </w:pPr>
                  <w:r>
                    <w:rPr>
                      <w:color w:val="auto"/>
                      <w:kern w:val="0"/>
                      <w:sz w:val="21"/>
                      <w:szCs w:val="21"/>
                      <w:lang w:bidi="ar"/>
                    </w:rPr>
                    <w:t>天车</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DFE990">
                  <w:pPr>
                    <w:keepNext w:val="0"/>
                    <w:keepLines w:val="0"/>
                    <w:pageBreakBefore w:val="0"/>
                    <w:widowControl/>
                    <w:kinsoku/>
                    <w:wordWrap/>
                    <w:overflowPunct/>
                    <w:topLinePunct w:val="0"/>
                    <w:autoSpaceDE/>
                    <w:autoSpaceDN/>
                    <w:bidi w:val="0"/>
                    <w:spacing w:line="320" w:lineRule="exact"/>
                    <w:jc w:val="center"/>
                    <w:textAlignment w:val="center"/>
                    <w:rPr>
                      <w:bCs/>
                      <w:color w:val="auto"/>
                      <w:kern w:val="0"/>
                      <w:sz w:val="21"/>
                      <w:szCs w:val="21"/>
                      <w:lang w:bidi="ar"/>
                    </w:rPr>
                  </w:pPr>
                  <w:r>
                    <w:rPr>
                      <w:color w:val="auto"/>
                      <w:kern w:val="0"/>
                      <w:sz w:val="21"/>
                      <w:szCs w:val="21"/>
                      <w:lang w:bidi="ar"/>
                    </w:rPr>
                    <w:t>S=31.5m</w:t>
                  </w:r>
                  <w:r>
                    <w:rPr>
                      <w:rFonts w:hint="eastAsia"/>
                      <w:color w:val="auto"/>
                      <w:kern w:val="0"/>
                      <w:sz w:val="21"/>
                      <w:szCs w:val="21"/>
                      <w:lang w:bidi="ar"/>
                    </w:rPr>
                    <w:t>，</w:t>
                  </w:r>
                  <w:r>
                    <w:rPr>
                      <w:color w:val="auto"/>
                      <w:kern w:val="0"/>
                      <w:sz w:val="21"/>
                      <w:szCs w:val="21"/>
                      <w:lang w:bidi="ar"/>
                    </w:rPr>
                    <w:t>H0=16m</w:t>
                  </w:r>
                  <w:r>
                    <w:rPr>
                      <w:rFonts w:hint="eastAsia"/>
                      <w:color w:val="auto"/>
                      <w:kern w:val="0"/>
                      <w:sz w:val="21"/>
                      <w:szCs w:val="21"/>
                      <w:lang w:bidi="ar"/>
                    </w:rPr>
                    <w:t>，</w:t>
                  </w:r>
                  <w:r>
                    <w:rPr>
                      <w:color w:val="auto"/>
                      <w:kern w:val="0"/>
                      <w:sz w:val="21"/>
                      <w:szCs w:val="21"/>
                      <w:lang w:bidi="ar"/>
                    </w:rPr>
                    <w:t>Gn=16t/3.2t</w:t>
                  </w:r>
                  <w:r>
                    <w:rPr>
                      <w:rFonts w:hint="eastAsia"/>
                      <w:color w:val="auto"/>
                      <w:kern w:val="0"/>
                      <w:sz w:val="21"/>
                      <w:szCs w:val="21"/>
                      <w:lang w:bidi="ar"/>
                    </w:rPr>
                    <w:t>，</w:t>
                  </w:r>
                  <w:r>
                    <w:rPr>
                      <w:color w:val="auto"/>
                      <w:kern w:val="0"/>
                      <w:sz w:val="21"/>
                      <w:szCs w:val="21"/>
                      <w:lang w:bidi="ar"/>
                    </w:rPr>
                    <w:t>A6</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7065FB">
                  <w:pPr>
                    <w:keepNext w:val="0"/>
                    <w:keepLines w:val="0"/>
                    <w:pageBreakBefore w:val="0"/>
                    <w:widowControl/>
                    <w:kinsoku/>
                    <w:wordWrap/>
                    <w:overflowPunct/>
                    <w:topLinePunct w:val="0"/>
                    <w:autoSpaceDE/>
                    <w:autoSpaceDN/>
                    <w:bidi w:val="0"/>
                    <w:spacing w:line="320" w:lineRule="exact"/>
                    <w:jc w:val="center"/>
                    <w:textAlignment w:val="center"/>
                    <w:rPr>
                      <w:bCs/>
                      <w:color w:val="auto"/>
                      <w:kern w:val="0"/>
                      <w:sz w:val="21"/>
                      <w:szCs w:val="21"/>
                      <w:lang w:bidi="ar"/>
                    </w:rPr>
                  </w:pPr>
                  <w:r>
                    <w:rPr>
                      <w:color w:val="auto"/>
                      <w:kern w:val="0"/>
                      <w:sz w:val="21"/>
                      <w:szCs w:val="21"/>
                      <w:lang w:bidi="ar"/>
                    </w:rPr>
                    <w:t>2</w:t>
                  </w:r>
                  <w:r>
                    <w:rPr>
                      <w:rFonts w:hint="eastAsia"/>
                      <w:color w:val="auto"/>
                      <w:kern w:val="0"/>
                      <w:sz w:val="21"/>
                      <w:szCs w:val="21"/>
                      <w:lang w:bidi="ar"/>
                    </w:rPr>
                    <w:t>辆</w:t>
                  </w:r>
                </w:p>
              </w:tc>
            </w:tr>
            <w:tr w14:paraId="7160E053">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93147A">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8</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5C91A2">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rFonts w:hint="eastAsia"/>
                      <w:bCs/>
                      <w:color w:val="auto"/>
                      <w:sz w:val="21"/>
                      <w:szCs w:val="21"/>
                    </w:rPr>
                    <w:t>辐射监测仪</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1FA4F7">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CEBC96">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1</w:t>
                  </w:r>
                  <w:r>
                    <w:rPr>
                      <w:rFonts w:hint="eastAsia"/>
                      <w:color w:val="auto"/>
                      <w:kern w:val="0"/>
                      <w:sz w:val="21"/>
                      <w:szCs w:val="21"/>
                      <w:lang w:bidi="ar"/>
                    </w:rPr>
                    <w:t>台</w:t>
                  </w:r>
                </w:p>
              </w:tc>
            </w:tr>
            <w:tr w14:paraId="1EE8903A">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A86C1C">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9</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273B69">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rFonts w:hint="eastAsia"/>
                      <w:bCs/>
                      <w:color w:val="auto"/>
                      <w:sz w:val="21"/>
                      <w:szCs w:val="21"/>
                    </w:rPr>
                    <w:t>地磅</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35D166">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120t</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3D78DA">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2</w:t>
                  </w:r>
                  <w:r>
                    <w:rPr>
                      <w:rFonts w:hint="eastAsia"/>
                      <w:color w:val="auto"/>
                      <w:kern w:val="0"/>
                      <w:sz w:val="21"/>
                      <w:szCs w:val="21"/>
                      <w:lang w:bidi="ar"/>
                    </w:rPr>
                    <w:t>台</w:t>
                  </w:r>
                </w:p>
              </w:tc>
            </w:tr>
            <w:tr w14:paraId="5E7EC03B">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17AC0C">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10</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DF2E2F">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rFonts w:hint="eastAsia"/>
                      <w:bCs/>
                      <w:color w:val="auto"/>
                      <w:sz w:val="21"/>
                      <w:szCs w:val="21"/>
                    </w:rPr>
                    <w:t>电器控制系统</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18AACB">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C757FD">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rFonts w:hint="eastAsia"/>
                      <w:bCs/>
                      <w:color w:val="auto"/>
                      <w:sz w:val="21"/>
                      <w:szCs w:val="21"/>
                    </w:rPr>
                    <w:t>1</w:t>
                  </w:r>
                  <w:r>
                    <w:rPr>
                      <w:rFonts w:hint="eastAsia"/>
                      <w:color w:val="auto"/>
                      <w:kern w:val="0"/>
                      <w:sz w:val="21"/>
                      <w:szCs w:val="21"/>
                      <w:lang w:bidi="ar"/>
                    </w:rPr>
                    <w:t>套</w:t>
                  </w:r>
                </w:p>
              </w:tc>
            </w:tr>
            <w:tr w14:paraId="06EC7288">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A695E1">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11</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C4D2DF">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rFonts w:hint="eastAsia"/>
                      <w:bCs/>
                      <w:color w:val="auto"/>
                      <w:sz w:val="21"/>
                      <w:szCs w:val="21"/>
                    </w:rPr>
                    <w:t>除尘系统</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4405F8">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52B5A8">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rFonts w:hint="eastAsia"/>
                      <w:bCs/>
                      <w:color w:val="auto"/>
                      <w:sz w:val="21"/>
                      <w:szCs w:val="21"/>
                    </w:rPr>
                    <w:t>1</w:t>
                  </w:r>
                  <w:r>
                    <w:rPr>
                      <w:rFonts w:hint="eastAsia"/>
                      <w:color w:val="auto"/>
                      <w:kern w:val="0"/>
                      <w:sz w:val="21"/>
                      <w:szCs w:val="21"/>
                      <w:lang w:bidi="ar"/>
                    </w:rPr>
                    <w:t>套</w:t>
                  </w:r>
                </w:p>
              </w:tc>
            </w:tr>
            <w:tr w14:paraId="1271AE06">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DD49EF">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12</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E7D187">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rFonts w:hint="eastAsia"/>
                      <w:bCs/>
                      <w:color w:val="auto"/>
                      <w:sz w:val="21"/>
                      <w:szCs w:val="21"/>
                    </w:rPr>
                    <w:t>自动化系统</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154895">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6C798D">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sz w:val="21"/>
                      <w:szCs w:val="21"/>
                    </w:rPr>
                  </w:pPr>
                  <w:r>
                    <w:rPr>
                      <w:rFonts w:hint="eastAsia"/>
                      <w:bCs/>
                      <w:color w:val="auto"/>
                      <w:sz w:val="21"/>
                      <w:szCs w:val="21"/>
                    </w:rPr>
                    <w:t>1</w:t>
                  </w:r>
                  <w:r>
                    <w:rPr>
                      <w:rFonts w:hint="eastAsia"/>
                      <w:color w:val="auto"/>
                      <w:kern w:val="0"/>
                      <w:sz w:val="21"/>
                      <w:szCs w:val="21"/>
                      <w:lang w:bidi="ar"/>
                    </w:rPr>
                    <w:t>套</w:t>
                  </w:r>
                </w:p>
              </w:tc>
            </w:tr>
            <w:tr w14:paraId="6F5D55C6">
              <w:tblPrEx>
                <w:tblCellMar>
                  <w:top w:w="0" w:type="dxa"/>
                  <w:left w:w="0" w:type="dxa"/>
                  <w:bottom w:w="0" w:type="dxa"/>
                  <w:right w:w="0" w:type="dxa"/>
                </w:tblCellMar>
              </w:tblPrEx>
              <w:trPr>
                <w:jc w:val="center"/>
              </w:trPr>
              <w:tc>
                <w:tcPr>
                  <w:tcW w:w="8637"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A7CF0A">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卡车维修生产线</w:t>
                  </w:r>
                </w:p>
              </w:tc>
            </w:tr>
            <w:tr w14:paraId="07D7C801">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065FFA">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1</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04B058">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卡车轮胎拆装机</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CF4BBC">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JT568</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7D695F">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2</w:t>
                  </w:r>
                  <w:r>
                    <w:rPr>
                      <w:rFonts w:hint="eastAsia"/>
                      <w:color w:val="auto"/>
                      <w:kern w:val="0"/>
                      <w:sz w:val="21"/>
                      <w:szCs w:val="21"/>
                      <w:lang w:bidi="ar"/>
                    </w:rPr>
                    <w:t>台</w:t>
                  </w:r>
                </w:p>
              </w:tc>
            </w:tr>
            <w:tr w14:paraId="5B41E7B3">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C3228F">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2</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DC71F3">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动平衡机</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C7B760">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HZ-160</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A87817">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2</w:t>
                  </w:r>
                  <w:r>
                    <w:rPr>
                      <w:rFonts w:hint="eastAsia"/>
                      <w:color w:val="auto"/>
                      <w:kern w:val="0"/>
                      <w:sz w:val="21"/>
                      <w:szCs w:val="21"/>
                      <w:lang w:bidi="ar"/>
                    </w:rPr>
                    <w:t>台</w:t>
                  </w:r>
                </w:p>
              </w:tc>
            </w:tr>
            <w:tr w14:paraId="54C257C7">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9A171B">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3</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8BB0A9">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直流手工电焊机</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30126F">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ZX7-500A</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1CEAE7">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2</w:t>
                  </w:r>
                  <w:r>
                    <w:rPr>
                      <w:rFonts w:hint="eastAsia"/>
                      <w:color w:val="auto"/>
                      <w:kern w:val="0"/>
                      <w:sz w:val="21"/>
                      <w:szCs w:val="21"/>
                      <w:lang w:bidi="ar"/>
                    </w:rPr>
                    <w:t>台</w:t>
                  </w:r>
                </w:p>
              </w:tc>
            </w:tr>
            <w:tr w14:paraId="0A00D6DB">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327DD0">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4</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72CEEF">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二氧化碳气体保护焊机</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AECF9F">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XD500X</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9B16DA">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2</w:t>
                  </w:r>
                  <w:r>
                    <w:rPr>
                      <w:rFonts w:hint="eastAsia"/>
                      <w:color w:val="auto"/>
                      <w:kern w:val="0"/>
                      <w:sz w:val="21"/>
                      <w:szCs w:val="21"/>
                      <w:lang w:bidi="ar"/>
                    </w:rPr>
                    <w:t>台</w:t>
                  </w:r>
                </w:p>
              </w:tc>
            </w:tr>
            <w:tr w14:paraId="19EB82C3">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4D1D41">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5</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9E3AA5">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清洗槽</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C9242D">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bCs/>
                      <w:color w:val="auto"/>
                      <w:kern w:val="0"/>
                      <w:sz w:val="21"/>
                      <w:szCs w:val="21"/>
                      <w:lang w:bidi="ar"/>
                    </w:rPr>
                    <w:t>1000×800mm</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1E4313">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2套</w:t>
                  </w:r>
                </w:p>
              </w:tc>
            </w:tr>
            <w:tr w14:paraId="1986DB8E">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545A2F">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6</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9A19AE">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气动千斤顶</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EB12F6">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48F370">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4</w:t>
                  </w:r>
                  <w:r>
                    <w:rPr>
                      <w:rFonts w:hint="eastAsia"/>
                      <w:color w:val="auto"/>
                      <w:kern w:val="0"/>
                      <w:sz w:val="21"/>
                      <w:szCs w:val="21"/>
                      <w:lang w:bidi="ar"/>
                    </w:rPr>
                    <w:t>台</w:t>
                  </w:r>
                </w:p>
              </w:tc>
            </w:tr>
            <w:tr w14:paraId="77E46179">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3734CD">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7</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D51252">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气动扳手</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85F0F3">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84D915">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4</w:t>
                  </w:r>
                  <w:r>
                    <w:rPr>
                      <w:rFonts w:hint="eastAsia"/>
                      <w:color w:val="auto"/>
                      <w:kern w:val="0"/>
                      <w:sz w:val="21"/>
                      <w:szCs w:val="21"/>
                      <w:lang w:bidi="ar"/>
                    </w:rPr>
                    <w:t>台</w:t>
                  </w:r>
                </w:p>
              </w:tc>
            </w:tr>
            <w:tr w14:paraId="6DEB5B0E">
              <w:tblPrEx>
                <w:tblCellMar>
                  <w:top w:w="0" w:type="dxa"/>
                  <w:left w:w="0" w:type="dxa"/>
                  <w:bottom w:w="0" w:type="dxa"/>
                  <w:right w:w="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7739A6">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8</w:t>
                  </w:r>
                </w:p>
              </w:tc>
              <w:tc>
                <w:tcPr>
                  <w:tcW w:w="28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89EA99">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电动单梁起重机（遥控）</w:t>
                  </w:r>
                </w:p>
              </w:tc>
              <w:tc>
                <w:tcPr>
                  <w:tcW w:w="35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2A5F73">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LDA；Q=5t，Lk=22.5m，A5</w:t>
                  </w:r>
                </w:p>
              </w:tc>
              <w:tc>
                <w:tcPr>
                  <w:tcW w:w="15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B8BF5C">
                  <w:pPr>
                    <w:keepNext w:val="0"/>
                    <w:keepLines w:val="0"/>
                    <w:pageBreakBefore w:val="0"/>
                    <w:widowControl/>
                    <w:kinsoku/>
                    <w:wordWrap/>
                    <w:overflowPunct/>
                    <w:topLinePunct w:val="0"/>
                    <w:autoSpaceDE/>
                    <w:autoSpaceDN/>
                    <w:bidi w:val="0"/>
                    <w:adjustRightInd w:val="0"/>
                    <w:snapToGrid w:val="0"/>
                    <w:spacing w:line="320" w:lineRule="exact"/>
                    <w:jc w:val="center"/>
                    <w:textAlignment w:val="center"/>
                    <w:rPr>
                      <w:bCs/>
                      <w:color w:val="auto"/>
                      <w:kern w:val="0"/>
                      <w:sz w:val="21"/>
                      <w:szCs w:val="21"/>
                      <w:lang w:bidi="ar"/>
                    </w:rPr>
                  </w:pPr>
                  <w:r>
                    <w:rPr>
                      <w:rFonts w:hint="eastAsia"/>
                      <w:bCs/>
                      <w:color w:val="auto"/>
                      <w:kern w:val="0"/>
                      <w:sz w:val="21"/>
                      <w:szCs w:val="21"/>
                      <w:lang w:bidi="ar"/>
                    </w:rPr>
                    <w:t>2</w:t>
                  </w:r>
                  <w:r>
                    <w:rPr>
                      <w:rFonts w:hint="eastAsia"/>
                      <w:color w:val="auto"/>
                      <w:kern w:val="0"/>
                      <w:sz w:val="21"/>
                      <w:szCs w:val="21"/>
                      <w:lang w:bidi="ar"/>
                    </w:rPr>
                    <w:t>台</w:t>
                  </w:r>
                </w:p>
              </w:tc>
            </w:tr>
          </w:tbl>
          <w:p w14:paraId="75596533">
            <w:pPr>
              <w:pStyle w:val="6"/>
              <w:spacing w:line="500" w:lineRule="exact"/>
              <w:ind w:firstLine="482" w:firstLineChars="200"/>
              <w:rPr>
                <w:b/>
                <w:color w:val="auto"/>
              </w:rPr>
            </w:pPr>
            <w:r>
              <w:rPr>
                <w:rFonts w:hint="eastAsia"/>
                <w:b/>
                <w:color w:val="auto"/>
              </w:rPr>
              <w:t>4、</w:t>
            </w:r>
            <w:r>
              <w:rPr>
                <w:b/>
                <w:color w:val="auto"/>
              </w:rPr>
              <w:t>原辅材料用量</w:t>
            </w:r>
          </w:p>
          <w:p w14:paraId="5D8E1E2D">
            <w:pPr>
              <w:pStyle w:val="6"/>
              <w:adjustRightInd w:val="0"/>
              <w:snapToGrid w:val="0"/>
              <w:spacing w:line="500" w:lineRule="exact"/>
              <w:ind w:firstLine="480" w:firstLineChars="200"/>
              <w:rPr>
                <w:rFonts w:hint="eastAsia" w:eastAsia="宋体"/>
                <w:bCs/>
                <w:color w:val="auto"/>
                <w:lang w:eastAsia="zh-CN"/>
              </w:rPr>
            </w:pPr>
            <w:r>
              <w:rPr>
                <w:bCs/>
                <w:color w:val="auto"/>
              </w:rPr>
              <w:t>本项目主要原材料为</w:t>
            </w:r>
            <w:r>
              <w:rPr>
                <w:rFonts w:hint="eastAsia"/>
                <w:bCs/>
                <w:color w:val="auto"/>
              </w:rPr>
              <w:t>废钢材，</w:t>
            </w:r>
            <w:commentRangeStart w:id="18"/>
            <w:r>
              <w:rPr>
                <w:rFonts w:hint="eastAsia"/>
                <w:bCs/>
                <w:color w:val="0000FF"/>
              </w:rPr>
              <w:t>废钢来源</w:t>
            </w:r>
            <w:r>
              <w:rPr>
                <w:rFonts w:hint="eastAsia"/>
                <w:bCs/>
                <w:color w:val="0000FF"/>
                <w:lang w:val="en-US" w:eastAsia="zh-CN"/>
              </w:rPr>
              <w:t>于蒙西产业园工业企业生产过程产生的废边角料等</w:t>
            </w:r>
            <w:commentRangeEnd w:id="18"/>
            <w:r>
              <w:rPr>
                <w:color w:val="0000FF"/>
              </w:rPr>
              <w:commentReference w:id="18"/>
            </w:r>
            <w:r>
              <w:rPr>
                <w:rFonts w:hint="eastAsia"/>
                <w:bCs/>
                <w:color w:val="auto"/>
                <w:lang w:val="en-US" w:eastAsia="zh-CN"/>
              </w:rPr>
              <w:t>。</w:t>
            </w:r>
            <w:r>
              <w:rPr>
                <w:rFonts w:hint="eastAsia"/>
                <w:bCs/>
                <w:color w:val="auto"/>
              </w:rPr>
              <w:t>原辅材料及能源消耗见下表</w:t>
            </w:r>
            <w:r>
              <w:rPr>
                <w:rFonts w:hint="eastAsia"/>
                <w:bCs/>
                <w:color w:val="auto"/>
                <w:lang w:eastAsia="zh-CN"/>
              </w:rPr>
              <w:t>。</w:t>
            </w:r>
          </w:p>
          <w:p w14:paraId="12E60959">
            <w:pPr>
              <w:spacing w:line="500" w:lineRule="exact"/>
              <w:jc w:val="center"/>
              <w:rPr>
                <w:b/>
                <w:color w:val="auto"/>
              </w:rPr>
            </w:pPr>
            <w:r>
              <w:rPr>
                <w:b/>
                <w:color w:val="auto"/>
              </w:rPr>
              <w:t>表</w:t>
            </w:r>
            <w:r>
              <w:rPr>
                <w:rFonts w:hint="eastAsia"/>
                <w:b/>
                <w:color w:val="auto"/>
              </w:rPr>
              <w:t>2-4</w:t>
            </w:r>
            <w:r>
              <w:rPr>
                <w:b/>
                <w:color w:val="auto"/>
              </w:rPr>
              <w:t xml:space="preserve">  原辅材料及能源消耗情况一览表</w:t>
            </w:r>
          </w:p>
          <w:tbl>
            <w:tblPr>
              <w:tblStyle w:val="25"/>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7"/>
              <w:gridCol w:w="1315"/>
              <w:gridCol w:w="2275"/>
              <w:gridCol w:w="1704"/>
              <w:gridCol w:w="2213"/>
            </w:tblGrid>
            <w:tr w14:paraId="0C69F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47" w:type="pct"/>
                  <w:noWrap/>
                  <w:tcMar>
                    <w:top w:w="15" w:type="dxa"/>
                    <w:left w:w="15" w:type="dxa"/>
                    <w:right w:w="15" w:type="dxa"/>
                  </w:tcMar>
                  <w:vAlign w:val="center"/>
                </w:tcPr>
                <w:p w14:paraId="761AD2C2">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bCs/>
                      <w:color w:val="auto"/>
                      <w:sz w:val="21"/>
                      <w:szCs w:val="21"/>
                    </w:rPr>
                    <w:t>类别</w:t>
                  </w:r>
                </w:p>
              </w:tc>
              <w:tc>
                <w:tcPr>
                  <w:tcW w:w="762" w:type="pct"/>
                  <w:noWrap/>
                  <w:tcMar>
                    <w:top w:w="15" w:type="dxa"/>
                    <w:left w:w="15" w:type="dxa"/>
                    <w:right w:w="15" w:type="dxa"/>
                  </w:tcMar>
                  <w:vAlign w:val="center"/>
                </w:tcPr>
                <w:p w14:paraId="525823E7">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bCs/>
                      <w:color w:val="auto"/>
                      <w:kern w:val="0"/>
                      <w:sz w:val="21"/>
                      <w:szCs w:val="21"/>
                      <w:lang w:bidi="ar"/>
                    </w:rPr>
                    <w:t>名称</w:t>
                  </w:r>
                </w:p>
              </w:tc>
              <w:tc>
                <w:tcPr>
                  <w:tcW w:w="1318" w:type="pct"/>
                  <w:tcBorders>
                    <w:right w:val="single" w:color="auto" w:sz="4" w:space="0"/>
                  </w:tcBorders>
                  <w:noWrap/>
                  <w:tcMar>
                    <w:top w:w="15" w:type="dxa"/>
                    <w:left w:w="15" w:type="dxa"/>
                    <w:right w:w="15" w:type="dxa"/>
                  </w:tcMar>
                  <w:vAlign w:val="center"/>
                </w:tcPr>
                <w:p w14:paraId="2EFF7B6B">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rFonts w:hint="eastAsia"/>
                      <w:bCs/>
                      <w:color w:val="auto"/>
                      <w:kern w:val="0"/>
                      <w:sz w:val="21"/>
                      <w:szCs w:val="21"/>
                      <w:lang w:bidi="ar"/>
                    </w:rPr>
                    <w:t>消耗量</w:t>
                  </w:r>
                </w:p>
              </w:tc>
              <w:tc>
                <w:tcPr>
                  <w:tcW w:w="987" w:type="pct"/>
                  <w:tcBorders>
                    <w:left w:val="single" w:color="auto" w:sz="4" w:space="0"/>
                    <w:right w:val="single" w:color="auto" w:sz="4" w:space="0"/>
                  </w:tcBorders>
                  <w:noWrap/>
                  <w:tcMar>
                    <w:top w:w="15" w:type="dxa"/>
                    <w:left w:w="15" w:type="dxa"/>
                    <w:right w:w="15" w:type="dxa"/>
                  </w:tcMar>
                  <w:vAlign w:val="center"/>
                </w:tcPr>
                <w:p w14:paraId="48D27395">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bCs/>
                      <w:color w:val="auto"/>
                      <w:kern w:val="0"/>
                      <w:sz w:val="21"/>
                      <w:szCs w:val="21"/>
                      <w:lang w:bidi="ar"/>
                    </w:rPr>
                    <w:t>来源</w:t>
                  </w:r>
                </w:p>
              </w:tc>
              <w:tc>
                <w:tcPr>
                  <w:tcW w:w="1283" w:type="pct"/>
                  <w:tcBorders>
                    <w:left w:val="single" w:color="auto" w:sz="4" w:space="0"/>
                  </w:tcBorders>
                  <w:noWrap/>
                  <w:tcMar>
                    <w:top w:w="15" w:type="dxa"/>
                    <w:left w:w="15" w:type="dxa"/>
                    <w:right w:w="15" w:type="dxa"/>
                  </w:tcMar>
                  <w:vAlign w:val="center"/>
                </w:tcPr>
                <w:p w14:paraId="2E4112BA">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储存方式</w:t>
                  </w:r>
                </w:p>
              </w:tc>
            </w:tr>
            <w:tr w14:paraId="78104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47" w:type="pct"/>
                  <w:vMerge w:val="restart"/>
                  <w:noWrap/>
                  <w:tcMar>
                    <w:top w:w="15" w:type="dxa"/>
                    <w:left w:w="15" w:type="dxa"/>
                    <w:right w:w="15" w:type="dxa"/>
                  </w:tcMar>
                  <w:vAlign w:val="center"/>
                </w:tcPr>
                <w:p w14:paraId="3691D58E">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rFonts w:hint="eastAsia"/>
                      <w:bCs/>
                      <w:color w:val="auto"/>
                      <w:sz w:val="21"/>
                      <w:szCs w:val="21"/>
                    </w:rPr>
                    <w:t>原辅料</w:t>
                  </w:r>
                </w:p>
              </w:tc>
              <w:tc>
                <w:tcPr>
                  <w:tcW w:w="762" w:type="pct"/>
                  <w:noWrap/>
                  <w:tcMar>
                    <w:top w:w="15" w:type="dxa"/>
                    <w:left w:w="15" w:type="dxa"/>
                    <w:right w:w="15" w:type="dxa"/>
                  </w:tcMar>
                  <w:vAlign w:val="center"/>
                </w:tcPr>
                <w:p w14:paraId="204EAB76">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rFonts w:hint="eastAsia"/>
                      <w:bCs/>
                      <w:color w:val="auto"/>
                      <w:sz w:val="21"/>
                      <w:szCs w:val="21"/>
                    </w:rPr>
                    <w:t>废钢材</w:t>
                  </w:r>
                </w:p>
              </w:tc>
              <w:tc>
                <w:tcPr>
                  <w:tcW w:w="1318" w:type="pct"/>
                  <w:tcBorders>
                    <w:right w:val="single" w:color="auto" w:sz="4" w:space="0"/>
                  </w:tcBorders>
                  <w:noWrap/>
                  <w:tcMar>
                    <w:top w:w="15" w:type="dxa"/>
                    <w:left w:w="15" w:type="dxa"/>
                    <w:right w:w="15" w:type="dxa"/>
                  </w:tcMar>
                  <w:vAlign w:val="center"/>
                </w:tcPr>
                <w:p w14:paraId="14C89096">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rFonts w:hint="eastAsia"/>
                      <w:bCs/>
                      <w:color w:val="auto"/>
                      <w:kern w:val="0"/>
                      <w:sz w:val="21"/>
                      <w:szCs w:val="21"/>
                      <w:lang w:bidi="ar"/>
                    </w:rPr>
                    <w:t>10</w:t>
                  </w:r>
                  <w:r>
                    <w:rPr>
                      <w:rFonts w:hint="eastAsia"/>
                      <w:bCs/>
                      <w:color w:val="auto"/>
                      <w:kern w:val="0"/>
                      <w:sz w:val="21"/>
                      <w:szCs w:val="21"/>
                      <w:lang w:val="en-US" w:eastAsia="zh-CN" w:bidi="ar"/>
                    </w:rPr>
                    <w:t>0.2</w:t>
                  </w:r>
                  <w:r>
                    <w:rPr>
                      <w:bCs/>
                      <w:color w:val="auto"/>
                      <w:kern w:val="0"/>
                      <w:sz w:val="21"/>
                      <w:szCs w:val="21"/>
                      <w:lang w:bidi="ar"/>
                    </w:rPr>
                    <w:t>万t/a</w:t>
                  </w:r>
                </w:p>
              </w:tc>
              <w:tc>
                <w:tcPr>
                  <w:tcW w:w="987" w:type="pct"/>
                  <w:tcBorders>
                    <w:left w:val="single" w:color="auto" w:sz="4" w:space="0"/>
                    <w:right w:val="single" w:color="auto" w:sz="4" w:space="0"/>
                  </w:tcBorders>
                  <w:noWrap/>
                  <w:tcMar>
                    <w:top w:w="15" w:type="dxa"/>
                    <w:left w:w="15" w:type="dxa"/>
                    <w:right w:w="15" w:type="dxa"/>
                  </w:tcMar>
                  <w:vAlign w:val="center"/>
                </w:tcPr>
                <w:p w14:paraId="3F64AD30">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外购</w:t>
                  </w:r>
                </w:p>
              </w:tc>
              <w:tc>
                <w:tcPr>
                  <w:tcW w:w="1283" w:type="pct"/>
                  <w:tcBorders>
                    <w:left w:val="single" w:color="auto" w:sz="4" w:space="0"/>
                  </w:tcBorders>
                  <w:noWrap/>
                  <w:tcMar>
                    <w:top w:w="15" w:type="dxa"/>
                    <w:left w:w="15" w:type="dxa"/>
                    <w:right w:w="15" w:type="dxa"/>
                  </w:tcMar>
                  <w:vAlign w:val="center"/>
                </w:tcPr>
                <w:p w14:paraId="181D3455">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库房</w:t>
                  </w:r>
                </w:p>
              </w:tc>
            </w:tr>
            <w:tr w14:paraId="3C90F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47" w:type="pct"/>
                  <w:vMerge w:val="continue"/>
                  <w:noWrap/>
                  <w:tcMar>
                    <w:top w:w="15" w:type="dxa"/>
                    <w:left w:w="15" w:type="dxa"/>
                    <w:right w:w="15" w:type="dxa"/>
                  </w:tcMar>
                  <w:vAlign w:val="center"/>
                </w:tcPr>
                <w:p w14:paraId="194F9C28">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p>
              </w:tc>
              <w:tc>
                <w:tcPr>
                  <w:tcW w:w="762" w:type="pct"/>
                  <w:noWrap/>
                  <w:tcMar>
                    <w:top w:w="15" w:type="dxa"/>
                    <w:left w:w="15" w:type="dxa"/>
                    <w:right w:w="15" w:type="dxa"/>
                  </w:tcMar>
                  <w:vAlign w:val="center"/>
                </w:tcPr>
                <w:p w14:paraId="420796A5">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rFonts w:hint="eastAsia"/>
                      <w:bCs/>
                      <w:color w:val="auto"/>
                      <w:sz w:val="21"/>
                      <w:szCs w:val="21"/>
                    </w:rPr>
                    <w:t>焊条</w:t>
                  </w:r>
                </w:p>
              </w:tc>
              <w:tc>
                <w:tcPr>
                  <w:tcW w:w="1318" w:type="pct"/>
                  <w:tcBorders>
                    <w:right w:val="single" w:color="auto" w:sz="4" w:space="0"/>
                  </w:tcBorders>
                  <w:noWrap/>
                  <w:tcMar>
                    <w:top w:w="15" w:type="dxa"/>
                    <w:left w:w="15" w:type="dxa"/>
                    <w:right w:w="15" w:type="dxa"/>
                  </w:tcMar>
                  <w:vAlign w:val="center"/>
                </w:tcPr>
                <w:p w14:paraId="305D5FE7">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1t/a</w:t>
                  </w:r>
                </w:p>
              </w:tc>
              <w:tc>
                <w:tcPr>
                  <w:tcW w:w="987" w:type="pct"/>
                  <w:tcBorders>
                    <w:left w:val="single" w:color="auto" w:sz="4" w:space="0"/>
                    <w:right w:val="single" w:color="auto" w:sz="4" w:space="0"/>
                  </w:tcBorders>
                  <w:noWrap/>
                  <w:tcMar>
                    <w:top w:w="15" w:type="dxa"/>
                    <w:left w:w="15" w:type="dxa"/>
                    <w:right w:w="15" w:type="dxa"/>
                  </w:tcMar>
                  <w:vAlign w:val="center"/>
                </w:tcPr>
                <w:p w14:paraId="7CCEF8D9">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外购</w:t>
                  </w:r>
                </w:p>
              </w:tc>
              <w:tc>
                <w:tcPr>
                  <w:tcW w:w="1283" w:type="pct"/>
                  <w:tcBorders>
                    <w:left w:val="single" w:color="auto" w:sz="4" w:space="0"/>
                  </w:tcBorders>
                  <w:noWrap/>
                  <w:tcMar>
                    <w:top w:w="15" w:type="dxa"/>
                    <w:left w:w="15" w:type="dxa"/>
                    <w:right w:w="15" w:type="dxa"/>
                  </w:tcMar>
                  <w:vAlign w:val="center"/>
                </w:tcPr>
                <w:p w14:paraId="56B3CEA9">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p>
              </w:tc>
            </w:tr>
            <w:tr w14:paraId="73181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47" w:type="pct"/>
                  <w:vMerge w:val="continue"/>
                  <w:noWrap/>
                  <w:tcMar>
                    <w:top w:w="15" w:type="dxa"/>
                    <w:left w:w="15" w:type="dxa"/>
                    <w:right w:w="15" w:type="dxa"/>
                  </w:tcMar>
                  <w:vAlign w:val="center"/>
                </w:tcPr>
                <w:p w14:paraId="6123DB0B">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p>
              </w:tc>
              <w:tc>
                <w:tcPr>
                  <w:tcW w:w="762" w:type="pct"/>
                  <w:noWrap/>
                  <w:tcMar>
                    <w:top w:w="15" w:type="dxa"/>
                    <w:left w:w="15" w:type="dxa"/>
                    <w:right w:w="15" w:type="dxa"/>
                  </w:tcMar>
                  <w:vAlign w:val="center"/>
                </w:tcPr>
                <w:p w14:paraId="0E819F19">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rFonts w:hint="eastAsia"/>
                      <w:bCs/>
                      <w:color w:val="auto"/>
                      <w:sz w:val="21"/>
                      <w:szCs w:val="21"/>
                    </w:rPr>
                    <w:t>焊丝</w:t>
                  </w:r>
                </w:p>
              </w:tc>
              <w:tc>
                <w:tcPr>
                  <w:tcW w:w="1318" w:type="pct"/>
                  <w:tcBorders>
                    <w:right w:val="single" w:color="auto" w:sz="4" w:space="0"/>
                  </w:tcBorders>
                  <w:noWrap/>
                  <w:tcMar>
                    <w:top w:w="15" w:type="dxa"/>
                    <w:left w:w="15" w:type="dxa"/>
                    <w:right w:w="15" w:type="dxa"/>
                  </w:tcMar>
                  <w:vAlign w:val="center"/>
                </w:tcPr>
                <w:p w14:paraId="1C8E9D89">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2t/a</w:t>
                  </w:r>
                </w:p>
              </w:tc>
              <w:tc>
                <w:tcPr>
                  <w:tcW w:w="987" w:type="pct"/>
                  <w:tcBorders>
                    <w:left w:val="single" w:color="auto" w:sz="4" w:space="0"/>
                    <w:right w:val="single" w:color="auto" w:sz="4" w:space="0"/>
                  </w:tcBorders>
                  <w:noWrap/>
                  <w:tcMar>
                    <w:top w:w="15" w:type="dxa"/>
                    <w:left w:w="15" w:type="dxa"/>
                    <w:right w:w="15" w:type="dxa"/>
                  </w:tcMar>
                  <w:vAlign w:val="center"/>
                </w:tcPr>
                <w:p w14:paraId="3C997250">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外购</w:t>
                  </w:r>
                </w:p>
              </w:tc>
              <w:tc>
                <w:tcPr>
                  <w:tcW w:w="1283" w:type="pct"/>
                  <w:tcBorders>
                    <w:left w:val="single" w:color="auto" w:sz="4" w:space="0"/>
                  </w:tcBorders>
                  <w:noWrap/>
                  <w:tcMar>
                    <w:top w:w="15" w:type="dxa"/>
                    <w:left w:w="15" w:type="dxa"/>
                    <w:right w:w="15" w:type="dxa"/>
                  </w:tcMar>
                  <w:vAlign w:val="center"/>
                </w:tcPr>
                <w:p w14:paraId="658D40FB">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p>
              </w:tc>
            </w:tr>
            <w:tr w14:paraId="6E361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47" w:type="pct"/>
                  <w:vMerge w:val="continue"/>
                  <w:noWrap/>
                  <w:tcMar>
                    <w:top w:w="15" w:type="dxa"/>
                    <w:left w:w="15" w:type="dxa"/>
                    <w:right w:w="15" w:type="dxa"/>
                  </w:tcMar>
                  <w:vAlign w:val="center"/>
                </w:tcPr>
                <w:p w14:paraId="49CA8748">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p>
              </w:tc>
              <w:tc>
                <w:tcPr>
                  <w:tcW w:w="762" w:type="pct"/>
                  <w:noWrap/>
                  <w:tcMar>
                    <w:top w:w="15" w:type="dxa"/>
                    <w:left w:w="15" w:type="dxa"/>
                    <w:right w:w="15" w:type="dxa"/>
                  </w:tcMar>
                  <w:vAlign w:val="center"/>
                </w:tcPr>
                <w:p w14:paraId="5EA51D32">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rFonts w:hint="eastAsia"/>
                      <w:bCs/>
                      <w:color w:val="auto"/>
                      <w:sz w:val="21"/>
                      <w:szCs w:val="21"/>
                    </w:rPr>
                    <w:t>碱性清洗剂</w:t>
                  </w:r>
                </w:p>
              </w:tc>
              <w:tc>
                <w:tcPr>
                  <w:tcW w:w="1318" w:type="pct"/>
                  <w:tcBorders>
                    <w:right w:val="single" w:color="auto" w:sz="4" w:space="0"/>
                  </w:tcBorders>
                  <w:noWrap/>
                  <w:tcMar>
                    <w:top w:w="15" w:type="dxa"/>
                    <w:left w:w="15" w:type="dxa"/>
                    <w:right w:w="15" w:type="dxa"/>
                  </w:tcMar>
                  <w:vAlign w:val="center"/>
                </w:tcPr>
                <w:p w14:paraId="4A60A845">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2t/a</w:t>
                  </w:r>
                </w:p>
              </w:tc>
              <w:tc>
                <w:tcPr>
                  <w:tcW w:w="987" w:type="pct"/>
                  <w:tcBorders>
                    <w:left w:val="single" w:color="auto" w:sz="4" w:space="0"/>
                    <w:right w:val="single" w:color="auto" w:sz="4" w:space="0"/>
                  </w:tcBorders>
                  <w:noWrap/>
                  <w:tcMar>
                    <w:top w:w="15" w:type="dxa"/>
                    <w:left w:w="15" w:type="dxa"/>
                    <w:right w:w="15" w:type="dxa"/>
                  </w:tcMar>
                  <w:vAlign w:val="center"/>
                </w:tcPr>
                <w:p w14:paraId="1A56C2C5">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外购</w:t>
                  </w:r>
                </w:p>
              </w:tc>
              <w:tc>
                <w:tcPr>
                  <w:tcW w:w="1283" w:type="pct"/>
                  <w:tcBorders>
                    <w:left w:val="single" w:color="auto" w:sz="4" w:space="0"/>
                  </w:tcBorders>
                  <w:noWrap/>
                  <w:tcMar>
                    <w:top w:w="15" w:type="dxa"/>
                    <w:left w:w="15" w:type="dxa"/>
                    <w:right w:w="15" w:type="dxa"/>
                  </w:tcMar>
                  <w:vAlign w:val="center"/>
                </w:tcPr>
                <w:p w14:paraId="0ECD887C">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HDPE桶、200L/桶</w:t>
                  </w:r>
                </w:p>
              </w:tc>
            </w:tr>
            <w:tr w14:paraId="3B462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47" w:type="pct"/>
                  <w:vMerge w:val="continue"/>
                  <w:noWrap/>
                  <w:tcMar>
                    <w:top w:w="15" w:type="dxa"/>
                    <w:left w:w="15" w:type="dxa"/>
                    <w:right w:w="15" w:type="dxa"/>
                  </w:tcMar>
                  <w:vAlign w:val="center"/>
                </w:tcPr>
                <w:p w14:paraId="7165B042">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p>
              </w:tc>
              <w:tc>
                <w:tcPr>
                  <w:tcW w:w="762" w:type="pct"/>
                  <w:shd w:val="clear" w:color="auto" w:fill="auto"/>
                  <w:noWrap/>
                  <w:tcMar>
                    <w:top w:w="15" w:type="dxa"/>
                    <w:left w:w="15" w:type="dxa"/>
                    <w:right w:w="15" w:type="dxa"/>
                  </w:tcMar>
                  <w:vAlign w:val="center"/>
                </w:tcPr>
                <w:p w14:paraId="7A45279B">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bCs/>
                      <w:color w:val="auto"/>
                      <w:sz w:val="21"/>
                      <w:szCs w:val="21"/>
                    </w:rPr>
                    <w:t>15%盐酸</w:t>
                  </w:r>
                </w:p>
              </w:tc>
              <w:tc>
                <w:tcPr>
                  <w:tcW w:w="1318" w:type="pct"/>
                  <w:tcBorders>
                    <w:right w:val="single" w:color="auto" w:sz="4" w:space="0"/>
                  </w:tcBorders>
                  <w:shd w:val="clear" w:color="auto" w:fill="auto"/>
                  <w:noWrap/>
                  <w:tcMar>
                    <w:top w:w="15" w:type="dxa"/>
                    <w:left w:w="15" w:type="dxa"/>
                    <w:right w:w="15" w:type="dxa"/>
                  </w:tcMar>
                  <w:vAlign w:val="center"/>
                </w:tcPr>
                <w:p w14:paraId="196D6515">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Cs/>
                      <w:color w:val="auto"/>
                      <w:kern w:val="0"/>
                      <w:sz w:val="21"/>
                      <w:szCs w:val="21"/>
                      <w:lang w:val="en-US" w:eastAsia="zh-CN" w:bidi="ar"/>
                    </w:rPr>
                  </w:pPr>
                  <w:r>
                    <w:rPr>
                      <w:rFonts w:hint="eastAsia"/>
                      <w:bCs/>
                      <w:color w:val="auto"/>
                      <w:kern w:val="0"/>
                      <w:sz w:val="21"/>
                      <w:szCs w:val="21"/>
                      <w:lang w:bidi="ar"/>
                    </w:rPr>
                    <w:t>0.04t/a</w:t>
                  </w:r>
                </w:p>
              </w:tc>
              <w:tc>
                <w:tcPr>
                  <w:tcW w:w="987" w:type="pct"/>
                  <w:tcBorders>
                    <w:left w:val="single" w:color="auto" w:sz="4" w:space="0"/>
                    <w:right w:val="single" w:color="auto" w:sz="4" w:space="0"/>
                  </w:tcBorders>
                  <w:shd w:val="clear" w:color="auto" w:fill="auto"/>
                  <w:noWrap/>
                  <w:tcMar>
                    <w:top w:w="15" w:type="dxa"/>
                    <w:left w:w="15" w:type="dxa"/>
                    <w:right w:w="15" w:type="dxa"/>
                  </w:tcMar>
                  <w:vAlign w:val="center"/>
                </w:tcPr>
                <w:p w14:paraId="28918853">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bCs/>
                      <w:color w:val="auto"/>
                      <w:kern w:val="0"/>
                      <w:sz w:val="21"/>
                      <w:szCs w:val="21"/>
                      <w:lang w:val="en-US" w:eastAsia="zh-CN" w:bidi="ar"/>
                    </w:rPr>
                  </w:pPr>
                  <w:r>
                    <w:rPr>
                      <w:rFonts w:hint="eastAsia"/>
                      <w:bCs/>
                      <w:color w:val="auto"/>
                      <w:kern w:val="0"/>
                      <w:sz w:val="21"/>
                      <w:szCs w:val="21"/>
                      <w:lang w:bidi="ar"/>
                    </w:rPr>
                    <w:t>外购</w:t>
                  </w:r>
                </w:p>
              </w:tc>
              <w:tc>
                <w:tcPr>
                  <w:tcW w:w="1283" w:type="pct"/>
                  <w:tcBorders>
                    <w:left w:val="single" w:color="auto" w:sz="4" w:space="0"/>
                  </w:tcBorders>
                  <w:shd w:val="clear" w:color="auto" w:fill="auto"/>
                  <w:noWrap/>
                  <w:tcMar>
                    <w:top w:w="15" w:type="dxa"/>
                    <w:left w:w="15" w:type="dxa"/>
                    <w:right w:w="15" w:type="dxa"/>
                  </w:tcMar>
                  <w:vAlign w:val="center"/>
                </w:tcPr>
                <w:p w14:paraId="26AEBC4C">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bCs/>
                      <w:color w:val="auto"/>
                      <w:kern w:val="0"/>
                      <w:sz w:val="21"/>
                      <w:szCs w:val="21"/>
                      <w:lang w:val="en-US" w:eastAsia="zh-CN" w:bidi="ar"/>
                    </w:rPr>
                  </w:pPr>
                  <w:r>
                    <w:rPr>
                      <w:rFonts w:hint="eastAsia"/>
                      <w:bCs/>
                      <w:color w:val="auto"/>
                      <w:kern w:val="0"/>
                      <w:sz w:val="21"/>
                      <w:szCs w:val="21"/>
                      <w:lang w:bidi="ar"/>
                    </w:rPr>
                    <w:t>HDPE桶、25L/桶</w:t>
                  </w:r>
                </w:p>
              </w:tc>
            </w:tr>
            <w:tr w14:paraId="36AC8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47" w:type="pct"/>
                  <w:vMerge w:val="continue"/>
                  <w:noWrap/>
                  <w:tcMar>
                    <w:top w:w="15" w:type="dxa"/>
                    <w:left w:w="15" w:type="dxa"/>
                    <w:right w:w="15" w:type="dxa"/>
                  </w:tcMar>
                  <w:vAlign w:val="center"/>
                </w:tcPr>
                <w:p w14:paraId="3CCA9AAD">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p>
              </w:tc>
              <w:tc>
                <w:tcPr>
                  <w:tcW w:w="762" w:type="pct"/>
                  <w:shd w:val="clear" w:color="auto" w:fill="auto"/>
                  <w:noWrap/>
                  <w:tcMar>
                    <w:top w:w="15" w:type="dxa"/>
                    <w:left w:w="15" w:type="dxa"/>
                    <w:right w:w="15" w:type="dxa"/>
                  </w:tcMar>
                  <w:vAlign w:val="center"/>
                </w:tcPr>
                <w:p w14:paraId="7F277748">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bCs/>
                      <w:color w:val="auto"/>
                      <w:sz w:val="21"/>
                      <w:szCs w:val="21"/>
                      <w:lang w:val="en-US" w:eastAsia="zh-CN"/>
                    </w:rPr>
                    <w:t>CaCl·2H</w:t>
                  </w:r>
                  <w:r>
                    <w:rPr>
                      <w:rFonts w:hint="eastAsia"/>
                      <w:bCs/>
                      <w:color w:val="auto"/>
                      <w:sz w:val="21"/>
                      <w:szCs w:val="21"/>
                      <w:vertAlign w:val="subscript"/>
                      <w:lang w:val="en-US" w:eastAsia="zh-CN"/>
                    </w:rPr>
                    <w:t>2</w:t>
                  </w:r>
                  <w:r>
                    <w:rPr>
                      <w:rFonts w:hint="eastAsia"/>
                      <w:bCs/>
                      <w:color w:val="auto"/>
                      <w:sz w:val="21"/>
                      <w:szCs w:val="21"/>
                      <w:lang w:val="en-US" w:eastAsia="zh-CN"/>
                    </w:rPr>
                    <w:t>O</w:t>
                  </w:r>
                </w:p>
              </w:tc>
              <w:tc>
                <w:tcPr>
                  <w:tcW w:w="1318" w:type="pct"/>
                  <w:tcBorders>
                    <w:right w:val="single" w:color="auto" w:sz="4" w:space="0"/>
                  </w:tcBorders>
                  <w:shd w:val="clear" w:color="auto" w:fill="auto"/>
                  <w:noWrap/>
                  <w:tcMar>
                    <w:top w:w="15" w:type="dxa"/>
                    <w:left w:w="15" w:type="dxa"/>
                    <w:right w:w="15" w:type="dxa"/>
                  </w:tcMar>
                  <w:vAlign w:val="center"/>
                </w:tcPr>
                <w:p w14:paraId="587CE86E">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bCs/>
                      <w:color w:val="auto"/>
                      <w:kern w:val="0"/>
                      <w:sz w:val="21"/>
                      <w:szCs w:val="21"/>
                      <w:lang w:val="en-US" w:eastAsia="zh-CN" w:bidi="ar"/>
                    </w:rPr>
                  </w:pPr>
                  <w:r>
                    <w:rPr>
                      <w:rFonts w:hint="eastAsia"/>
                      <w:bCs/>
                      <w:color w:val="auto"/>
                      <w:kern w:val="0"/>
                      <w:sz w:val="21"/>
                      <w:szCs w:val="21"/>
                      <w:lang w:val="en-US" w:eastAsia="zh-CN" w:bidi="ar"/>
                    </w:rPr>
                    <w:t>0.3</w:t>
                  </w:r>
                  <w:r>
                    <w:rPr>
                      <w:rFonts w:hint="eastAsia"/>
                      <w:bCs/>
                      <w:color w:val="auto"/>
                      <w:kern w:val="0"/>
                      <w:sz w:val="21"/>
                      <w:szCs w:val="21"/>
                      <w:lang w:bidi="ar"/>
                    </w:rPr>
                    <w:t>t/a</w:t>
                  </w:r>
                </w:p>
              </w:tc>
              <w:tc>
                <w:tcPr>
                  <w:tcW w:w="987" w:type="pct"/>
                  <w:tcBorders>
                    <w:left w:val="single" w:color="auto" w:sz="4" w:space="0"/>
                    <w:right w:val="single" w:color="auto" w:sz="4" w:space="0"/>
                  </w:tcBorders>
                  <w:shd w:val="clear" w:color="auto" w:fill="auto"/>
                  <w:noWrap/>
                  <w:tcMar>
                    <w:top w:w="15" w:type="dxa"/>
                    <w:left w:w="15" w:type="dxa"/>
                    <w:right w:w="15" w:type="dxa"/>
                  </w:tcMar>
                  <w:vAlign w:val="center"/>
                </w:tcPr>
                <w:p w14:paraId="1BC84248">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bCs/>
                      <w:color w:val="auto"/>
                      <w:kern w:val="0"/>
                      <w:sz w:val="21"/>
                      <w:szCs w:val="21"/>
                      <w:lang w:val="en-US" w:eastAsia="zh-CN" w:bidi="ar"/>
                    </w:rPr>
                  </w:pPr>
                  <w:r>
                    <w:rPr>
                      <w:rFonts w:hint="eastAsia"/>
                      <w:bCs/>
                      <w:color w:val="auto"/>
                      <w:kern w:val="0"/>
                      <w:sz w:val="21"/>
                      <w:szCs w:val="21"/>
                      <w:lang w:bidi="ar"/>
                    </w:rPr>
                    <w:t>外购</w:t>
                  </w:r>
                </w:p>
              </w:tc>
              <w:tc>
                <w:tcPr>
                  <w:tcW w:w="1283" w:type="pct"/>
                  <w:tcBorders>
                    <w:left w:val="single" w:color="auto" w:sz="4" w:space="0"/>
                  </w:tcBorders>
                  <w:shd w:val="clear" w:color="auto" w:fill="auto"/>
                  <w:noWrap/>
                  <w:tcMar>
                    <w:top w:w="15" w:type="dxa"/>
                    <w:left w:w="15" w:type="dxa"/>
                    <w:right w:w="15" w:type="dxa"/>
                  </w:tcMar>
                  <w:vAlign w:val="center"/>
                </w:tcPr>
                <w:p w14:paraId="651D596C">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bCs/>
                      <w:color w:val="auto"/>
                      <w:kern w:val="0"/>
                      <w:sz w:val="21"/>
                      <w:szCs w:val="21"/>
                      <w:lang w:val="en-US" w:eastAsia="zh-CN" w:bidi="ar"/>
                    </w:rPr>
                  </w:pPr>
                  <w:r>
                    <w:rPr>
                      <w:rFonts w:hint="eastAsia"/>
                      <w:bCs/>
                      <w:color w:val="auto"/>
                      <w:kern w:val="0"/>
                      <w:sz w:val="21"/>
                      <w:szCs w:val="21"/>
                      <w:lang w:bidi="ar"/>
                    </w:rPr>
                    <w:t>袋装、25kg/袋</w:t>
                  </w:r>
                </w:p>
              </w:tc>
            </w:tr>
            <w:tr w14:paraId="0F243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47" w:type="pct"/>
                  <w:vMerge w:val="continue"/>
                  <w:noWrap/>
                  <w:tcMar>
                    <w:top w:w="15" w:type="dxa"/>
                    <w:left w:w="15" w:type="dxa"/>
                    <w:right w:w="15" w:type="dxa"/>
                  </w:tcMar>
                  <w:vAlign w:val="center"/>
                </w:tcPr>
                <w:p w14:paraId="25087FC8">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p>
              </w:tc>
              <w:tc>
                <w:tcPr>
                  <w:tcW w:w="762" w:type="pct"/>
                  <w:noWrap/>
                  <w:tcMar>
                    <w:top w:w="15" w:type="dxa"/>
                    <w:left w:w="15" w:type="dxa"/>
                    <w:right w:w="15" w:type="dxa"/>
                  </w:tcMar>
                  <w:vAlign w:val="center"/>
                </w:tcPr>
                <w:p w14:paraId="772A0872">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rFonts w:hint="eastAsia"/>
                      <w:bCs/>
                      <w:color w:val="auto"/>
                      <w:sz w:val="21"/>
                      <w:szCs w:val="21"/>
                    </w:rPr>
                    <w:t>PAC</w:t>
                  </w:r>
                </w:p>
              </w:tc>
              <w:tc>
                <w:tcPr>
                  <w:tcW w:w="1318" w:type="pct"/>
                  <w:tcBorders>
                    <w:right w:val="single" w:color="auto" w:sz="4" w:space="0"/>
                  </w:tcBorders>
                  <w:noWrap/>
                  <w:tcMar>
                    <w:top w:w="15" w:type="dxa"/>
                    <w:left w:w="15" w:type="dxa"/>
                    <w:right w:w="15" w:type="dxa"/>
                  </w:tcMar>
                  <w:vAlign w:val="center"/>
                </w:tcPr>
                <w:p w14:paraId="4F995028">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0.2t/a</w:t>
                  </w:r>
                </w:p>
              </w:tc>
              <w:tc>
                <w:tcPr>
                  <w:tcW w:w="987" w:type="pct"/>
                  <w:tcBorders>
                    <w:left w:val="single" w:color="auto" w:sz="4" w:space="0"/>
                    <w:right w:val="single" w:color="auto" w:sz="4" w:space="0"/>
                  </w:tcBorders>
                  <w:noWrap/>
                  <w:tcMar>
                    <w:top w:w="15" w:type="dxa"/>
                    <w:left w:w="15" w:type="dxa"/>
                    <w:right w:w="15" w:type="dxa"/>
                  </w:tcMar>
                  <w:vAlign w:val="center"/>
                </w:tcPr>
                <w:p w14:paraId="74EA2695">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外购</w:t>
                  </w:r>
                </w:p>
              </w:tc>
              <w:tc>
                <w:tcPr>
                  <w:tcW w:w="1283" w:type="pct"/>
                  <w:tcBorders>
                    <w:left w:val="single" w:color="auto" w:sz="4" w:space="0"/>
                  </w:tcBorders>
                  <w:noWrap/>
                  <w:tcMar>
                    <w:top w:w="15" w:type="dxa"/>
                    <w:left w:w="15" w:type="dxa"/>
                    <w:right w:w="15" w:type="dxa"/>
                  </w:tcMar>
                  <w:vAlign w:val="center"/>
                </w:tcPr>
                <w:p w14:paraId="0D890414">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袋装、25kg/袋</w:t>
                  </w:r>
                </w:p>
              </w:tc>
            </w:tr>
            <w:tr w14:paraId="7A8D3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47" w:type="pct"/>
                  <w:vMerge w:val="continue"/>
                  <w:noWrap/>
                  <w:tcMar>
                    <w:top w:w="15" w:type="dxa"/>
                    <w:left w:w="15" w:type="dxa"/>
                    <w:right w:w="15" w:type="dxa"/>
                  </w:tcMar>
                  <w:vAlign w:val="center"/>
                </w:tcPr>
                <w:p w14:paraId="129067D2">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p>
              </w:tc>
              <w:tc>
                <w:tcPr>
                  <w:tcW w:w="762" w:type="pct"/>
                  <w:noWrap/>
                  <w:tcMar>
                    <w:top w:w="15" w:type="dxa"/>
                    <w:left w:w="15" w:type="dxa"/>
                    <w:right w:w="15" w:type="dxa"/>
                  </w:tcMar>
                  <w:vAlign w:val="center"/>
                </w:tcPr>
                <w:p w14:paraId="397151F8">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rFonts w:hint="eastAsia"/>
                      <w:bCs/>
                      <w:color w:val="auto"/>
                      <w:sz w:val="21"/>
                      <w:szCs w:val="21"/>
                    </w:rPr>
                    <w:t>PAM</w:t>
                  </w:r>
                </w:p>
              </w:tc>
              <w:tc>
                <w:tcPr>
                  <w:tcW w:w="1318" w:type="pct"/>
                  <w:tcBorders>
                    <w:right w:val="single" w:color="auto" w:sz="4" w:space="0"/>
                  </w:tcBorders>
                  <w:noWrap/>
                  <w:tcMar>
                    <w:top w:w="15" w:type="dxa"/>
                    <w:left w:w="15" w:type="dxa"/>
                    <w:right w:w="15" w:type="dxa"/>
                  </w:tcMar>
                  <w:vAlign w:val="center"/>
                </w:tcPr>
                <w:p w14:paraId="04AE01DF">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0.01t/a</w:t>
                  </w:r>
                </w:p>
              </w:tc>
              <w:tc>
                <w:tcPr>
                  <w:tcW w:w="987" w:type="pct"/>
                  <w:tcBorders>
                    <w:left w:val="single" w:color="auto" w:sz="4" w:space="0"/>
                    <w:right w:val="single" w:color="auto" w:sz="4" w:space="0"/>
                  </w:tcBorders>
                  <w:noWrap/>
                  <w:tcMar>
                    <w:top w:w="15" w:type="dxa"/>
                    <w:left w:w="15" w:type="dxa"/>
                    <w:right w:w="15" w:type="dxa"/>
                  </w:tcMar>
                  <w:vAlign w:val="center"/>
                </w:tcPr>
                <w:p w14:paraId="3FA98F6D">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外购</w:t>
                  </w:r>
                </w:p>
              </w:tc>
              <w:tc>
                <w:tcPr>
                  <w:tcW w:w="1283" w:type="pct"/>
                  <w:tcBorders>
                    <w:left w:val="single" w:color="auto" w:sz="4" w:space="0"/>
                  </w:tcBorders>
                  <w:noWrap/>
                  <w:tcMar>
                    <w:top w:w="15" w:type="dxa"/>
                    <w:left w:w="15" w:type="dxa"/>
                    <w:right w:w="15" w:type="dxa"/>
                  </w:tcMar>
                  <w:vAlign w:val="center"/>
                </w:tcPr>
                <w:p w14:paraId="6A913896">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rFonts w:hint="eastAsia"/>
                      <w:bCs/>
                      <w:color w:val="auto"/>
                      <w:kern w:val="0"/>
                      <w:sz w:val="21"/>
                      <w:szCs w:val="21"/>
                      <w:lang w:bidi="ar"/>
                    </w:rPr>
                    <w:t>袋装、25kg/袋</w:t>
                  </w:r>
                </w:p>
              </w:tc>
            </w:tr>
            <w:tr w14:paraId="18159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47" w:type="pct"/>
                  <w:vMerge w:val="restart"/>
                  <w:noWrap/>
                  <w:tcMar>
                    <w:top w:w="15" w:type="dxa"/>
                    <w:left w:w="15" w:type="dxa"/>
                    <w:right w:w="15" w:type="dxa"/>
                  </w:tcMar>
                  <w:vAlign w:val="center"/>
                </w:tcPr>
                <w:p w14:paraId="3A019824">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bCs/>
                      <w:color w:val="auto"/>
                      <w:sz w:val="21"/>
                      <w:szCs w:val="21"/>
                    </w:rPr>
                    <w:t>能源</w:t>
                  </w:r>
                </w:p>
              </w:tc>
              <w:tc>
                <w:tcPr>
                  <w:tcW w:w="762" w:type="pct"/>
                  <w:noWrap/>
                  <w:tcMar>
                    <w:top w:w="15" w:type="dxa"/>
                    <w:left w:w="15" w:type="dxa"/>
                    <w:right w:w="15" w:type="dxa"/>
                  </w:tcMar>
                  <w:vAlign w:val="center"/>
                </w:tcPr>
                <w:p w14:paraId="66A000B8">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bCs/>
                      <w:color w:val="auto"/>
                      <w:sz w:val="21"/>
                      <w:szCs w:val="21"/>
                    </w:rPr>
                    <w:t>水</w:t>
                  </w:r>
                </w:p>
              </w:tc>
              <w:tc>
                <w:tcPr>
                  <w:tcW w:w="1318" w:type="pct"/>
                  <w:tcBorders>
                    <w:right w:val="single" w:color="auto" w:sz="4" w:space="0"/>
                  </w:tcBorders>
                  <w:noWrap/>
                  <w:tcMar>
                    <w:top w:w="15" w:type="dxa"/>
                    <w:left w:w="15" w:type="dxa"/>
                    <w:right w:w="15" w:type="dxa"/>
                  </w:tcMar>
                  <w:vAlign w:val="center"/>
                </w:tcPr>
                <w:p w14:paraId="77F7760A">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rFonts w:hint="eastAsia"/>
                      <w:bCs/>
                      <w:color w:val="auto"/>
                      <w:sz w:val="21"/>
                      <w:szCs w:val="21"/>
                    </w:rPr>
                    <w:t>2778.55</w:t>
                  </w:r>
                  <w:r>
                    <w:rPr>
                      <w:bCs/>
                      <w:color w:val="auto"/>
                      <w:sz w:val="21"/>
                      <w:szCs w:val="21"/>
                    </w:rPr>
                    <w:t>m</w:t>
                  </w:r>
                  <w:r>
                    <w:rPr>
                      <w:bCs/>
                      <w:color w:val="auto"/>
                      <w:sz w:val="21"/>
                      <w:szCs w:val="21"/>
                      <w:vertAlign w:val="superscript"/>
                    </w:rPr>
                    <w:t>3</w:t>
                  </w:r>
                  <w:r>
                    <w:rPr>
                      <w:bCs/>
                      <w:color w:val="auto"/>
                      <w:sz w:val="21"/>
                      <w:szCs w:val="21"/>
                    </w:rPr>
                    <w:t>/a</w:t>
                  </w:r>
                </w:p>
              </w:tc>
              <w:tc>
                <w:tcPr>
                  <w:tcW w:w="987" w:type="pct"/>
                  <w:tcBorders>
                    <w:left w:val="single" w:color="auto" w:sz="4" w:space="0"/>
                    <w:right w:val="single" w:color="auto" w:sz="4" w:space="0"/>
                  </w:tcBorders>
                  <w:noWrap/>
                  <w:tcMar>
                    <w:top w:w="15" w:type="dxa"/>
                    <w:left w:w="15" w:type="dxa"/>
                    <w:right w:w="15" w:type="dxa"/>
                  </w:tcMar>
                  <w:vAlign w:val="center"/>
                </w:tcPr>
                <w:p w14:paraId="0F8FE4CA">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bCs/>
                      <w:color w:val="auto"/>
                      <w:kern w:val="0"/>
                      <w:sz w:val="21"/>
                      <w:szCs w:val="21"/>
                      <w:lang w:bidi="ar"/>
                    </w:rPr>
                    <w:t>当地供水管网</w:t>
                  </w:r>
                </w:p>
              </w:tc>
              <w:tc>
                <w:tcPr>
                  <w:tcW w:w="1283" w:type="pct"/>
                  <w:tcBorders>
                    <w:left w:val="single" w:color="auto" w:sz="4" w:space="0"/>
                  </w:tcBorders>
                  <w:noWrap/>
                  <w:tcMar>
                    <w:top w:w="15" w:type="dxa"/>
                    <w:left w:w="15" w:type="dxa"/>
                    <w:right w:w="15" w:type="dxa"/>
                  </w:tcMar>
                  <w:vAlign w:val="center"/>
                </w:tcPr>
                <w:p w14:paraId="1E2CF752">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p>
              </w:tc>
            </w:tr>
            <w:tr w14:paraId="377BB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47" w:type="pct"/>
                  <w:vMerge w:val="continue"/>
                  <w:noWrap/>
                  <w:tcMar>
                    <w:top w:w="15" w:type="dxa"/>
                    <w:left w:w="15" w:type="dxa"/>
                    <w:right w:w="15" w:type="dxa"/>
                  </w:tcMar>
                  <w:vAlign w:val="center"/>
                </w:tcPr>
                <w:p w14:paraId="0CFDC94F">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p>
              </w:tc>
              <w:tc>
                <w:tcPr>
                  <w:tcW w:w="762" w:type="pct"/>
                  <w:noWrap/>
                  <w:tcMar>
                    <w:top w:w="15" w:type="dxa"/>
                    <w:left w:w="15" w:type="dxa"/>
                    <w:right w:w="15" w:type="dxa"/>
                  </w:tcMar>
                  <w:vAlign w:val="center"/>
                </w:tcPr>
                <w:p w14:paraId="08129996">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bCs/>
                      <w:color w:val="auto"/>
                      <w:sz w:val="21"/>
                      <w:szCs w:val="21"/>
                    </w:rPr>
                    <w:t>电</w:t>
                  </w:r>
                </w:p>
              </w:tc>
              <w:tc>
                <w:tcPr>
                  <w:tcW w:w="1318" w:type="pct"/>
                  <w:tcBorders>
                    <w:right w:val="single" w:color="auto" w:sz="4" w:space="0"/>
                  </w:tcBorders>
                  <w:noWrap/>
                  <w:tcMar>
                    <w:top w:w="15" w:type="dxa"/>
                    <w:left w:w="15" w:type="dxa"/>
                    <w:right w:w="15" w:type="dxa"/>
                  </w:tcMar>
                  <w:vAlign w:val="center"/>
                </w:tcPr>
                <w:p w14:paraId="75808FD1">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sz w:val="21"/>
                      <w:szCs w:val="21"/>
                    </w:rPr>
                  </w:pPr>
                  <w:r>
                    <w:rPr>
                      <w:bCs/>
                      <w:color w:val="auto"/>
                      <w:sz w:val="21"/>
                      <w:szCs w:val="21"/>
                    </w:rPr>
                    <w:t>2</w:t>
                  </w:r>
                  <w:r>
                    <w:rPr>
                      <w:bCs/>
                      <w:color w:val="auto"/>
                      <w:sz w:val="21"/>
                      <w:szCs w:val="21"/>
                      <w:lang w:eastAsia="zh"/>
                    </w:rPr>
                    <w:t>737</w:t>
                  </w:r>
                  <w:r>
                    <w:rPr>
                      <w:bCs/>
                      <w:color w:val="auto"/>
                      <w:sz w:val="21"/>
                      <w:szCs w:val="21"/>
                    </w:rPr>
                    <w:t>.9</w:t>
                  </w:r>
                  <w:r>
                    <w:rPr>
                      <w:bCs/>
                      <w:color w:val="auto"/>
                      <w:sz w:val="21"/>
                      <w:szCs w:val="21"/>
                      <w:lang w:eastAsia="zh"/>
                    </w:rPr>
                    <w:t>8</w:t>
                  </w:r>
                  <w:r>
                    <w:rPr>
                      <w:bCs/>
                      <w:color w:val="auto"/>
                      <w:sz w:val="21"/>
                      <w:szCs w:val="21"/>
                    </w:rPr>
                    <w:t>万kw·h</w:t>
                  </w:r>
                </w:p>
              </w:tc>
              <w:tc>
                <w:tcPr>
                  <w:tcW w:w="987" w:type="pct"/>
                  <w:tcBorders>
                    <w:left w:val="single" w:color="auto" w:sz="4" w:space="0"/>
                    <w:right w:val="single" w:color="auto" w:sz="4" w:space="0"/>
                  </w:tcBorders>
                  <w:noWrap/>
                  <w:tcMar>
                    <w:top w:w="15" w:type="dxa"/>
                    <w:left w:w="15" w:type="dxa"/>
                    <w:right w:w="15" w:type="dxa"/>
                  </w:tcMar>
                  <w:vAlign w:val="center"/>
                </w:tcPr>
                <w:p w14:paraId="6BCBA17E">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r>
                    <w:rPr>
                      <w:bCs/>
                      <w:color w:val="auto"/>
                      <w:kern w:val="0"/>
                      <w:sz w:val="21"/>
                      <w:szCs w:val="21"/>
                      <w:lang w:bidi="ar"/>
                    </w:rPr>
                    <w:t>当地供电管网</w:t>
                  </w:r>
                </w:p>
              </w:tc>
              <w:tc>
                <w:tcPr>
                  <w:tcW w:w="1283" w:type="pct"/>
                  <w:tcBorders>
                    <w:left w:val="single" w:color="auto" w:sz="4" w:space="0"/>
                  </w:tcBorders>
                  <w:noWrap/>
                  <w:tcMar>
                    <w:top w:w="15" w:type="dxa"/>
                    <w:left w:w="15" w:type="dxa"/>
                    <w:right w:w="15" w:type="dxa"/>
                  </w:tcMar>
                  <w:vAlign w:val="center"/>
                </w:tcPr>
                <w:p w14:paraId="49B37571">
                  <w:pPr>
                    <w:keepNext w:val="0"/>
                    <w:keepLines w:val="0"/>
                    <w:pageBreakBefore w:val="0"/>
                    <w:widowControl w:val="0"/>
                    <w:kinsoku/>
                    <w:wordWrap/>
                    <w:overflowPunct/>
                    <w:topLinePunct w:val="0"/>
                    <w:autoSpaceDE/>
                    <w:autoSpaceDN/>
                    <w:bidi w:val="0"/>
                    <w:adjustRightInd/>
                    <w:snapToGrid/>
                    <w:spacing w:line="320" w:lineRule="exact"/>
                    <w:jc w:val="center"/>
                    <w:textAlignment w:val="center"/>
                    <w:rPr>
                      <w:bCs/>
                      <w:color w:val="auto"/>
                      <w:kern w:val="0"/>
                      <w:sz w:val="21"/>
                      <w:szCs w:val="21"/>
                      <w:lang w:bidi="ar"/>
                    </w:rPr>
                  </w:pPr>
                </w:p>
              </w:tc>
            </w:tr>
          </w:tbl>
          <w:p w14:paraId="25EC417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rPr>
            </w:pPr>
            <w:commentRangeStart w:id="19"/>
            <w:r>
              <w:rPr>
                <w:rFonts w:hint="eastAsia"/>
                <w:color w:val="auto"/>
              </w:rPr>
              <w:t>原辅材料的理化性质如下</w:t>
            </w:r>
            <w:commentRangeEnd w:id="19"/>
            <w:r>
              <w:rPr>
                <w:color w:val="auto"/>
              </w:rPr>
              <w:commentReference w:id="19"/>
            </w:r>
            <w:r>
              <w:rPr>
                <w:rFonts w:hint="eastAsia"/>
                <w:color w:val="auto"/>
              </w:rPr>
              <w:t>：</w:t>
            </w:r>
          </w:p>
          <w:p w14:paraId="6790CE7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eastAsia="宋体"/>
                <w:color w:val="0000FF"/>
                <w:lang w:val="en-US" w:eastAsia="zh-CN"/>
              </w:rPr>
            </w:pPr>
            <w:r>
              <w:rPr>
                <w:rFonts w:hint="eastAsia"/>
                <w:color w:val="auto"/>
              </w:rPr>
              <w:t>（1）碱性清洗剂：有效活性物（NaOH、硅酸盐、磷酸盐复配）含量30%，为淡黄色透明液体，密度1.1g/cm</w:t>
            </w:r>
            <w:r>
              <w:rPr>
                <w:rFonts w:hint="eastAsia"/>
                <w:color w:val="auto"/>
                <w:vertAlign w:val="superscript"/>
              </w:rPr>
              <w:t>3</w:t>
            </w:r>
            <w:r>
              <w:rPr>
                <w:rFonts w:hint="eastAsia"/>
                <w:color w:val="auto"/>
              </w:rPr>
              <w:t>，pH=12.5，易溶于、低挥发、不燃不爆，具强去污与碱性缓冲能力，适配卡车维修油污清洗。</w:t>
            </w:r>
            <w:r>
              <w:rPr>
                <w:rFonts w:hint="eastAsia"/>
                <w:color w:val="0000FF"/>
                <w:lang w:val="en-US" w:eastAsia="zh-CN"/>
              </w:rPr>
              <w:t>用于维修件清洗时添加。</w:t>
            </w:r>
          </w:p>
          <w:p w14:paraId="4D8F60D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eastAsia="宋体"/>
                <w:color w:val="auto"/>
                <w:lang w:val="en-US" w:eastAsia="zh-CN"/>
              </w:rPr>
            </w:pPr>
            <w:r>
              <w:rPr>
                <w:rFonts w:hint="eastAsia"/>
                <w:color w:val="auto"/>
              </w:rPr>
              <w:t>（2）15%盐酸：无色透明液体，密度1.074 g/cm</w:t>
            </w:r>
            <w:r>
              <w:rPr>
                <w:rFonts w:hint="eastAsia"/>
                <w:color w:val="auto"/>
                <w:vertAlign w:val="superscript"/>
              </w:rPr>
              <w:t>3</w:t>
            </w:r>
            <w:r>
              <w:rPr>
                <w:rFonts w:hint="eastAsia"/>
                <w:color w:val="auto"/>
              </w:rPr>
              <w:t>，摩尔浓度约4.38 mol/L，质量浓度161.1 g/L，pH远小于1（强酸性）；具强挥发性与腐蚀性，易溶于水，不燃不爆；对钢铁、皮肤、黏膜、混凝土有强腐蚀，严禁接触铝/锌/不锈钢（氯离子应力腐蚀），需密封阴凉储存。</w:t>
            </w:r>
            <w:r>
              <w:rPr>
                <w:rFonts w:hint="eastAsia"/>
                <w:color w:val="0000FF"/>
                <w:lang w:val="en-US" w:eastAsia="zh-CN"/>
              </w:rPr>
              <w:t>用于清洗废水调节pH时使用。</w:t>
            </w:r>
          </w:p>
          <w:p w14:paraId="41E1554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eastAsia="宋体"/>
                <w:color w:val="0000FF"/>
                <w:sz w:val="24"/>
                <w:szCs w:val="24"/>
                <w:lang w:val="en-US" w:eastAsia="zh-CN"/>
              </w:rPr>
            </w:pP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bCs/>
                <w:color w:val="auto"/>
                <w:sz w:val="24"/>
                <w:szCs w:val="24"/>
                <w:lang w:val="en-US" w:eastAsia="zh-CN"/>
              </w:rPr>
              <w:t>CaCl·2H</w:t>
            </w:r>
            <w:r>
              <w:rPr>
                <w:rFonts w:hint="eastAsia"/>
                <w:bCs/>
                <w:color w:val="auto"/>
                <w:sz w:val="24"/>
                <w:szCs w:val="24"/>
                <w:vertAlign w:val="subscript"/>
                <w:lang w:val="en-US" w:eastAsia="zh-CN"/>
              </w:rPr>
              <w:t>2</w:t>
            </w:r>
            <w:r>
              <w:rPr>
                <w:rFonts w:hint="eastAsia"/>
                <w:bCs/>
                <w:color w:val="auto"/>
                <w:sz w:val="24"/>
                <w:szCs w:val="24"/>
                <w:lang w:val="en-US" w:eastAsia="zh-CN"/>
              </w:rPr>
              <w:t>O</w:t>
            </w:r>
            <w:r>
              <w:rPr>
                <w:rFonts w:hint="eastAsia"/>
                <w:color w:val="auto"/>
                <w:sz w:val="24"/>
                <w:szCs w:val="24"/>
                <w:lang w:val="en-US" w:eastAsia="zh-CN"/>
              </w:rPr>
              <w:t>：白色或灰白色结晶颗粒，分子量147.02 g/mol，极易溶于水且溶解放热，20℃时溶解度约74.5 g/100 mL水；水溶液呈中性至微酸性，pH约4.5~8.5；具有极强吸湿性，需密封存储。</w:t>
            </w:r>
            <w:r>
              <w:rPr>
                <w:rFonts w:hint="eastAsia"/>
                <w:color w:val="0000FF"/>
                <w:sz w:val="24"/>
                <w:szCs w:val="24"/>
                <w:lang w:val="en-US" w:eastAsia="zh-CN"/>
              </w:rPr>
              <w:t>用于清洗废水破乳除油时使用。</w:t>
            </w:r>
          </w:p>
          <w:p w14:paraId="0839B16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color w:val="auto"/>
                <w:lang w:val="en-US"/>
              </w:rPr>
            </w:pPr>
            <w:r>
              <w:rPr>
                <w:rFonts w:hint="eastAsia"/>
                <w:color w:val="auto"/>
              </w:rPr>
              <w:t>（</w:t>
            </w:r>
            <w:r>
              <w:rPr>
                <w:rFonts w:hint="eastAsia"/>
                <w:color w:val="auto"/>
                <w:lang w:val="en-US" w:eastAsia="zh-CN"/>
              </w:rPr>
              <w:t>4</w:t>
            </w:r>
            <w:r>
              <w:rPr>
                <w:rFonts w:hint="eastAsia"/>
                <w:color w:val="auto"/>
              </w:rPr>
              <w:t>）PAC：</w:t>
            </w:r>
            <w:r>
              <w:rPr>
                <w:color w:val="auto"/>
              </w:rPr>
              <w:t>黄色/黄褐色颗粒</w:t>
            </w:r>
            <w:r>
              <w:rPr>
                <w:rFonts w:hint="eastAsia"/>
                <w:color w:val="auto"/>
              </w:rPr>
              <w:t>，</w:t>
            </w:r>
            <w:r>
              <w:rPr>
                <w:color w:val="auto"/>
              </w:rPr>
              <w:t>固体相对密度约2.4，有效氧化铝（Al₂O₃）含量≥28%，pH（1%水溶液）3.5–5.0（弱酸性）</w:t>
            </w:r>
            <w:r>
              <w:rPr>
                <w:rFonts w:hint="eastAsia"/>
                <w:color w:val="auto"/>
              </w:rPr>
              <w:t>，</w:t>
            </w:r>
            <w:r>
              <w:rPr>
                <w:color w:val="auto"/>
              </w:rPr>
              <w:t>易溶于水，水解生成氢氧化铝胶体，具强吸附架桥与混凝作用；不燃不爆，无挥发性。</w:t>
            </w:r>
            <w:r>
              <w:rPr>
                <w:rFonts w:hint="eastAsia"/>
                <w:color w:val="0000FF"/>
                <w:sz w:val="24"/>
                <w:szCs w:val="24"/>
                <w:lang w:val="en-US" w:eastAsia="zh-CN"/>
              </w:rPr>
              <w:t>用于清洗废水混凝沉淀时添加。</w:t>
            </w:r>
          </w:p>
          <w:p w14:paraId="553C2A7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rPr>
            </w:pPr>
            <w:r>
              <w:rPr>
                <w:rFonts w:hint="eastAsia"/>
                <w:color w:val="auto"/>
              </w:rPr>
              <w:t>（</w:t>
            </w:r>
            <w:r>
              <w:rPr>
                <w:rFonts w:hint="eastAsia"/>
                <w:color w:val="auto"/>
                <w:lang w:val="en-US" w:eastAsia="zh-CN"/>
              </w:rPr>
              <w:t>5</w:t>
            </w:r>
            <w:r>
              <w:rPr>
                <w:rFonts w:hint="eastAsia"/>
                <w:color w:val="auto"/>
              </w:rPr>
              <w:t>）PAM：</w:t>
            </w:r>
            <w:r>
              <w:rPr>
                <w:color w:val="auto"/>
              </w:rPr>
              <w:t>白色/微黄色粉末颗粒，无臭无味</w:t>
            </w:r>
            <w:r>
              <w:rPr>
                <w:rFonts w:hint="eastAsia"/>
                <w:color w:val="auto"/>
              </w:rPr>
              <w:t>，</w:t>
            </w:r>
            <w:r>
              <w:rPr>
                <w:color w:val="auto"/>
              </w:rPr>
              <w:t>分子量常见800–1200万，固含量≥90%，水解度（阴离子型）20%–30%，易溶于水（水温≤40℃为佳），不溶于有机溶剂（苯、乙醇等）</w:t>
            </w:r>
            <w:r>
              <w:rPr>
                <w:rFonts w:hint="eastAsia"/>
                <w:color w:val="auto"/>
              </w:rPr>
              <w:t>；</w:t>
            </w:r>
            <w:r>
              <w:rPr>
                <w:color w:val="auto"/>
              </w:rPr>
              <w:t>水溶液具高粘度，通过吸附架桥、网捕作用强化絮凝，加速污泥沉降；不燃不爆，无挥发性。</w:t>
            </w:r>
            <w:r>
              <w:rPr>
                <w:rFonts w:hint="eastAsia"/>
                <w:color w:val="0000FF"/>
                <w:sz w:val="24"/>
                <w:szCs w:val="24"/>
                <w:lang w:val="en-US" w:eastAsia="zh-CN"/>
              </w:rPr>
              <w:t>用于清洗废水混凝沉淀时添加。</w:t>
            </w:r>
          </w:p>
          <w:p w14:paraId="2ECB017E">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b/>
                <w:bCs/>
                <w:color w:val="auto"/>
              </w:rPr>
            </w:pPr>
            <w:r>
              <w:rPr>
                <w:rFonts w:hint="eastAsia"/>
                <w:b/>
                <w:bCs/>
                <w:color w:val="auto"/>
              </w:rPr>
              <w:t>5</w:t>
            </w:r>
            <w:r>
              <w:rPr>
                <w:b/>
                <w:bCs/>
                <w:color w:val="auto"/>
              </w:rPr>
              <w:t>、劳动定员及工作制度</w:t>
            </w:r>
          </w:p>
          <w:p w14:paraId="5F6A718B">
            <w:pPr>
              <w:pStyle w:val="24"/>
              <w:keepNext w:val="0"/>
              <w:keepLines w:val="0"/>
              <w:pageBreakBefore w:val="0"/>
              <w:widowControl w:val="0"/>
              <w:kinsoku/>
              <w:wordWrap/>
              <w:overflowPunct/>
              <w:topLinePunct w:val="0"/>
              <w:autoSpaceDE/>
              <w:autoSpaceDN/>
              <w:bidi w:val="0"/>
              <w:adjustRightInd/>
              <w:snapToGrid/>
              <w:spacing w:after="0" w:line="500" w:lineRule="exact"/>
              <w:ind w:left="0" w:leftChars="0" w:firstLine="480" w:firstLineChars="200"/>
              <w:textAlignment w:val="auto"/>
              <w:rPr>
                <w:color w:val="auto"/>
                <w:szCs w:val="24"/>
              </w:rPr>
            </w:pPr>
            <w:r>
              <w:rPr>
                <w:color w:val="auto"/>
                <w:szCs w:val="24"/>
              </w:rPr>
              <w:t>本项目劳动定员</w:t>
            </w:r>
            <w:r>
              <w:rPr>
                <w:rFonts w:hint="eastAsia"/>
                <w:color w:val="auto"/>
                <w:szCs w:val="24"/>
              </w:rPr>
              <w:t>70</w:t>
            </w:r>
            <w:r>
              <w:rPr>
                <w:color w:val="auto"/>
                <w:szCs w:val="24"/>
              </w:rPr>
              <w:t>人，其中：生产工人60人，管理人员10人</w:t>
            </w:r>
            <w:r>
              <w:rPr>
                <w:rFonts w:hint="eastAsia"/>
                <w:color w:val="auto"/>
                <w:szCs w:val="24"/>
              </w:rPr>
              <w:t>。</w:t>
            </w:r>
          </w:p>
          <w:p w14:paraId="34B37DB7">
            <w:pPr>
              <w:pStyle w:val="24"/>
              <w:keepNext w:val="0"/>
              <w:keepLines w:val="0"/>
              <w:pageBreakBefore w:val="0"/>
              <w:widowControl w:val="0"/>
              <w:kinsoku/>
              <w:wordWrap/>
              <w:overflowPunct/>
              <w:topLinePunct w:val="0"/>
              <w:autoSpaceDE/>
              <w:autoSpaceDN/>
              <w:bidi w:val="0"/>
              <w:adjustRightInd/>
              <w:snapToGrid/>
              <w:spacing w:after="0" w:line="500" w:lineRule="exact"/>
              <w:ind w:left="0" w:leftChars="0" w:firstLine="480" w:firstLineChars="200"/>
              <w:textAlignment w:val="auto"/>
              <w:rPr>
                <w:color w:val="auto"/>
              </w:rPr>
            </w:pPr>
            <w:r>
              <w:rPr>
                <w:color w:val="auto"/>
                <w:szCs w:val="24"/>
              </w:rPr>
              <w:t>项目</w:t>
            </w:r>
            <w:r>
              <w:rPr>
                <w:rFonts w:hint="eastAsia"/>
                <w:color w:val="auto"/>
                <w:szCs w:val="24"/>
              </w:rPr>
              <w:t>废钢回收生产线全年工作日为300天，采用三班工作制，每班8小时；卡车维修生产线全年工作日为251天，采用一班工作制，每班8小时</w:t>
            </w:r>
            <w:r>
              <w:rPr>
                <w:color w:val="auto"/>
                <w:szCs w:val="24"/>
              </w:rPr>
              <w:t>。</w:t>
            </w:r>
          </w:p>
          <w:p w14:paraId="518B8797">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color w:val="auto"/>
              </w:rPr>
            </w:pPr>
            <w:r>
              <w:rPr>
                <w:rFonts w:hint="eastAsia"/>
                <w:b/>
                <w:bCs/>
                <w:color w:val="auto"/>
              </w:rPr>
              <w:t>6</w:t>
            </w:r>
            <w:r>
              <w:rPr>
                <w:b/>
                <w:bCs/>
                <w:color w:val="auto"/>
              </w:rPr>
              <w:t>、项目平面布置</w:t>
            </w:r>
          </w:p>
          <w:p w14:paraId="55F0581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rPr>
            </w:pPr>
            <w:r>
              <w:rPr>
                <w:rFonts w:hint="eastAsia"/>
                <w:color w:val="auto"/>
              </w:rPr>
              <w:t>本项目为新建项目，项目总平面布置功能划分明确，工艺布局合理，建、构筑物均有良好的日照和通风条件；厂区道路满足消防和运输要求；人流与物流布置合理。</w:t>
            </w:r>
          </w:p>
          <w:p w14:paraId="29F3468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rPr>
            </w:pPr>
            <w:r>
              <w:rPr>
                <w:rFonts w:hint="eastAsia"/>
                <w:color w:val="auto"/>
              </w:rPr>
              <w:t>①功能分区</w:t>
            </w:r>
          </w:p>
          <w:p w14:paraId="219683D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rPr>
            </w:pPr>
            <w:r>
              <w:rPr>
                <w:rFonts w:hint="eastAsia"/>
                <w:color w:val="auto"/>
              </w:rPr>
              <w:t>根据生产使用功能的不同，合理安排各功能区，该厂区分为待停区、生产区、存储区、动力区和办公生活区。</w:t>
            </w:r>
          </w:p>
          <w:p w14:paraId="626657F4">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color w:val="auto"/>
              </w:rPr>
            </w:pPr>
            <w:r>
              <w:rPr>
                <w:rFonts w:hint="eastAsia"/>
                <w:color w:val="auto"/>
              </w:rPr>
              <w:t>②布置方案</w:t>
            </w:r>
          </w:p>
          <w:p w14:paraId="277F7386">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color w:val="auto"/>
              </w:rPr>
            </w:pPr>
            <w:r>
              <w:rPr>
                <w:rFonts w:hint="eastAsia"/>
                <w:color w:val="auto"/>
              </w:rPr>
              <w:t>待停区：位于厂区西北角部位，用于废钢原料车入场后的待停。</w:t>
            </w:r>
          </w:p>
          <w:p w14:paraId="05FF00F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color w:val="auto"/>
              </w:rPr>
            </w:pPr>
            <w:r>
              <w:rPr>
                <w:rFonts w:hint="eastAsia"/>
                <w:color w:val="auto"/>
              </w:rPr>
              <w:t>生产区：生产区布置在新建钢结构厂房内，其功能包括：破碎、剪切、打包原料存储、破碎生产线、剪切生产线、打包线、废钢成品存储；原材料、成品与加工线布置在一起，使工艺路线流畅、短捷，以便于生产和管理。集中布置分区管理，依据生产要求，优化工艺布置，尽可减少生产厂房建筑面积，节约项目投资。</w:t>
            </w:r>
          </w:p>
          <w:p w14:paraId="747B3AD8">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color w:val="auto"/>
              </w:rPr>
            </w:pPr>
            <w:r>
              <w:rPr>
                <w:rFonts w:hint="eastAsia"/>
                <w:color w:val="auto"/>
              </w:rPr>
              <w:t>存储区：为新建钢结构库房，用于存储废钢原料和成品，以充分满足正常产销。</w:t>
            </w:r>
          </w:p>
          <w:p w14:paraId="30126A1B">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color w:val="auto"/>
              </w:rPr>
            </w:pPr>
            <w:r>
              <w:rPr>
                <w:rFonts w:hint="eastAsia"/>
                <w:color w:val="auto"/>
              </w:rPr>
              <w:t>公用动力区：新建变配电室、</w:t>
            </w:r>
            <w:r>
              <w:rPr>
                <w:rFonts w:hint="eastAsia"/>
                <w:color w:val="auto"/>
                <w:lang w:val="en-US" w:eastAsia="zh-CN"/>
              </w:rPr>
              <w:t>消防</w:t>
            </w:r>
            <w:r>
              <w:rPr>
                <w:rFonts w:hint="eastAsia"/>
                <w:color w:val="auto"/>
              </w:rPr>
              <w:t>水池及泵房等公用辅助设施。</w:t>
            </w:r>
          </w:p>
          <w:p w14:paraId="29CF1BD2">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color w:val="auto"/>
              </w:rPr>
            </w:pPr>
            <w:r>
              <w:rPr>
                <w:rFonts w:hint="eastAsia"/>
                <w:color w:val="auto"/>
              </w:rPr>
              <w:t>办公生活区：办公生活区位于厂区西侧，新建综合办公楼。</w:t>
            </w:r>
          </w:p>
          <w:p w14:paraId="10EA260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color w:val="auto"/>
              </w:rPr>
            </w:pPr>
            <w:r>
              <w:rPr>
                <w:color w:val="auto"/>
              </w:rPr>
              <w:t>项目</w:t>
            </w:r>
            <w:r>
              <w:rPr>
                <w:rFonts w:hint="eastAsia"/>
                <w:color w:val="auto"/>
              </w:rPr>
              <w:t>厂区内</w:t>
            </w:r>
            <w:r>
              <w:rPr>
                <w:color w:val="auto"/>
              </w:rPr>
              <w:t>总平面布置见附图</w:t>
            </w:r>
            <w:r>
              <w:rPr>
                <w:rFonts w:hint="eastAsia"/>
                <w:color w:val="auto"/>
              </w:rPr>
              <w:t>3</w:t>
            </w:r>
            <w:r>
              <w:rPr>
                <w:color w:val="auto"/>
              </w:rPr>
              <w:t>。</w:t>
            </w:r>
          </w:p>
          <w:p w14:paraId="5B967575">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b/>
                <w:bCs/>
                <w:color w:val="auto"/>
              </w:rPr>
            </w:pPr>
            <w:r>
              <w:rPr>
                <w:rFonts w:hint="eastAsia"/>
                <w:b/>
                <w:bCs/>
                <w:color w:val="auto"/>
              </w:rPr>
              <w:t>7</w:t>
            </w:r>
            <w:r>
              <w:rPr>
                <w:b/>
                <w:bCs/>
                <w:color w:val="auto"/>
              </w:rPr>
              <w:t>、公</w:t>
            </w:r>
            <w:r>
              <w:rPr>
                <w:rFonts w:hint="eastAsia"/>
                <w:b/>
                <w:bCs/>
                <w:color w:val="auto"/>
              </w:rPr>
              <w:t>用</w:t>
            </w:r>
            <w:r>
              <w:rPr>
                <w:b/>
                <w:bCs/>
                <w:color w:val="auto"/>
              </w:rPr>
              <w:t>工程</w:t>
            </w:r>
          </w:p>
          <w:p w14:paraId="21E517E7">
            <w:pPr>
              <w:pStyle w:val="10"/>
              <w:keepNext w:val="0"/>
              <w:keepLines w:val="0"/>
              <w:pageBreakBefore w:val="0"/>
              <w:kinsoku/>
              <w:wordWrap/>
              <w:overflowPunct/>
              <w:topLinePunct w:val="0"/>
              <w:autoSpaceDE/>
              <w:autoSpaceDN/>
              <w:bidi w:val="0"/>
              <w:adjustRightInd/>
              <w:snapToGrid/>
              <w:spacing w:before="0" w:after="0" w:line="500" w:lineRule="exact"/>
              <w:ind w:right="0" w:firstLine="480" w:firstLineChars="200"/>
              <w:textAlignment w:val="auto"/>
              <w:rPr>
                <w:color w:val="auto"/>
                <w:sz w:val="24"/>
                <w:szCs w:val="24"/>
              </w:rPr>
            </w:pPr>
            <w:r>
              <w:rPr>
                <w:rFonts w:hint="eastAsia"/>
                <w:color w:val="auto"/>
                <w:sz w:val="24"/>
                <w:szCs w:val="24"/>
              </w:rPr>
              <w:t>（1）</w:t>
            </w:r>
            <w:r>
              <w:rPr>
                <w:color w:val="auto"/>
                <w:sz w:val="24"/>
                <w:szCs w:val="24"/>
              </w:rPr>
              <w:t>给水</w:t>
            </w:r>
          </w:p>
          <w:p w14:paraId="7E74E461">
            <w:pPr>
              <w:pStyle w:val="10"/>
              <w:keepNext w:val="0"/>
              <w:keepLines w:val="0"/>
              <w:pageBreakBefore w:val="0"/>
              <w:kinsoku/>
              <w:wordWrap/>
              <w:overflowPunct/>
              <w:topLinePunct w:val="0"/>
              <w:autoSpaceDE/>
              <w:autoSpaceDN/>
              <w:bidi w:val="0"/>
              <w:adjustRightInd/>
              <w:snapToGrid/>
              <w:spacing w:before="0" w:after="0" w:line="500" w:lineRule="exact"/>
              <w:ind w:right="0" w:firstLine="480" w:firstLineChars="200"/>
              <w:textAlignment w:val="auto"/>
              <w:rPr>
                <w:color w:val="auto"/>
                <w:sz w:val="24"/>
                <w:szCs w:val="24"/>
              </w:rPr>
            </w:pPr>
            <w:r>
              <w:rPr>
                <w:rFonts w:hint="eastAsia"/>
                <w:color w:val="auto"/>
                <w:sz w:val="24"/>
                <w:szCs w:val="24"/>
              </w:rPr>
              <w:t>本项目用水依托园区供水管网。</w:t>
            </w:r>
            <w:r>
              <w:rPr>
                <w:color w:val="auto"/>
                <w:sz w:val="24"/>
                <w:szCs w:val="24"/>
              </w:rPr>
              <w:t>项目用水为</w:t>
            </w:r>
            <w:r>
              <w:rPr>
                <w:rFonts w:hint="eastAsia"/>
                <w:color w:val="auto"/>
                <w:sz w:val="24"/>
                <w:szCs w:val="24"/>
              </w:rPr>
              <w:t>生活用水和生产用水，生产用水主要为维修车间清洗用水</w:t>
            </w:r>
            <w:r>
              <w:rPr>
                <w:color w:val="auto"/>
                <w:sz w:val="24"/>
                <w:szCs w:val="24"/>
              </w:rPr>
              <w:t>。</w:t>
            </w:r>
          </w:p>
          <w:p w14:paraId="6F9C886E">
            <w:pPr>
              <w:pStyle w:val="10"/>
              <w:keepNext w:val="0"/>
              <w:keepLines w:val="0"/>
              <w:pageBreakBefore w:val="0"/>
              <w:widowControl/>
              <w:kinsoku/>
              <w:wordWrap/>
              <w:overflowPunct/>
              <w:topLinePunct w:val="0"/>
              <w:autoSpaceDE/>
              <w:autoSpaceDN/>
              <w:bidi w:val="0"/>
              <w:adjustRightInd/>
              <w:snapToGrid/>
              <w:spacing w:before="0" w:after="0" w:line="500" w:lineRule="exact"/>
              <w:ind w:right="0" w:firstLine="480" w:firstLineChars="200"/>
              <w:textAlignment w:val="auto"/>
              <w:rPr>
                <w:color w:val="auto"/>
                <w:sz w:val="24"/>
                <w:szCs w:val="24"/>
              </w:rPr>
            </w:pPr>
            <w:r>
              <w:rPr>
                <w:rFonts w:hint="eastAsia"/>
                <w:color w:val="auto"/>
                <w:sz w:val="24"/>
                <w:szCs w:val="24"/>
              </w:rPr>
              <w:t>①维修车间清洗用水</w:t>
            </w:r>
          </w:p>
          <w:p w14:paraId="7B26E7CF">
            <w:pPr>
              <w:pStyle w:val="10"/>
              <w:keepNext w:val="0"/>
              <w:keepLines w:val="0"/>
              <w:pageBreakBefore w:val="0"/>
              <w:widowControl/>
              <w:kinsoku/>
              <w:wordWrap/>
              <w:overflowPunct/>
              <w:topLinePunct w:val="0"/>
              <w:autoSpaceDE/>
              <w:autoSpaceDN/>
              <w:bidi w:val="0"/>
              <w:adjustRightInd/>
              <w:snapToGrid/>
              <w:spacing w:before="0" w:after="0" w:line="500" w:lineRule="exact"/>
              <w:ind w:right="0" w:firstLine="480" w:firstLineChars="200"/>
              <w:textAlignment w:val="auto"/>
              <w:rPr>
                <w:color w:val="auto"/>
                <w:sz w:val="24"/>
                <w:szCs w:val="24"/>
              </w:rPr>
            </w:pPr>
            <w:r>
              <w:rPr>
                <w:rFonts w:hint="eastAsia"/>
                <w:color w:val="auto"/>
                <w:sz w:val="24"/>
                <w:szCs w:val="24"/>
              </w:rPr>
              <w:t>维修车间清洗用水包括维修件清洗用水及车间地面清洗用水。</w:t>
            </w:r>
          </w:p>
          <w:p w14:paraId="4D1CFC5C">
            <w:pPr>
              <w:pStyle w:val="10"/>
              <w:keepNext w:val="0"/>
              <w:keepLines w:val="0"/>
              <w:pageBreakBefore w:val="0"/>
              <w:widowControl/>
              <w:kinsoku/>
              <w:wordWrap/>
              <w:overflowPunct/>
              <w:topLinePunct w:val="0"/>
              <w:autoSpaceDE/>
              <w:autoSpaceDN/>
              <w:bidi w:val="0"/>
              <w:adjustRightInd/>
              <w:snapToGrid/>
              <w:spacing w:before="0" w:after="0" w:line="480" w:lineRule="exact"/>
              <w:ind w:right="0" w:firstLine="480" w:firstLineChars="200"/>
              <w:textAlignment w:val="auto"/>
              <w:rPr>
                <w:color w:val="auto"/>
                <w:sz w:val="24"/>
              </w:rPr>
            </w:pPr>
            <w:r>
              <w:rPr>
                <w:rFonts w:hint="eastAsia"/>
                <w:color w:val="auto"/>
                <w:sz w:val="24"/>
                <w:szCs w:val="24"/>
              </w:rPr>
              <w:t>维修件采用清洗槽进行清洗，循环水量为1.0m</w:t>
            </w:r>
            <w:r>
              <w:rPr>
                <w:rFonts w:hint="eastAsia"/>
                <w:color w:val="auto"/>
                <w:sz w:val="24"/>
                <w:szCs w:val="24"/>
                <w:vertAlign w:val="superscript"/>
              </w:rPr>
              <w:t>3</w:t>
            </w:r>
            <w:r>
              <w:rPr>
                <w:rFonts w:hint="eastAsia"/>
                <w:color w:val="auto"/>
                <w:sz w:val="24"/>
                <w:szCs w:val="24"/>
              </w:rPr>
              <w:t>/h，每天工作8小时，则清洗循环水量为8.0m</w:t>
            </w:r>
            <w:r>
              <w:rPr>
                <w:rFonts w:hint="eastAsia"/>
                <w:color w:val="auto"/>
                <w:sz w:val="24"/>
                <w:szCs w:val="24"/>
                <w:vertAlign w:val="superscript"/>
              </w:rPr>
              <w:t>3</w:t>
            </w:r>
            <w:r>
              <w:rPr>
                <w:rFonts w:hint="eastAsia"/>
                <w:color w:val="auto"/>
                <w:sz w:val="24"/>
                <w:szCs w:val="24"/>
              </w:rPr>
              <w:t>/d，清洗水循环利用，</w:t>
            </w:r>
            <w:r>
              <w:rPr>
                <w:rFonts w:hint="eastAsia"/>
                <w:color w:val="auto"/>
                <w:sz w:val="24"/>
              </w:rPr>
              <w:t>清洗水损失量为循环水量的2%，即为0.16m</w:t>
            </w:r>
            <w:r>
              <w:rPr>
                <w:rFonts w:hint="eastAsia"/>
                <w:color w:val="auto"/>
                <w:sz w:val="24"/>
                <w:vertAlign w:val="superscript"/>
              </w:rPr>
              <w:t>3</w:t>
            </w:r>
            <w:r>
              <w:rPr>
                <w:rFonts w:hint="eastAsia"/>
                <w:color w:val="auto"/>
                <w:sz w:val="24"/>
              </w:rPr>
              <w:t>/d，定期排污水量为循环水量的0.5%，即为0.04m</w:t>
            </w:r>
            <w:r>
              <w:rPr>
                <w:rFonts w:hint="eastAsia"/>
                <w:color w:val="auto"/>
                <w:sz w:val="24"/>
                <w:vertAlign w:val="superscript"/>
              </w:rPr>
              <w:t>3</w:t>
            </w:r>
            <w:r>
              <w:rPr>
                <w:rFonts w:hint="eastAsia"/>
                <w:color w:val="auto"/>
                <w:sz w:val="24"/>
              </w:rPr>
              <w:t>/d，则清洗补水量为0.2m</w:t>
            </w:r>
            <w:r>
              <w:rPr>
                <w:rFonts w:hint="eastAsia"/>
                <w:color w:val="auto"/>
                <w:sz w:val="24"/>
                <w:vertAlign w:val="superscript"/>
              </w:rPr>
              <w:t>3</w:t>
            </w:r>
            <w:r>
              <w:rPr>
                <w:rFonts w:hint="eastAsia"/>
                <w:color w:val="auto"/>
                <w:sz w:val="24"/>
              </w:rPr>
              <w:t>/d。</w:t>
            </w:r>
          </w:p>
          <w:p w14:paraId="26034946">
            <w:pPr>
              <w:pStyle w:val="10"/>
              <w:keepNext w:val="0"/>
              <w:keepLines w:val="0"/>
              <w:pageBreakBefore w:val="0"/>
              <w:kinsoku/>
              <w:wordWrap/>
              <w:overflowPunct/>
              <w:topLinePunct w:val="0"/>
              <w:autoSpaceDE/>
              <w:autoSpaceDN/>
              <w:bidi w:val="0"/>
              <w:adjustRightInd/>
              <w:snapToGrid/>
              <w:spacing w:before="0" w:after="0" w:line="480" w:lineRule="exact"/>
              <w:ind w:right="0" w:firstLine="480" w:firstLineChars="200"/>
              <w:textAlignment w:val="auto"/>
              <w:rPr>
                <w:color w:val="auto"/>
                <w:sz w:val="24"/>
                <w:szCs w:val="24"/>
              </w:rPr>
            </w:pPr>
            <w:r>
              <w:rPr>
                <w:rFonts w:hint="eastAsia"/>
                <w:color w:val="auto"/>
                <w:sz w:val="24"/>
                <w:szCs w:val="24"/>
              </w:rPr>
              <w:t>根据</w:t>
            </w:r>
            <w:r>
              <w:rPr>
                <w:color w:val="auto"/>
                <w:sz w:val="24"/>
                <w:szCs w:val="24"/>
              </w:rPr>
              <w:t>《内蒙古自治区行业用水定额标准》（DB15/T385-2020）</w:t>
            </w:r>
            <w:r>
              <w:rPr>
                <w:rFonts w:hint="eastAsia"/>
                <w:color w:val="auto"/>
                <w:sz w:val="24"/>
                <w:szCs w:val="24"/>
              </w:rPr>
              <w:t>，地面冲洗用水定额为2L/（m</w:t>
            </w:r>
            <w:r>
              <w:rPr>
                <w:rFonts w:hint="eastAsia"/>
                <w:color w:val="auto"/>
                <w:sz w:val="24"/>
                <w:szCs w:val="24"/>
                <w:vertAlign w:val="superscript"/>
              </w:rPr>
              <w:t>2</w:t>
            </w:r>
            <w:r>
              <w:rPr>
                <w:rFonts w:hint="eastAsia"/>
                <w:color w:val="auto"/>
                <w:sz w:val="24"/>
                <w:szCs w:val="24"/>
              </w:rPr>
              <w:t xml:space="preserve"> ·次），维修车间地面每天清洗一次，维修车间面积</w:t>
            </w:r>
            <w:r>
              <w:rPr>
                <w:rFonts w:hint="eastAsia"/>
                <w:color w:val="auto"/>
                <w:sz w:val="24"/>
                <w:szCs w:val="24"/>
                <w:lang w:bidi="ar"/>
              </w:rPr>
              <w:t>2923.38</w:t>
            </w:r>
            <w:r>
              <w:rPr>
                <w:color w:val="auto"/>
                <w:sz w:val="24"/>
                <w:szCs w:val="24"/>
                <w:lang w:bidi="ar"/>
              </w:rPr>
              <w:t>m</w:t>
            </w:r>
            <w:r>
              <w:rPr>
                <w:color w:val="auto"/>
                <w:sz w:val="24"/>
                <w:szCs w:val="24"/>
                <w:vertAlign w:val="superscript"/>
                <w:lang w:bidi="ar"/>
              </w:rPr>
              <w:t>2</w:t>
            </w:r>
            <w:r>
              <w:rPr>
                <w:rFonts w:hint="eastAsia"/>
                <w:color w:val="auto"/>
                <w:sz w:val="24"/>
                <w:szCs w:val="24"/>
                <w:lang w:bidi="ar"/>
              </w:rPr>
              <w:t>，则地面清洗用水量为5.85</w:t>
            </w:r>
            <w:r>
              <w:rPr>
                <w:rFonts w:hint="eastAsia"/>
                <w:color w:val="auto"/>
                <w:sz w:val="24"/>
              </w:rPr>
              <w:t>m</w:t>
            </w:r>
            <w:r>
              <w:rPr>
                <w:rFonts w:hint="eastAsia"/>
                <w:color w:val="auto"/>
                <w:sz w:val="24"/>
                <w:vertAlign w:val="superscript"/>
              </w:rPr>
              <w:t>3</w:t>
            </w:r>
            <w:r>
              <w:rPr>
                <w:rFonts w:hint="eastAsia"/>
                <w:color w:val="auto"/>
                <w:sz w:val="24"/>
              </w:rPr>
              <w:t>/d。</w:t>
            </w:r>
          </w:p>
          <w:p w14:paraId="3E5A32EE">
            <w:pPr>
              <w:pStyle w:val="10"/>
              <w:snapToGrid/>
              <w:spacing w:before="0" w:after="0" w:line="480" w:lineRule="exact"/>
              <w:ind w:right="0" w:firstLine="480" w:firstLineChars="200"/>
              <w:rPr>
                <w:color w:val="auto"/>
                <w:sz w:val="24"/>
                <w:szCs w:val="24"/>
              </w:rPr>
            </w:pPr>
            <w:r>
              <w:rPr>
                <w:rFonts w:hint="eastAsia"/>
                <w:color w:val="auto"/>
                <w:sz w:val="24"/>
                <w:szCs w:val="24"/>
              </w:rPr>
              <w:t>维修车间清洗用水量合计为6.05m</w:t>
            </w:r>
            <w:r>
              <w:rPr>
                <w:rFonts w:hint="eastAsia"/>
                <w:color w:val="auto"/>
                <w:sz w:val="24"/>
                <w:szCs w:val="24"/>
                <w:vertAlign w:val="superscript"/>
              </w:rPr>
              <w:t>3</w:t>
            </w:r>
            <w:r>
              <w:rPr>
                <w:rFonts w:hint="eastAsia"/>
                <w:color w:val="auto"/>
                <w:sz w:val="24"/>
                <w:szCs w:val="24"/>
              </w:rPr>
              <w:t>/d、1518.55m</w:t>
            </w:r>
            <w:r>
              <w:rPr>
                <w:rFonts w:hint="eastAsia"/>
                <w:color w:val="auto"/>
                <w:sz w:val="24"/>
                <w:szCs w:val="24"/>
                <w:vertAlign w:val="superscript"/>
              </w:rPr>
              <w:t>3</w:t>
            </w:r>
            <w:r>
              <w:rPr>
                <w:rFonts w:hint="eastAsia"/>
                <w:color w:val="auto"/>
                <w:sz w:val="24"/>
                <w:szCs w:val="24"/>
              </w:rPr>
              <w:t>/a。</w:t>
            </w:r>
          </w:p>
          <w:p w14:paraId="534A48E1">
            <w:pPr>
              <w:pStyle w:val="10"/>
              <w:snapToGrid/>
              <w:spacing w:before="0" w:after="0" w:line="480" w:lineRule="exact"/>
              <w:ind w:right="0" w:firstLine="480" w:firstLineChars="200"/>
              <w:rPr>
                <w:color w:val="auto"/>
                <w:sz w:val="24"/>
                <w:szCs w:val="24"/>
              </w:rPr>
            </w:pPr>
            <w:r>
              <w:rPr>
                <w:rFonts w:hint="eastAsia"/>
                <w:color w:val="auto"/>
                <w:sz w:val="24"/>
                <w:szCs w:val="24"/>
              </w:rPr>
              <w:t>②生活用水：本项目劳动定员70人，根据</w:t>
            </w:r>
            <w:r>
              <w:rPr>
                <w:color w:val="auto"/>
                <w:sz w:val="24"/>
                <w:szCs w:val="24"/>
              </w:rPr>
              <w:t>《内蒙古自治区行业用水定额标准》（DB15/T385-2020）</w:t>
            </w:r>
            <w:r>
              <w:rPr>
                <w:rFonts w:hint="eastAsia"/>
                <w:color w:val="auto"/>
                <w:sz w:val="24"/>
                <w:szCs w:val="24"/>
              </w:rPr>
              <w:t>，生活用水定额为60L/人·d，则生活用水量为4.2m</w:t>
            </w:r>
            <w:r>
              <w:rPr>
                <w:rFonts w:hint="eastAsia"/>
                <w:color w:val="auto"/>
                <w:sz w:val="24"/>
                <w:szCs w:val="24"/>
                <w:vertAlign w:val="superscript"/>
              </w:rPr>
              <w:t>3</w:t>
            </w:r>
            <w:r>
              <w:rPr>
                <w:rFonts w:hint="eastAsia"/>
                <w:color w:val="auto"/>
                <w:sz w:val="24"/>
                <w:szCs w:val="24"/>
              </w:rPr>
              <w:t>/d、1260m</w:t>
            </w:r>
            <w:r>
              <w:rPr>
                <w:rFonts w:hint="eastAsia"/>
                <w:color w:val="auto"/>
                <w:sz w:val="24"/>
                <w:szCs w:val="24"/>
                <w:vertAlign w:val="superscript"/>
              </w:rPr>
              <w:t>3</w:t>
            </w:r>
            <w:r>
              <w:rPr>
                <w:rFonts w:hint="eastAsia"/>
                <w:color w:val="auto"/>
                <w:sz w:val="24"/>
                <w:szCs w:val="24"/>
              </w:rPr>
              <w:t>/a。</w:t>
            </w:r>
          </w:p>
          <w:p w14:paraId="57ECA4FB">
            <w:pPr>
              <w:adjustRightInd w:val="0"/>
              <w:snapToGrid w:val="0"/>
              <w:spacing w:line="500" w:lineRule="exact"/>
              <w:ind w:firstLine="470" w:firstLineChars="196"/>
              <w:rPr>
                <w:bCs/>
                <w:color w:val="auto"/>
                <w:lang w:bidi="ar"/>
              </w:rPr>
            </w:pPr>
            <w:r>
              <w:rPr>
                <w:rFonts w:hint="eastAsia"/>
                <w:bCs/>
                <w:color w:val="auto"/>
                <w:lang w:bidi="ar"/>
              </w:rPr>
              <w:t>（2）排水</w:t>
            </w:r>
          </w:p>
          <w:p w14:paraId="57547566">
            <w:pPr>
              <w:adjustRightInd w:val="0"/>
              <w:snapToGrid w:val="0"/>
              <w:spacing w:line="500" w:lineRule="exact"/>
              <w:ind w:firstLine="470" w:firstLineChars="196"/>
              <w:rPr>
                <w:bCs/>
                <w:color w:val="auto"/>
                <w:lang w:bidi="ar"/>
              </w:rPr>
            </w:pPr>
            <w:r>
              <w:rPr>
                <w:rFonts w:hint="eastAsia"/>
                <w:bCs/>
                <w:color w:val="auto"/>
                <w:lang w:bidi="ar"/>
              </w:rPr>
              <w:t>维修车间清洗废水</w:t>
            </w:r>
            <w:r>
              <w:rPr>
                <w:rFonts w:hint="eastAsia"/>
                <w:color w:val="auto"/>
              </w:rPr>
              <w:t>包括维修件清洗定期排污水及车间地面清洗废水。维修件清洗定期排污水量为0.04m</w:t>
            </w:r>
            <w:r>
              <w:rPr>
                <w:rFonts w:hint="eastAsia"/>
                <w:color w:val="auto"/>
                <w:vertAlign w:val="superscript"/>
              </w:rPr>
              <w:t>3</w:t>
            </w:r>
            <w:r>
              <w:rPr>
                <w:rFonts w:hint="eastAsia"/>
                <w:color w:val="auto"/>
              </w:rPr>
              <w:t>/d，车间地面清洗废水产生量按用水量90%计，污水产生量为5.26m</w:t>
            </w:r>
            <w:r>
              <w:rPr>
                <w:rFonts w:hint="eastAsia"/>
                <w:color w:val="auto"/>
                <w:vertAlign w:val="superscript"/>
              </w:rPr>
              <w:t>3</w:t>
            </w:r>
            <w:r>
              <w:rPr>
                <w:rFonts w:hint="eastAsia"/>
                <w:color w:val="auto"/>
              </w:rPr>
              <w:t>/d，则清洗废水量合计为5.3m</w:t>
            </w:r>
            <w:r>
              <w:rPr>
                <w:rFonts w:hint="eastAsia"/>
                <w:color w:val="auto"/>
                <w:vertAlign w:val="superscript"/>
              </w:rPr>
              <w:t>3</w:t>
            </w:r>
            <w:r>
              <w:rPr>
                <w:rFonts w:hint="eastAsia"/>
                <w:color w:val="auto"/>
              </w:rPr>
              <w:t>/d、1330.3m</w:t>
            </w:r>
            <w:r>
              <w:rPr>
                <w:rFonts w:hint="eastAsia"/>
                <w:color w:val="auto"/>
                <w:vertAlign w:val="superscript"/>
              </w:rPr>
              <w:t>3</w:t>
            </w:r>
            <w:r>
              <w:rPr>
                <w:rFonts w:hint="eastAsia"/>
                <w:color w:val="auto"/>
              </w:rPr>
              <w:t>/a。维修车间设1座1m</w:t>
            </w:r>
            <w:r>
              <w:rPr>
                <w:rFonts w:hint="eastAsia"/>
                <w:color w:val="auto"/>
                <w:vertAlign w:val="superscript"/>
              </w:rPr>
              <w:t>3</w:t>
            </w:r>
            <w:r>
              <w:rPr>
                <w:rFonts w:hint="eastAsia"/>
                <w:color w:val="auto"/>
              </w:rPr>
              <w:t>/h的一体化污水处理设施</w:t>
            </w:r>
            <w:commentRangeStart w:id="20"/>
            <w:r>
              <w:rPr>
                <w:rFonts w:hint="eastAsia"/>
                <w:color w:val="auto"/>
              </w:rPr>
              <w:t>，处理工艺为“</w:t>
            </w:r>
            <w:r>
              <w:rPr>
                <w:rFonts w:hint="eastAsia"/>
                <w:color w:val="auto"/>
                <w:lang w:val="en-US" w:eastAsia="zh-CN"/>
              </w:rPr>
              <w:t>破乳除油+中和+混凝沉淀</w:t>
            </w:r>
            <w:r>
              <w:rPr>
                <w:rFonts w:hint="eastAsia"/>
                <w:color w:val="auto"/>
              </w:rPr>
              <w:t>+砂滤+超滤+反渗透”，清洗废水经一体化污水处理设施处理后</w:t>
            </w:r>
            <w:r>
              <w:rPr>
                <w:rFonts w:hint="eastAsia"/>
                <w:color w:val="auto"/>
                <w:lang w:val="en-US" w:eastAsia="zh-CN"/>
              </w:rPr>
              <w:t>回用于厂区绿化、道路洒水</w:t>
            </w:r>
            <w:r>
              <w:rPr>
                <w:rFonts w:hint="eastAsia"/>
                <w:color w:val="auto"/>
              </w:rPr>
              <w:t>。</w:t>
            </w:r>
            <w:commentRangeEnd w:id="20"/>
            <w:r>
              <w:rPr>
                <w:color w:val="auto"/>
              </w:rPr>
              <w:commentReference w:id="20"/>
            </w:r>
          </w:p>
          <w:p w14:paraId="4D803FD2">
            <w:pPr>
              <w:adjustRightInd w:val="0"/>
              <w:snapToGrid w:val="0"/>
              <w:spacing w:line="500" w:lineRule="exact"/>
              <w:ind w:firstLine="470" w:firstLineChars="196"/>
              <w:rPr>
                <w:bCs/>
                <w:color w:val="auto"/>
                <w:lang w:bidi="ar"/>
              </w:rPr>
            </w:pPr>
            <w:r>
              <w:rPr>
                <w:rFonts w:hint="eastAsia"/>
                <w:bCs/>
                <w:color w:val="auto"/>
                <w:lang w:bidi="ar"/>
              </w:rPr>
              <w:t>生活污水产生量按用水量的80%计，</w:t>
            </w:r>
            <w:r>
              <w:rPr>
                <w:rFonts w:hint="eastAsia"/>
                <w:color w:val="auto"/>
              </w:rPr>
              <w:t>污水产生量为3.36m</w:t>
            </w:r>
            <w:r>
              <w:rPr>
                <w:rFonts w:hint="eastAsia"/>
                <w:color w:val="auto"/>
                <w:vertAlign w:val="superscript"/>
              </w:rPr>
              <w:t>3</w:t>
            </w:r>
            <w:r>
              <w:rPr>
                <w:rFonts w:hint="eastAsia"/>
                <w:color w:val="auto"/>
              </w:rPr>
              <w:t>/d，1008m</w:t>
            </w:r>
            <w:r>
              <w:rPr>
                <w:rFonts w:hint="eastAsia"/>
                <w:color w:val="auto"/>
                <w:vertAlign w:val="superscript"/>
              </w:rPr>
              <w:t>3</w:t>
            </w:r>
            <w:r>
              <w:rPr>
                <w:rFonts w:hint="eastAsia"/>
                <w:color w:val="auto"/>
              </w:rPr>
              <w:t>/a。生活污水经化粪池处理后经园区污水管网排入蒙西工业园区生活污水处理厂。</w:t>
            </w:r>
          </w:p>
          <w:p w14:paraId="3BB2D06E">
            <w:pPr>
              <w:adjustRightInd w:val="0"/>
              <w:snapToGrid w:val="0"/>
              <w:spacing w:line="500" w:lineRule="exact"/>
              <w:ind w:firstLine="470" w:firstLineChars="196"/>
              <w:rPr>
                <w:color w:val="auto"/>
                <w:lang w:bidi="ar"/>
              </w:rPr>
            </w:pPr>
            <w:r>
              <w:rPr>
                <w:bCs/>
                <w:color w:val="auto"/>
                <w:lang w:bidi="ar"/>
              </w:rPr>
              <w:t>项目用水、排水情况见表</w:t>
            </w:r>
            <w:r>
              <w:rPr>
                <w:rFonts w:hint="eastAsia"/>
                <w:bCs/>
                <w:color w:val="auto"/>
                <w:lang w:bidi="ar"/>
              </w:rPr>
              <w:t>2-5</w:t>
            </w:r>
            <w:r>
              <w:rPr>
                <w:bCs/>
                <w:color w:val="auto"/>
                <w:lang w:bidi="ar"/>
              </w:rPr>
              <w:t>，</w:t>
            </w:r>
            <w:r>
              <w:rPr>
                <w:color w:val="auto"/>
                <w:lang w:bidi="ar"/>
              </w:rPr>
              <w:t>项目水平衡图见图</w:t>
            </w:r>
            <w:r>
              <w:rPr>
                <w:rFonts w:hint="eastAsia"/>
                <w:color w:val="auto"/>
                <w:lang w:bidi="ar"/>
              </w:rPr>
              <w:t>2-</w:t>
            </w:r>
            <w:r>
              <w:rPr>
                <w:color w:val="auto"/>
                <w:lang w:bidi="ar"/>
              </w:rPr>
              <w:t>1。</w:t>
            </w:r>
          </w:p>
          <w:p w14:paraId="42904234">
            <w:pPr>
              <w:spacing w:line="500" w:lineRule="exact"/>
              <w:jc w:val="center"/>
              <w:rPr>
                <w:b/>
                <w:color w:val="auto"/>
              </w:rPr>
            </w:pPr>
            <w:r>
              <w:rPr>
                <w:b/>
                <w:color w:val="auto"/>
              </w:rPr>
              <w:t>表</w:t>
            </w:r>
            <w:r>
              <w:rPr>
                <w:rFonts w:hint="eastAsia"/>
                <w:b/>
                <w:color w:val="auto"/>
              </w:rPr>
              <w:t>2-5</w:t>
            </w:r>
            <w:r>
              <w:rPr>
                <w:b/>
                <w:color w:val="auto"/>
              </w:rPr>
              <w:t xml:space="preserve">   项目用排水情况一览表</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0"/>
              <w:gridCol w:w="1374"/>
              <w:gridCol w:w="1551"/>
              <w:gridCol w:w="1215"/>
              <w:gridCol w:w="2577"/>
            </w:tblGrid>
            <w:tr w14:paraId="5736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910" w:type="dxa"/>
                  <w:vAlign w:val="center"/>
                </w:tcPr>
                <w:p w14:paraId="69757E22">
                  <w:pPr>
                    <w:spacing w:line="360" w:lineRule="exact"/>
                    <w:jc w:val="center"/>
                    <w:rPr>
                      <w:color w:val="auto"/>
                      <w:sz w:val="21"/>
                      <w:szCs w:val="21"/>
                    </w:rPr>
                  </w:pPr>
                  <w:r>
                    <w:rPr>
                      <w:color w:val="auto"/>
                      <w:sz w:val="21"/>
                      <w:szCs w:val="21"/>
                    </w:rPr>
                    <w:t>项目</w:t>
                  </w:r>
                </w:p>
              </w:tc>
              <w:tc>
                <w:tcPr>
                  <w:tcW w:w="1374" w:type="dxa"/>
                  <w:vAlign w:val="center"/>
                </w:tcPr>
                <w:p w14:paraId="640CEA73">
                  <w:pPr>
                    <w:spacing w:line="360" w:lineRule="exact"/>
                    <w:jc w:val="center"/>
                    <w:rPr>
                      <w:color w:val="auto"/>
                      <w:sz w:val="21"/>
                      <w:szCs w:val="21"/>
                    </w:rPr>
                  </w:pPr>
                  <w:r>
                    <w:rPr>
                      <w:color w:val="auto"/>
                      <w:sz w:val="21"/>
                      <w:szCs w:val="21"/>
                    </w:rPr>
                    <w:t>用水量</w:t>
                  </w:r>
                </w:p>
              </w:tc>
              <w:tc>
                <w:tcPr>
                  <w:tcW w:w="1551" w:type="dxa"/>
                  <w:vAlign w:val="center"/>
                </w:tcPr>
                <w:p w14:paraId="5B31AD37">
                  <w:pPr>
                    <w:spacing w:line="360" w:lineRule="exact"/>
                    <w:jc w:val="center"/>
                    <w:rPr>
                      <w:color w:val="auto"/>
                      <w:sz w:val="21"/>
                      <w:szCs w:val="21"/>
                    </w:rPr>
                  </w:pPr>
                  <w:r>
                    <w:rPr>
                      <w:rFonts w:hint="eastAsia"/>
                      <w:color w:val="auto"/>
                      <w:sz w:val="21"/>
                      <w:szCs w:val="21"/>
                    </w:rPr>
                    <w:t>排污系数</w:t>
                  </w:r>
                </w:p>
              </w:tc>
              <w:tc>
                <w:tcPr>
                  <w:tcW w:w="1215" w:type="dxa"/>
                  <w:vAlign w:val="center"/>
                </w:tcPr>
                <w:p w14:paraId="2D50A608">
                  <w:pPr>
                    <w:spacing w:line="360" w:lineRule="exact"/>
                    <w:jc w:val="center"/>
                    <w:rPr>
                      <w:color w:val="auto"/>
                      <w:sz w:val="21"/>
                      <w:szCs w:val="21"/>
                    </w:rPr>
                  </w:pPr>
                  <w:r>
                    <w:rPr>
                      <w:rFonts w:hint="eastAsia"/>
                      <w:color w:val="auto"/>
                      <w:sz w:val="21"/>
                      <w:szCs w:val="21"/>
                    </w:rPr>
                    <w:t>废水量</w:t>
                  </w:r>
                </w:p>
              </w:tc>
              <w:tc>
                <w:tcPr>
                  <w:tcW w:w="2577" w:type="dxa"/>
                  <w:vAlign w:val="center"/>
                </w:tcPr>
                <w:p w14:paraId="4FE1ABEC">
                  <w:pPr>
                    <w:spacing w:line="360" w:lineRule="exact"/>
                    <w:jc w:val="center"/>
                    <w:rPr>
                      <w:color w:val="auto"/>
                      <w:sz w:val="21"/>
                      <w:szCs w:val="21"/>
                    </w:rPr>
                  </w:pPr>
                  <w:r>
                    <w:rPr>
                      <w:color w:val="auto"/>
                      <w:sz w:val="21"/>
                      <w:szCs w:val="21"/>
                    </w:rPr>
                    <w:t>去向</w:t>
                  </w:r>
                </w:p>
              </w:tc>
            </w:tr>
            <w:tr w14:paraId="2CCB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0" w:type="dxa"/>
                  <w:vAlign w:val="center"/>
                </w:tcPr>
                <w:p w14:paraId="06B932EE">
                  <w:pPr>
                    <w:spacing w:line="360" w:lineRule="exact"/>
                    <w:jc w:val="center"/>
                    <w:rPr>
                      <w:color w:val="auto"/>
                      <w:sz w:val="21"/>
                      <w:szCs w:val="21"/>
                    </w:rPr>
                  </w:pPr>
                  <w:r>
                    <w:rPr>
                      <w:color w:val="auto"/>
                      <w:sz w:val="21"/>
                      <w:szCs w:val="21"/>
                    </w:rPr>
                    <w:t>维修件清洗用水</w:t>
                  </w:r>
                </w:p>
              </w:tc>
              <w:tc>
                <w:tcPr>
                  <w:tcW w:w="1374" w:type="dxa"/>
                  <w:vAlign w:val="center"/>
                </w:tcPr>
                <w:p w14:paraId="33EAF19B">
                  <w:pPr>
                    <w:spacing w:line="360" w:lineRule="exact"/>
                    <w:jc w:val="center"/>
                    <w:rPr>
                      <w:color w:val="auto"/>
                      <w:sz w:val="21"/>
                      <w:szCs w:val="21"/>
                    </w:rPr>
                  </w:pPr>
                  <w:r>
                    <w:rPr>
                      <w:rFonts w:hint="eastAsia"/>
                      <w:color w:val="auto"/>
                      <w:sz w:val="21"/>
                      <w:szCs w:val="21"/>
                    </w:rPr>
                    <w:t>0.2</w:t>
                  </w:r>
                </w:p>
              </w:tc>
              <w:tc>
                <w:tcPr>
                  <w:tcW w:w="1551" w:type="dxa"/>
                  <w:vAlign w:val="center"/>
                </w:tcPr>
                <w:p w14:paraId="1CC4371C">
                  <w:pPr>
                    <w:spacing w:line="360" w:lineRule="exact"/>
                    <w:jc w:val="center"/>
                    <w:rPr>
                      <w:color w:val="auto"/>
                      <w:sz w:val="21"/>
                      <w:szCs w:val="21"/>
                    </w:rPr>
                  </w:pPr>
                  <w:r>
                    <w:rPr>
                      <w:rFonts w:hint="eastAsia"/>
                      <w:color w:val="auto"/>
                      <w:sz w:val="21"/>
                      <w:szCs w:val="21"/>
                    </w:rPr>
                    <w:t>/</w:t>
                  </w:r>
                </w:p>
              </w:tc>
              <w:tc>
                <w:tcPr>
                  <w:tcW w:w="1215" w:type="dxa"/>
                  <w:vAlign w:val="center"/>
                </w:tcPr>
                <w:p w14:paraId="7250CE45">
                  <w:pPr>
                    <w:spacing w:line="360" w:lineRule="exact"/>
                    <w:jc w:val="center"/>
                    <w:rPr>
                      <w:color w:val="auto"/>
                      <w:sz w:val="21"/>
                      <w:szCs w:val="21"/>
                    </w:rPr>
                  </w:pPr>
                  <w:r>
                    <w:rPr>
                      <w:rFonts w:hint="eastAsia"/>
                      <w:color w:val="auto"/>
                      <w:sz w:val="21"/>
                      <w:szCs w:val="21"/>
                    </w:rPr>
                    <w:t>0.04</w:t>
                  </w:r>
                </w:p>
              </w:tc>
              <w:tc>
                <w:tcPr>
                  <w:tcW w:w="2577" w:type="dxa"/>
                  <w:vMerge w:val="restart"/>
                  <w:vAlign w:val="center"/>
                </w:tcPr>
                <w:p w14:paraId="1FCD2F44">
                  <w:pPr>
                    <w:spacing w:line="360" w:lineRule="exact"/>
                    <w:jc w:val="center"/>
                    <w:rPr>
                      <w:rFonts w:hint="default" w:eastAsia="宋体"/>
                      <w:color w:val="auto"/>
                      <w:sz w:val="21"/>
                      <w:szCs w:val="21"/>
                      <w:lang w:val="en-US" w:eastAsia="zh-CN"/>
                    </w:rPr>
                  </w:pPr>
                  <w:r>
                    <w:rPr>
                      <w:rFonts w:hint="eastAsia"/>
                      <w:color w:val="auto"/>
                      <w:sz w:val="21"/>
                      <w:szCs w:val="21"/>
                      <w:lang w:val="en-US" w:eastAsia="zh-CN"/>
                    </w:rPr>
                    <w:t>经一体化污水处理设施处理后用于厂区绿化、道路洒水</w:t>
                  </w:r>
                </w:p>
              </w:tc>
            </w:tr>
            <w:tr w14:paraId="4FC5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10" w:type="dxa"/>
                  <w:vAlign w:val="center"/>
                </w:tcPr>
                <w:p w14:paraId="56A0E762">
                  <w:pPr>
                    <w:spacing w:line="360" w:lineRule="exact"/>
                    <w:jc w:val="center"/>
                    <w:rPr>
                      <w:color w:val="auto"/>
                      <w:sz w:val="21"/>
                      <w:szCs w:val="21"/>
                    </w:rPr>
                  </w:pPr>
                  <w:r>
                    <w:rPr>
                      <w:rFonts w:hint="eastAsia"/>
                      <w:color w:val="auto"/>
                      <w:sz w:val="21"/>
                      <w:szCs w:val="21"/>
                    </w:rPr>
                    <w:t>维修车间地面</w:t>
                  </w:r>
                </w:p>
                <w:p w14:paraId="2EA19E0A">
                  <w:pPr>
                    <w:spacing w:line="360" w:lineRule="exact"/>
                    <w:jc w:val="center"/>
                    <w:rPr>
                      <w:color w:val="auto"/>
                      <w:sz w:val="21"/>
                      <w:szCs w:val="21"/>
                    </w:rPr>
                  </w:pPr>
                  <w:r>
                    <w:rPr>
                      <w:rFonts w:hint="eastAsia"/>
                      <w:color w:val="auto"/>
                      <w:sz w:val="21"/>
                      <w:szCs w:val="21"/>
                    </w:rPr>
                    <w:t>清洗用水</w:t>
                  </w:r>
                </w:p>
              </w:tc>
              <w:tc>
                <w:tcPr>
                  <w:tcW w:w="1374" w:type="dxa"/>
                  <w:vAlign w:val="center"/>
                </w:tcPr>
                <w:p w14:paraId="45DC9703">
                  <w:pPr>
                    <w:spacing w:line="360" w:lineRule="exact"/>
                    <w:jc w:val="center"/>
                    <w:rPr>
                      <w:color w:val="auto"/>
                      <w:sz w:val="21"/>
                      <w:szCs w:val="21"/>
                    </w:rPr>
                  </w:pPr>
                  <w:r>
                    <w:rPr>
                      <w:rFonts w:hint="eastAsia"/>
                      <w:color w:val="auto"/>
                      <w:sz w:val="21"/>
                      <w:szCs w:val="21"/>
                    </w:rPr>
                    <w:t>5.85</w:t>
                  </w:r>
                </w:p>
              </w:tc>
              <w:tc>
                <w:tcPr>
                  <w:tcW w:w="1551" w:type="dxa"/>
                  <w:vAlign w:val="center"/>
                </w:tcPr>
                <w:p w14:paraId="0EB75A31">
                  <w:pPr>
                    <w:spacing w:line="360" w:lineRule="exact"/>
                    <w:jc w:val="center"/>
                    <w:rPr>
                      <w:color w:val="auto"/>
                      <w:sz w:val="21"/>
                      <w:szCs w:val="21"/>
                    </w:rPr>
                  </w:pPr>
                  <w:r>
                    <w:rPr>
                      <w:rFonts w:hint="eastAsia"/>
                      <w:color w:val="auto"/>
                      <w:sz w:val="21"/>
                      <w:szCs w:val="21"/>
                    </w:rPr>
                    <w:t>0.9</w:t>
                  </w:r>
                </w:p>
              </w:tc>
              <w:tc>
                <w:tcPr>
                  <w:tcW w:w="1215" w:type="dxa"/>
                  <w:vAlign w:val="center"/>
                </w:tcPr>
                <w:p w14:paraId="187A1B17">
                  <w:pPr>
                    <w:spacing w:line="360" w:lineRule="exact"/>
                    <w:jc w:val="center"/>
                    <w:rPr>
                      <w:color w:val="auto"/>
                      <w:sz w:val="21"/>
                      <w:szCs w:val="21"/>
                    </w:rPr>
                  </w:pPr>
                  <w:r>
                    <w:rPr>
                      <w:rFonts w:hint="eastAsia"/>
                      <w:color w:val="auto"/>
                      <w:sz w:val="21"/>
                      <w:szCs w:val="21"/>
                    </w:rPr>
                    <w:t>5.26</w:t>
                  </w:r>
                </w:p>
              </w:tc>
              <w:tc>
                <w:tcPr>
                  <w:tcW w:w="2577" w:type="dxa"/>
                  <w:vMerge w:val="continue"/>
                  <w:tcBorders>
                    <w:bottom w:val="single" w:color="000000" w:sz="6" w:space="0"/>
                  </w:tcBorders>
                  <w:vAlign w:val="center"/>
                </w:tcPr>
                <w:p w14:paraId="29744B2E">
                  <w:pPr>
                    <w:spacing w:line="360" w:lineRule="exact"/>
                    <w:jc w:val="center"/>
                    <w:rPr>
                      <w:color w:val="auto"/>
                      <w:sz w:val="21"/>
                      <w:szCs w:val="21"/>
                    </w:rPr>
                  </w:pPr>
                </w:p>
              </w:tc>
            </w:tr>
            <w:tr w14:paraId="2805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0" w:type="dxa"/>
                  <w:vAlign w:val="center"/>
                </w:tcPr>
                <w:p w14:paraId="26A91D44">
                  <w:pPr>
                    <w:spacing w:line="360" w:lineRule="exact"/>
                    <w:jc w:val="center"/>
                    <w:rPr>
                      <w:color w:val="auto"/>
                      <w:sz w:val="21"/>
                      <w:szCs w:val="21"/>
                    </w:rPr>
                  </w:pPr>
                  <w:r>
                    <w:rPr>
                      <w:rFonts w:hint="eastAsia"/>
                      <w:color w:val="auto"/>
                      <w:sz w:val="21"/>
                      <w:szCs w:val="21"/>
                    </w:rPr>
                    <w:t>生活用水</w:t>
                  </w:r>
                </w:p>
              </w:tc>
              <w:tc>
                <w:tcPr>
                  <w:tcW w:w="1374" w:type="dxa"/>
                  <w:vAlign w:val="center"/>
                </w:tcPr>
                <w:p w14:paraId="53BAB804">
                  <w:pPr>
                    <w:spacing w:line="360" w:lineRule="exact"/>
                    <w:jc w:val="center"/>
                    <w:rPr>
                      <w:color w:val="auto"/>
                      <w:sz w:val="21"/>
                      <w:szCs w:val="21"/>
                    </w:rPr>
                  </w:pPr>
                  <w:r>
                    <w:rPr>
                      <w:rFonts w:hint="eastAsia"/>
                      <w:color w:val="auto"/>
                      <w:sz w:val="21"/>
                      <w:szCs w:val="21"/>
                    </w:rPr>
                    <w:t>4.2</w:t>
                  </w:r>
                </w:p>
              </w:tc>
              <w:tc>
                <w:tcPr>
                  <w:tcW w:w="1551" w:type="dxa"/>
                  <w:vAlign w:val="center"/>
                </w:tcPr>
                <w:p w14:paraId="6DFECD33">
                  <w:pPr>
                    <w:spacing w:line="360" w:lineRule="exact"/>
                    <w:jc w:val="center"/>
                    <w:rPr>
                      <w:color w:val="auto"/>
                      <w:sz w:val="21"/>
                      <w:szCs w:val="21"/>
                    </w:rPr>
                  </w:pPr>
                  <w:r>
                    <w:rPr>
                      <w:rFonts w:hint="eastAsia"/>
                      <w:color w:val="auto"/>
                      <w:sz w:val="21"/>
                      <w:szCs w:val="21"/>
                    </w:rPr>
                    <w:t>0.8</w:t>
                  </w:r>
                </w:p>
              </w:tc>
              <w:tc>
                <w:tcPr>
                  <w:tcW w:w="1215" w:type="dxa"/>
                  <w:vAlign w:val="center"/>
                </w:tcPr>
                <w:p w14:paraId="213630D7">
                  <w:pPr>
                    <w:spacing w:line="360" w:lineRule="exact"/>
                    <w:jc w:val="center"/>
                    <w:rPr>
                      <w:color w:val="auto"/>
                      <w:sz w:val="21"/>
                      <w:szCs w:val="21"/>
                    </w:rPr>
                  </w:pPr>
                  <w:r>
                    <w:rPr>
                      <w:rFonts w:hint="eastAsia"/>
                      <w:color w:val="auto"/>
                      <w:sz w:val="21"/>
                      <w:szCs w:val="21"/>
                    </w:rPr>
                    <w:t>3.36</w:t>
                  </w:r>
                </w:p>
              </w:tc>
              <w:tc>
                <w:tcPr>
                  <w:tcW w:w="2577" w:type="dxa"/>
                  <w:tcBorders>
                    <w:top w:val="single" w:color="000000" w:sz="6" w:space="0"/>
                    <w:bottom w:val="single" w:color="000000" w:sz="6" w:space="0"/>
                  </w:tcBorders>
                  <w:vAlign w:val="center"/>
                </w:tcPr>
                <w:p w14:paraId="72086A45">
                  <w:pPr>
                    <w:spacing w:line="360" w:lineRule="exact"/>
                    <w:jc w:val="center"/>
                    <w:rPr>
                      <w:color w:val="auto"/>
                      <w:sz w:val="21"/>
                      <w:szCs w:val="21"/>
                    </w:rPr>
                  </w:pPr>
                  <w:r>
                    <w:rPr>
                      <w:rFonts w:hint="eastAsia"/>
                      <w:color w:val="auto"/>
                      <w:sz w:val="21"/>
                      <w:szCs w:val="21"/>
                    </w:rPr>
                    <w:t>蒙西工业园区污水处理厂</w:t>
                  </w:r>
                </w:p>
              </w:tc>
            </w:tr>
            <w:tr w14:paraId="06455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0" w:type="dxa"/>
                  <w:vAlign w:val="center"/>
                </w:tcPr>
                <w:p w14:paraId="682B282E">
                  <w:pPr>
                    <w:spacing w:line="360" w:lineRule="exact"/>
                    <w:jc w:val="center"/>
                    <w:rPr>
                      <w:color w:val="auto"/>
                      <w:sz w:val="21"/>
                      <w:szCs w:val="21"/>
                    </w:rPr>
                  </w:pPr>
                  <w:r>
                    <w:rPr>
                      <w:color w:val="auto"/>
                      <w:sz w:val="21"/>
                      <w:szCs w:val="21"/>
                    </w:rPr>
                    <w:t>合计</w:t>
                  </w:r>
                </w:p>
              </w:tc>
              <w:tc>
                <w:tcPr>
                  <w:tcW w:w="1374" w:type="dxa"/>
                  <w:vAlign w:val="center"/>
                </w:tcPr>
                <w:p w14:paraId="0D94B654">
                  <w:pPr>
                    <w:spacing w:line="360" w:lineRule="exact"/>
                    <w:jc w:val="center"/>
                    <w:rPr>
                      <w:color w:val="auto"/>
                      <w:sz w:val="21"/>
                      <w:szCs w:val="21"/>
                    </w:rPr>
                  </w:pPr>
                  <w:r>
                    <w:rPr>
                      <w:rFonts w:hint="eastAsia"/>
                      <w:color w:val="auto"/>
                      <w:sz w:val="21"/>
                      <w:szCs w:val="21"/>
                    </w:rPr>
                    <w:t>10.25</w:t>
                  </w:r>
                </w:p>
              </w:tc>
              <w:tc>
                <w:tcPr>
                  <w:tcW w:w="1551" w:type="dxa"/>
                  <w:vAlign w:val="center"/>
                </w:tcPr>
                <w:p w14:paraId="032BF594">
                  <w:pPr>
                    <w:spacing w:line="360" w:lineRule="exact"/>
                    <w:jc w:val="center"/>
                    <w:rPr>
                      <w:color w:val="auto"/>
                      <w:sz w:val="21"/>
                      <w:szCs w:val="21"/>
                    </w:rPr>
                  </w:pPr>
                  <w:r>
                    <w:rPr>
                      <w:rFonts w:hint="eastAsia"/>
                      <w:color w:val="auto"/>
                      <w:sz w:val="21"/>
                      <w:szCs w:val="21"/>
                    </w:rPr>
                    <w:t>/</w:t>
                  </w:r>
                </w:p>
              </w:tc>
              <w:tc>
                <w:tcPr>
                  <w:tcW w:w="1215" w:type="dxa"/>
                  <w:vAlign w:val="center"/>
                </w:tcPr>
                <w:p w14:paraId="7E55A533">
                  <w:pPr>
                    <w:spacing w:line="360" w:lineRule="exact"/>
                    <w:jc w:val="center"/>
                    <w:rPr>
                      <w:color w:val="auto"/>
                      <w:sz w:val="21"/>
                      <w:szCs w:val="21"/>
                    </w:rPr>
                  </w:pPr>
                  <w:r>
                    <w:rPr>
                      <w:rFonts w:hint="eastAsia"/>
                      <w:color w:val="auto"/>
                      <w:sz w:val="21"/>
                      <w:szCs w:val="21"/>
                    </w:rPr>
                    <w:t>8.66</w:t>
                  </w:r>
                </w:p>
              </w:tc>
              <w:tc>
                <w:tcPr>
                  <w:tcW w:w="2577" w:type="dxa"/>
                  <w:tcBorders>
                    <w:top w:val="single" w:color="000000" w:sz="6" w:space="0"/>
                    <w:bottom w:val="single" w:color="000000" w:sz="6" w:space="0"/>
                  </w:tcBorders>
                  <w:vAlign w:val="center"/>
                </w:tcPr>
                <w:p w14:paraId="2EB93F46">
                  <w:pPr>
                    <w:spacing w:line="360" w:lineRule="exact"/>
                    <w:jc w:val="center"/>
                    <w:rPr>
                      <w:color w:val="auto"/>
                      <w:sz w:val="21"/>
                      <w:szCs w:val="21"/>
                    </w:rPr>
                  </w:pPr>
                </w:p>
              </w:tc>
            </w:tr>
          </w:tbl>
          <w:p w14:paraId="39C1821A">
            <w:pPr>
              <w:spacing w:line="500" w:lineRule="exact"/>
              <w:jc w:val="center"/>
              <w:rPr>
                <w:b/>
                <w:color w:val="auto"/>
              </w:rPr>
            </w:pPr>
          </w:p>
          <w:p w14:paraId="483CFAFC">
            <w:pPr>
              <w:spacing w:line="500" w:lineRule="exact"/>
              <w:jc w:val="center"/>
              <w:rPr>
                <w:b/>
                <w:color w:val="auto"/>
              </w:rPr>
            </w:pPr>
          </w:p>
          <w:p w14:paraId="13021A05">
            <w:pPr>
              <w:spacing w:line="500" w:lineRule="exact"/>
              <w:jc w:val="center"/>
              <w:rPr>
                <w:b/>
                <w:color w:val="auto"/>
              </w:rPr>
            </w:pPr>
          </w:p>
          <w:p w14:paraId="2ABA7236">
            <w:pPr>
              <w:spacing w:line="500" w:lineRule="exact"/>
              <w:jc w:val="center"/>
              <w:rPr>
                <w:b/>
                <w:color w:val="auto"/>
              </w:rPr>
            </w:pPr>
          </w:p>
          <w:p w14:paraId="2C94AEDB">
            <w:pPr>
              <w:pStyle w:val="10"/>
              <w:snapToGrid/>
              <w:spacing w:before="0" w:after="0" w:line="240" w:lineRule="auto"/>
              <w:ind w:right="0"/>
              <w:jc w:val="center"/>
              <w:rPr>
                <w:color w:val="auto"/>
                <w:sz w:val="24"/>
                <w:szCs w:val="24"/>
              </w:rPr>
            </w:pPr>
            <w:r>
              <w:rPr>
                <w:color w:val="auto"/>
              </w:rPr>
              <mc:AlternateContent>
                <mc:Choice Requires="wpc">
                  <w:drawing>
                    <wp:inline distT="0" distB="0" distL="114300" distR="114300">
                      <wp:extent cx="5247005" cy="2953385"/>
                      <wp:effectExtent l="0" t="0" r="0" b="0"/>
                      <wp:docPr id="59" name="画布 59"/>
                      <wp:cNvGraphicFramePr/>
                      <a:graphic xmlns:a="http://schemas.openxmlformats.org/drawingml/2006/main">
                        <a:graphicData uri="http://schemas.microsoft.com/office/word/2010/wordprocessingCanvas">
                          <wpc:wpc>
                            <wpc:bg>
                              <a:noFill/>
                            </wpc:bg>
                            <wpc:whole>
                              <a:ln>
                                <a:noFill/>
                              </a:ln>
                            </wpc:whole>
                            <wps:wsp>
                              <wps:cNvPr id="17" name="文本框 17"/>
                              <wps:cNvSpPr txBox="1"/>
                              <wps:spPr>
                                <a:xfrm>
                                  <a:off x="1254760" y="2447925"/>
                                  <a:ext cx="908685" cy="2895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2CD85C7">
                                    <w:pPr>
                                      <w:spacing w:line="360" w:lineRule="exact"/>
                                      <w:jc w:val="center"/>
                                      <w:rPr>
                                        <w:sz w:val="21"/>
                                        <w:szCs w:val="21"/>
                                      </w:rPr>
                                    </w:pPr>
                                    <w:r>
                                      <w:rPr>
                                        <w:rFonts w:hint="eastAsia"/>
                                        <w:sz w:val="21"/>
                                        <w:szCs w:val="21"/>
                                      </w:rPr>
                                      <w:t>生活用水</w:t>
                                    </w:r>
                                  </w:p>
                                </w:txbxContent>
                              </wps:txbx>
                              <wps:bodyPr lIns="0" tIns="0" rIns="0" bIns="0" upright="1"/>
                            </wps:wsp>
                            <wps:wsp>
                              <wps:cNvPr id="18" name="文本框 18"/>
                              <wps:cNvSpPr txBox="1"/>
                              <wps:spPr>
                                <a:xfrm>
                                  <a:off x="932180" y="904240"/>
                                  <a:ext cx="441325" cy="238760"/>
                                </a:xfrm>
                                <a:prstGeom prst="rect">
                                  <a:avLst/>
                                </a:prstGeom>
                                <a:noFill/>
                                <a:ln>
                                  <a:noFill/>
                                </a:ln>
                              </wps:spPr>
                              <wps:txbx>
                                <w:txbxContent>
                                  <w:p w14:paraId="72F99CE6">
                                    <w:pPr>
                                      <w:spacing w:line="360" w:lineRule="exact"/>
                                      <w:jc w:val="center"/>
                                      <w:rPr>
                                        <w:rFonts w:hint="default" w:eastAsia="宋体"/>
                                        <w:color w:val="auto"/>
                                        <w:sz w:val="21"/>
                                        <w:szCs w:val="21"/>
                                        <w:lang w:val="en-US" w:eastAsia="zh-CN"/>
                                      </w:rPr>
                                    </w:pPr>
                                    <w:r>
                                      <w:rPr>
                                        <w:rFonts w:hint="eastAsia"/>
                                        <w:color w:val="auto"/>
                                        <w:sz w:val="21"/>
                                        <w:szCs w:val="21"/>
                                        <w:lang w:val="en-US" w:eastAsia="zh-CN"/>
                                      </w:rPr>
                                      <w:t>6.05</w:t>
                                    </w:r>
                                  </w:p>
                                </w:txbxContent>
                              </wps:txbx>
                              <wps:bodyPr lIns="0" tIns="0" rIns="0" bIns="0" upright="1"/>
                            </wps:wsp>
                            <wps:wsp>
                              <wps:cNvPr id="19" name="直接连接符 19"/>
                              <wps:cNvCnPr/>
                              <wps:spPr>
                                <a:xfrm>
                                  <a:off x="941705" y="1122680"/>
                                  <a:ext cx="539750" cy="0"/>
                                </a:xfrm>
                                <a:prstGeom prst="line">
                                  <a:avLst/>
                                </a:prstGeom>
                                <a:ln w="9525" cap="flat" cmpd="sng">
                                  <a:solidFill>
                                    <a:srgbClr val="000000"/>
                                  </a:solidFill>
                                  <a:prstDash val="solid"/>
                                  <a:headEnd type="none" w="med" len="med"/>
                                  <a:tailEnd type="triangle" w="med" len="med"/>
                                </a:ln>
                              </wps:spPr>
                              <wps:bodyPr/>
                            </wps:wsp>
                            <wps:wsp>
                              <wps:cNvPr id="21" name="任意多边形 21"/>
                              <wps:cNvSpPr/>
                              <wps:spPr>
                                <a:xfrm>
                                  <a:off x="1713230" y="2284730"/>
                                  <a:ext cx="279400" cy="165100"/>
                                </a:xfrm>
                                <a:custGeom>
                                  <a:avLst/>
                                  <a:gdLst/>
                                  <a:ahLst/>
                                  <a:cxnLst/>
                                  <a:rect l="0" t="0" r="0" b="0"/>
                                  <a:pathLst>
                                    <a:path w="630" h="468">
                                      <a:moveTo>
                                        <a:pt x="0" y="468"/>
                                      </a:moveTo>
                                      <a:cubicBezTo>
                                        <a:pt x="78" y="338"/>
                                        <a:pt x="157" y="208"/>
                                        <a:pt x="210" y="156"/>
                                      </a:cubicBezTo>
                                      <a:cubicBezTo>
                                        <a:pt x="263" y="104"/>
                                        <a:pt x="298" y="130"/>
                                        <a:pt x="315" y="156"/>
                                      </a:cubicBezTo>
                                      <a:cubicBezTo>
                                        <a:pt x="332" y="182"/>
                                        <a:pt x="262" y="338"/>
                                        <a:pt x="315" y="312"/>
                                      </a:cubicBezTo>
                                      <a:cubicBezTo>
                                        <a:pt x="368" y="286"/>
                                        <a:pt x="577" y="52"/>
                                        <a:pt x="630" y="0"/>
                                      </a:cubicBezTo>
                                    </a:path>
                                  </a:pathLst>
                                </a:custGeom>
                                <a:noFill/>
                                <a:ln w="9525" cap="flat" cmpd="sng">
                                  <a:solidFill>
                                    <a:srgbClr val="000000"/>
                                  </a:solidFill>
                                  <a:prstDash val="solid"/>
                                  <a:headEnd type="none" w="med" len="med"/>
                                  <a:tailEnd type="triangle" w="med" len="med"/>
                                </a:ln>
                              </wps:spPr>
                              <wps:bodyPr upright="1"/>
                            </wps:wsp>
                            <wps:wsp>
                              <wps:cNvPr id="23" name="文本框 23"/>
                              <wps:cNvSpPr txBox="1"/>
                              <wps:spPr>
                                <a:xfrm>
                                  <a:off x="1732280" y="2066925"/>
                                  <a:ext cx="491490" cy="219075"/>
                                </a:xfrm>
                                <a:prstGeom prst="rect">
                                  <a:avLst/>
                                </a:prstGeom>
                                <a:noFill/>
                                <a:ln>
                                  <a:noFill/>
                                </a:ln>
                              </wps:spPr>
                              <wps:txbx>
                                <w:txbxContent>
                                  <w:p w14:paraId="3DBD1698">
                                    <w:pPr>
                                      <w:spacing w:line="360" w:lineRule="exact"/>
                                      <w:jc w:val="center"/>
                                      <w:rPr>
                                        <w:sz w:val="21"/>
                                        <w:szCs w:val="21"/>
                                      </w:rPr>
                                    </w:pPr>
                                    <w:r>
                                      <w:rPr>
                                        <w:sz w:val="21"/>
                                        <w:szCs w:val="21"/>
                                      </w:rPr>
                                      <w:t>0.</w:t>
                                    </w:r>
                                    <w:r>
                                      <w:rPr>
                                        <w:rFonts w:hint="eastAsia"/>
                                        <w:sz w:val="21"/>
                                        <w:szCs w:val="21"/>
                                      </w:rPr>
                                      <w:t>84</w:t>
                                    </w:r>
                                  </w:p>
                                </w:txbxContent>
                              </wps:txbx>
                              <wps:bodyPr lIns="0" tIns="0" rIns="0" bIns="0" upright="1"/>
                            </wps:wsp>
                            <wps:wsp>
                              <wps:cNvPr id="25" name="文本框 25"/>
                              <wps:cNvSpPr txBox="1"/>
                              <wps:spPr>
                                <a:xfrm>
                                  <a:off x="67310" y="962660"/>
                                  <a:ext cx="863600" cy="2597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2B84141">
                                    <w:pPr>
                                      <w:spacing w:line="360" w:lineRule="exact"/>
                                      <w:jc w:val="center"/>
                                    </w:pPr>
                                    <w:r>
                                      <w:rPr>
                                        <w:rFonts w:hint="eastAsia"/>
                                        <w:sz w:val="21"/>
                                        <w:szCs w:val="21"/>
                                      </w:rPr>
                                      <w:t>工业供水源</w:t>
                                    </w:r>
                                  </w:p>
                                </w:txbxContent>
                              </wps:txbx>
                              <wps:bodyPr lIns="0" tIns="0" rIns="0" bIns="0" upright="1"/>
                            </wps:wsp>
                            <wps:wsp>
                              <wps:cNvPr id="28" name="直接连接符 28"/>
                              <wps:cNvCnPr/>
                              <wps:spPr>
                                <a:xfrm flipH="1">
                                  <a:off x="1483995" y="561340"/>
                                  <a:ext cx="0" cy="1101725"/>
                                </a:xfrm>
                                <a:prstGeom prst="line">
                                  <a:avLst/>
                                </a:prstGeom>
                                <a:ln w="9525" cap="flat" cmpd="sng">
                                  <a:solidFill>
                                    <a:srgbClr val="000000"/>
                                  </a:solidFill>
                                  <a:prstDash val="solid"/>
                                  <a:headEnd type="none" w="med" len="med"/>
                                  <a:tailEnd type="none" w="med" len="med"/>
                                </a:ln>
                              </wps:spPr>
                              <wps:bodyPr/>
                            </wps:wsp>
                            <wps:wsp>
                              <wps:cNvPr id="29" name="直接连接符 29"/>
                              <wps:cNvCnPr/>
                              <wps:spPr>
                                <a:xfrm>
                                  <a:off x="1494790" y="570230"/>
                                  <a:ext cx="533400" cy="0"/>
                                </a:xfrm>
                                <a:prstGeom prst="line">
                                  <a:avLst/>
                                </a:prstGeom>
                                <a:ln w="9525" cap="flat" cmpd="sng">
                                  <a:solidFill>
                                    <a:srgbClr val="000000"/>
                                  </a:solidFill>
                                  <a:prstDash val="solid"/>
                                  <a:headEnd type="none" w="med" len="med"/>
                                  <a:tailEnd type="triangle" w="med" len="med"/>
                                </a:ln>
                              </wps:spPr>
                              <wps:bodyPr/>
                            </wps:wsp>
                            <wps:wsp>
                              <wps:cNvPr id="31" name="文本框 31"/>
                              <wps:cNvSpPr txBox="1"/>
                              <wps:spPr>
                                <a:xfrm>
                                  <a:off x="2035810" y="419100"/>
                                  <a:ext cx="112014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BF4AE0E">
                                    <w:pPr>
                                      <w:spacing w:line="360" w:lineRule="exact"/>
                                      <w:jc w:val="center"/>
                                      <w:rPr>
                                        <w:sz w:val="21"/>
                                        <w:szCs w:val="21"/>
                                      </w:rPr>
                                    </w:pPr>
                                    <w:r>
                                      <w:rPr>
                                        <w:sz w:val="21"/>
                                        <w:szCs w:val="21"/>
                                      </w:rPr>
                                      <w:t>维修件清洗用水</w:t>
                                    </w:r>
                                  </w:p>
                                </w:txbxContent>
                              </wps:txbx>
                              <wps:bodyPr lIns="0" tIns="0" rIns="0" bIns="0" upright="1"/>
                            </wps:wsp>
                            <wps:wsp>
                              <wps:cNvPr id="32" name="任意多边形 32"/>
                              <wps:cNvSpPr/>
                              <wps:spPr>
                                <a:xfrm>
                                  <a:off x="2494280" y="266065"/>
                                  <a:ext cx="279400" cy="165100"/>
                                </a:xfrm>
                                <a:custGeom>
                                  <a:avLst/>
                                  <a:gdLst/>
                                  <a:ahLst/>
                                  <a:cxnLst/>
                                  <a:rect l="0" t="0" r="0" b="0"/>
                                  <a:pathLst>
                                    <a:path w="630" h="468">
                                      <a:moveTo>
                                        <a:pt x="0" y="468"/>
                                      </a:moveTo>
                                      <a:cubicBezTo>
                                        <a:pt x="78" y="338"/>
                                        <a:pt x="157" y="208"/>
                                        <a:pt x="210" y="156"/>
                                      </a:cubicBezTo>
                                      <a:cubicBezTo>
                                        <a:pt x="263" y="104"/>
                                        <a:pt x="298" y="130"/>
                                        <a:pt x="315" y="156"/>
                                      </a:cubicBezTo>
                                      <a:cubicBezTo>
                                        <a:pt x="332" y="182"/>
                                        <a:pt x="262" y="338"/>
                                        <a:pt x="315" y="312"/>
                                      </a:cubicBezTo>
                                      <a:cubicBezTo>
                                        <a:pt x="368" y="286"/>
                                        <a:pt x="577" y="52"/>
                                        <a:pt x="630" y="0"/>
                                      </a:cubicBezTo>
                                    </a:path>
                                  </a:pathLst>
                                </a:custGeom>
                                <a:noFill/>
                                <a:ln w="9525" cap="flat" cmpd="sng">
                                  <a:solidFill>
                                    <a:srgbClr val="000000"/>
                                  </a:solidFill>
                                  <a:prstDash val="solid"/>
                                  <a:headEnd type="none" w="med" len="med"/>
                                  <a:tailEnd type="triangle" w="med" len="med"/>
                                </a:ln>
                              </wps:spPr>
                              <wps:bodyPr upright="1"/>
                            </wps:wsp>
                            <wps:wsp>
                              <wps:cNvPr id="33" name="文本框 33"/>
                              <wps:cNvSpPr txBox="1"/>
                              <wps:spPr>
                                <a:xfrm>
                                  <a:off x="2561590" y="48260"/>
                                  <a:ext cx="473710" cy="219075"/>
                                </a:xfrm>
                                <a:prstGeom prst="rect">
                                  <a:avLst/>
                                </a:prstGeom>
                                <a:noFill/>
                                <a:ln>
                                  <a:noFill/>
                                </a:ln>
                              </wps:spPr>
                              <wps:txbx>
                                <w:txbxContent>
                                  <w:p w14:paraId="448D7165">
                                    <w:pPr>
                                      <w:spacing w:line="360" w:lineRule="exact"/>
                                      <w:jc w:val="center"/>
                                      <w:rPr>
                                        <w:sz w:val="21"/>
                                        <w:szCs w:val="21"/>
                                      </w:rPr>
                                    </w:pPr>
                                    <w:r>
                                      <w:rPr>
                                        <w:rFonts w:hint="eastAsia"/>
                                        <w:sz w:val="21"/>
                                        <w:szCs w:val="21"/>
                                      </w:rPr>
                                      <w:t>0.16</w:t>
                                    </w:r>
                                  </w:p>
                                </w:txbxContent>
                              </wps:txbx>
                              <wps:bodyPr lIns="0" tIns="0" rIns="0" bIns="0" upright="1"/>
                            </wps:wsp>
                            <wps:wsp>
                              <wps:cNvPr id="34" name="文本框 34"/>
                              <wps:cNvSpPr txBox="1"/>
                              <wps:spPr>
                                <a:xfrm>
                                  <a:off x="1580515" y="325120"/>
                                  <a:ext cx="368935" cy="247650"/>
                                </a:xfrm>
                                <a:prstGeom prst="rect">
                                  <a:avLst/>
                                </a:prstGeom>
                                <a:noFill/>
                                <a:ln>
                                  <a:noFill/>
                                </a:ln>
                              </wps:spPr>
                              <wps:txbx>
                                <w:txbxContent>
                                  <w:p w14:paraId="2DB3B865">
                                    <w:pPr>
                                      <w:spacing w:line="360" w:lineRule="exact"/>
                                      <w:jc w:val="center"/>
                                      <w:rPr>
                                        <w:sz w:val="21"/>
                                        <w:szCs w:val="21"/>
                                      </w:rPr>
                                    </w:pPr>
                                    <w:r>
                                      <w:rPr>
                                        <w:rFonts w:hint="eastAsia"/>
                                        <w:sz w:val="21"/>
                                        <w:szCs w:val="21"/>
                                      </w:rPr>
                                      <w:t>0.2</w:t>
                                    </w:r>
                                  </w:p>
                                </w:txbxContent>
                              </wps:txbx>
                              <wps:bodyPr lIns="0" tIns="0" rIns="0" bIns="0" upright="1"/>
                            </wps:wsp>
                            <wps:wsp>
                              <wps:cNvPr id="35" name="直接连接符 35"/>
                              <wps:cNvCnPr/>
                              <wps:spPr>
                                <a:xfrm>
                                  <a:off x="3172460" y="622935"/>
                                  <a:ext cx="264160" cy="1270"/>
                                </a:xfrm>
                                <a:prstGeom prst="line">
                                  <a:avLst/>
                                </a:prstGeom>
                                <a:ln w="9525" cap="flat" cmpd="sng">
                                  <a:solidFill>
                                    <a:srgbClr val="000000"/>
                                  </a:solidFill>
                                  <a:prstDash val="dash"/>
                                  <a:headEnd type="none" w="med" len="med"/>
                                  <a:tailEnd type="none" w="med" len="med"/>
                                </a:ln>
                              </wps:spPr>
                              <wps:bodyPr/>
                            </wps:wsp>
                            <wps:wsp>
                              <wps:cNvPr id="37" name="直接连接符 37"/>
                              <wps:cNvCnPr/>
                              <wps:spPr>
                                <a:xfrm>
                                  <a:off x="3417570" y="643255"/>
                                  <a:ext cx="3175" cy="342265"/>
                                </a:xfrm>
                                <a:prstGeom prst="line">
                                  <a:avLst/>
                                </a:prstGeom>
                                <a:ln w="9525" cap="flat" cmpd="sng">
                                  <a:solidFill>
                                    <a:srgbClr val="000000"/>
                                  </a:solidFill>
                                  <a:prstDash val="dash"/>
                                  <a:headEnd type="none" w="med" len="med"/>
                                  <a:tailEnd type="none" w="med" len="med"/>
                                </a:ln>
                              </wps:spPr>
                              <wps:bodyPr/>
                            </wps:wsp>
                            <wps:wsp>
                              <wps:cNvPr id="38" name="直接连接符 38"/>
                              <wps:cNvCnPr/>
                              <wps:spPr>
                                <a:xfrm>
                                  <a:off x="2487930" y="975360"/>
                                  <a:ext cx="929640" cy="635"/>
                                </a:xfrm>
                                <a:prstGeom prst="line">
                                  <a:avLst/>
                                </a:prstGeom>
                                <a:ln w="9525" cap="flat" cmpd="sng">
                                  <a:solidFill>
                                    <a:srgbClr val="000000"/>
                                  </a:solidFill>
                                  <a:prstDash val="dash"/>
                                  <a:headEnd type="none" w="med" len="med"/>
                                  <a:tailEnd type="none" w="med" len="med"/>
                                </a:ln>
                              </wps:spPr>
                              <wps:bodyPr/>
                            </wps:wsp>
                            <wps:wsp>
                              <wps:cNvPr id="39" name="直接连接符 39"/>
                              <wps:cNvCnPr/>
                              <wps:spPr>
                                <a:xfrm>
                                  <a:off x="2496185" y="708660"/>
                                  <a:ext cx="635" cy="273685"/>
                                </a:xfrm>
                                <a:prstGeom prst="line">
                                  <a:avLst/>
                                </a:prstGeom>
                                <a:ln w="9525" cap="flat" cmpd="sng">
                                  <a:solidFill>
                                    <a:srgbClr val="000000"/>
                                  </a:solidFill>
                                  <a:prstDash val="dash"/>
                                  <a:headEnd type="triangle" w="med" len="med"/>
                                  <a:tailEnd type="none" w="med" len="med"/>
                                </a:ln>
                              </wps:spPr>
                              <wps:bodyPr/>
                            </wps:wsp>
                            <wps:wsp>
                              <wps:cNvPr id="40" name="文本框 40"/>
                              <wps:cNvSpPr txBox="1"/>
                              <wps:spPr>
                                <a:xfrm>
                                  <a:off x="2685415" y="753745"/>
                                  <a:ext cx="472440" cy="228600"/>
                                </a:xfrm>
                                <a:prstGeom prst="rect">
                                  <a:avLst/>
                                </a:prstGeom>
                                <a:noFill/>
                                <a:ln>
                                  <a:noFill/>
                                </a:ln>
                              </wps:spPr>
                              <wps:txbx>
                                <w:txbxContent>
                                  <w:p w14:paraId="2C742F5C">
                                    <w:pPr>
                                      <w:spacing w:line="360" w:lineRule="exact"/>
                                      <w:jc w:val="center"/>
                                      <w:rPr>
                                        <w:sz w:val="21"/>
                                        <w:szCs w:val="21"/>
                                      </w:rPr>
                                    </w:pPr>
                                    <w:r>
                                      <w:rPr>
                                        <w:rFonts w:hint="eastAsia"/>
                                        <w:sz w:val="21"/>
                                        <w:szCs w:val="21"/>
                                      </w:rPr>
                                      <w:t>1.0</w:t>
                                    </w:r>
                                  </w:p>
                                </w:txbxContent>
                              </wps:txbx>
                              <wps:bodyPr lIns="0" tIns="0" rIns="0" bIns="0" upright="1"/>
                            </wps:wsp>
                            <wps:wsp>
                              <wps:cNvPr id="41" name="直接连接符 41"/>
                              <wps:cNvCnPr/>
                              <wps:spPr>
                                <a:xfrm>
                                  <a:off x="723265" y="2599055"/>
                                  <a:ext cx="533400" cy="0"/>
                                </a:xfrm>
                                <a:prstGeom prst="line">
                                  <a:avLst/>
                                </a:prstGeom>
                                <a:ln w="9525" cap="flat" cmpd="sng">
                                  <a:solidFill>
                                    <a:srgbClr val="000000"/>
                                  </a:solidFill>
                                  <a:prstDash val="solid"/>
                                  <a:headEnd type="none" w="med" len="med"/>
                                  <a:tailEnd type="triangle" w="med" len="med"/>
                                </a:ln>
                              </wps:spPr>
                              <wps:bodyPr/>
                            </wps:wsp>
                            <wps:wsp>
                              <wps:cNvPr id="42" name="文本框 42"/>
                              <wps:cNvSpPr txBox="1"/>
                              <wps:spPr>
                                <a:xfrm>
                                  <a:off x="812165" y="2383155"/>
                                  <a:ext cx="292100" cy="228600"/>
                                </a:xfrm>
                                <a:prstGeom prst="rect">
                                  <a:avLst/>
                                </a:prstGeom>
                                <a:noFill/>
                                <a:ln>
                                  <a:noFill/>
                                </a:ln>
                              </wps:spPr>
                              <wps:txbx>
                                <w:txbxContent>
                                  <w:p w14:paraId="02D9EF74">
                                    <w:pPr>
                                      <w:spacing w:line="360" w:lineRule="exact"/>
                                      <w:jc w:val="center"/>
                                      <w:rPr>
                                        <w:sz w:val="21"/>
                                        <w:szCs w:val="21"/>
                                      </w:rPr>
                                    </w:pPr>
                                    <w:r>
                                      <w:rPr>
                                        <w:rFonts w:hint="eastAsia"/>
                                        <w:sz w:val="21"/>
                                        <w:szCs w:val="21"/>
                                      </w:rPr>
                                      <w:t>4.2</w:t>
                                    </w:r>
                                  </w:p>
                                </w:txbxContent>
                              </wps:txbx>
                              <wps:bodyPr lIns="0" tIns="0" rIns="0" bIns="0" upright="1"/>
                            </wps:wsp>
                            <wps:wsp>
                              <wps:cNvPr id="26" name="直接连接符 26"/>
                              <wps:cNvCnPr/>
                              <wps:spPr>
                                <a:xfrm>
                                  <a:off x="3171190" y="551180"/>
                                  <a:ext cx="533400" cy="0"/>
                                </a:xfrm>
                                <a:prstGeom prst="line">
                                  <a:avLst/>
                                </a:prstGeom>
                                <a:ln w="9525" cap="flat" cmpd="sng">
                                  <a:solidFill>
                                    <a:srgbClr val="000000"/>
                                  </a:solidFill>
                                  <a:prstDash val="solid"/>
                                  <a:headEnd type="none" w="med" len="med"/>
                                  <a:tailEnd type="triangle" w="med" len="med"/>
                                </a:ln>
                              </wps:spPr>
                              <wps:bodyPr/>
                            </wps:wsp>
                            <wps:wsp>
                              <wps:cNvPr id="27" name="直接连接符 27"/>
                              <wps:cNvCnPr/>
                              <wps:spPr>
                                <a:xfrm>
                                  <a:off x="1494790" y="1665605"/>
                                  <a:ext cx="533400" cy="0"/>
                                </a:xfrm>
                                <a:prstGeom prst="line">
                                  <a:avLst/>
                                </a:prstGeom>
                                <a:ln w="9525" cap="flat" cmpd="sng">
                                  <a:solidFill>
                                    <a:srgbClr val="000000"/>
                                  </a:solidFill>
                                  <a:prstDash val="solid"/>
                                  <a:headEnd type="none" w="med" len="med"/>
                                  <a:tailEnd type="triangle" w="med" len="med"/>
                                </a:ln>
                              </wps:spPr>
                              <wps:bodyPr/>
                            </wps:wsp>
                            <wps:wsp>
                              <wps:cNvPr id="30" name="文本框 30"/>
                              <wps:cNvSpPr txBox="1"/>
                              <wps:spPr>
                                <a:xfrm>
                                  <a:off x="2035810" y="1400175"/>
                                  <a:ext cx="1120140" cy="4978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9C172D">
                                    <w:pPr>
                                      <w:spacing w:line="360" w:lineRule="exact"/>
                                      <w:jc w:val="center"/>
                                      <w:rPr>
                                        <w:sz w:val="21"/>
                                        <w:szCs w:val="21"/>
                                      </w:rPr>
                                    </w:pPr>
                                    <w:r>
                                      <w:rPr>
                                        <w:rFonts w:hint="eastAsia"/>
                                        <w:sz w:val="21"/>
                                        <w:szCs w:val="21"/>
                                      </w:rPr>
                                      <w:t>维修车间地面</w:t>
                                    </w:r>
                                  </w:p>
                                  <w:p w14:paraId="2D5B224C">
                                    <w:pPr>
                                      <w:spacing w:line="360" w:lineRule="exact"/>
                                      <w:jc w:val="center"/>
                                      <w:rPr>
                                        <w:sz w:val="21"/>
                                        <w:szCs w:val="21"/>
                                      </w:rPr>
                                    </w:pPr>
                                    <w:r>
                                      <w:rPr>
                                        <w:sz w:val="21"/>
                                        <w:szCs w:val="21"/>
                                      </w:rPr>
                                      <w:t>清洗用水</w:t>
                                    </w:r>
                                  </w:p>
                                </w:txbxContent>
                              </wps:txbx>
                              <wps:bodyPr lIns="0" tIns="0" rIns="0" bIns="0" upright="1"/>
                            </wps:wsp>
                            <wps:wsp>
                              <wps:cNvPr id="43" name="任意多边形 43"/>
                              <wps:cNvSpPr/>
                              <wps:spPr>
                                <a:xfrm>
                                  <a:off x="2494280" y="1247140"/>
                                  <a:ext cx="279400" cy="165100"/>
                                </a:xfrm>
                                <a:custGeom>
                                  <a:avLst/>
                                  <a:gdLst/>
                                  <a:ahLst/>
                                  <a:cxnLst/>
                                  <a:rect l="0" t="0" r="0" b="0"/>
                                  <a:pathLst>
                                    <a:path w="630" h="468">
                                      <a:moveTo>
                                        <a:pt x="0" y="468"/>
                                      </a:moveTo>
                                      <a:cubicBezTo>
                                        <a:pt x="78" y="338"/>
                                        <a:pt x="157" y="208"/>
                                        <a:pt x="210" y="156"/>
                                      </a:cubicBezTo>
                                      <a:cubicBezTo>
                                        <a:pt x="263" y="104"/>
                                        <a:pt x="298" y="130"/>
                                        <a:pt x="315" y="156"/>
                                      </a:cubicBezTo>
                                      <a:cubicBezTo>
                                        <a:pt x="332" y="182"/>
                                        <a:pt x="262" y="338"/>
                                        <a:pt x="315" y="312"/>
                                      </a:cubicBezTo>
                                      <a:cubicBezTo>
                                        <a:pt x="368" y="286"/>
                                        <a:pt x="577" y="52"/>
                                        <a:pt x="630" y="0"/>
                                      </a:cubicBezTo>
                                    </a:path>
                                  </a:pathLst>
                                </a:custGeom>
                                <a:noFill/>
                                <a:ln w="9525" cap="flat" cmpd="sng">
                                  <a:solidFill>
                                    <a:srgbClr val="000000"/>
                                  </a:solidFill>
                                  <a:prstDash val="solid"/>
                                  <a:headEnd type="none" w="med" len="med"/>
                                  <a:tailEnd type="triangle" w="med" len="med"/>
                                </a:ln>
                              </wps:spPr>
                              <wps:bodyPr upright="1"/>
                            </wps:wsp>
                            <wps:wsp>
                              <wps:cNvPr id="45" name="文本框 45"/>
                              <wps:cNvSpPr txBox="1"/>
                              <wps:spPr>
                                <a:xfrm>
                                  <a:off x="2561590" y="1029335"/>
                                  <a:ext cx="473710" cy="219075"/>
                                </a:xfrm>
                                <a:prstGeom prst="rect">
                                  <a:avLst/>
                                </a:prstGeom>
                                <a:noFill/>
                                <a:ln>
                                  <a:noFill/>
                                </a:ln>
                              </wps:spPr>
                              <wps:txbx>
                                <w:txbxContent>
                                  <w:p w14:paraId="357D9039">
                                    <w:pPr>
                                      <w:spacing w:line="360" w:lineRule="exact"/>
                                      <w:jc w:val="center"/>
                                      <w:rPr>
                                        <w:sz w:val="21"/>
                                        <w:szCs w:val="21"/>
                                      </w:rPr>
                                    </w:pPr>
                                    <w:r>
                                      <w:rPr>
                                        <w:rFonts w:hint="eastAsia"/>
                                        <w:sz w:val="21"/>
                                        <w:szCs w:val="21"/>
                                      </w:rPr>
                                      <w:t>0.59</w:t>
                                    </w:r>
                                  </w:p>
                                </w:txbxContent>
                              </wps:txbx>
                              <wps:bodyPr lIns="0" tIns="0" rIns="0" bIns="0" upright="1"/>
                            </wps:wsp>
                            <wps:wsp>
                              <wps:cNvPr id="46" name="文本框 46"/>
                              <wps:cNvSpPr txBox="1"/>
                              <wps:spPr>
                                <a:xfrm>
                                  <a:off x="1551940" y="1430020"/>
                                  <a:ext cx="330835" cy="247650"/>
                                </a:xfrm>
                                <a:prstGeom prst="rect">
                                  <a:avLst/>
                                </a:prstGeom>
                                <a:noFill/>
                                <a:ln>
                                  <a:noFill/>
                                </a:ln>
                              </wps:spPr>
                              <wps:txbx>
                                <w:txbxContent>
                                  <w:p w14:paraId="5029E6AF">
                                    <w:pPr>
                                      <w:spacing w:line="360" w:lineRule="exact"/>
                                      <w:jc w:val="center"/>
                                      <w:rPr>
                                        <w:sz w:val="21"/>
                                        <w:szCs w:val="21"/>
                                      </w:rPr>
                                    </w:pPr>
                                    <w:r>
                                      <w:rPr>
                                        <w:rFonts w:hint="eastAsia"/>
                                        <w:sz w:val="21"/>
                                        <w:szCs w:val="21"/>
                                      </w:rPr>
                                      <w:t>5.85</w:t>
                                    </w:r>
                                  </w:p>
                                </w:txbxContent>
                              </wps:txbx>
                              <wps:bodyPr lIns="0" tIns="0" rIns="0" bIns="0" upright="1"/>
                            </wps:wsp>
                            <wps:wsp>
                              <wps:cNvPr id="47" name="直接连接符 47"/>
                              <wps:cNvCnPr/>
                              <wps:spPr>
                                <a:xfrm>
                                  <a:off x="3171190" y="1637030"/>
                                  <a:ext cx="533400" cy="0"/>
                                </a:xfrm>
                                <a:prstGeom prst="line">
                                  <a:avLst/>
                                </a:prstGeom>
                                <a:ln w="9525" cap="flat" cmpd="sng">
                                  <a:solidFill>
                                    <a:srgbClr val="000000"/>
                                  </a:solidFill>
                                  <a:prstDash val="solid"/>
                                  <a:headEnd type="none" w="med" len="med"/>
                                  <a:tailEnd type="triangle" w="med" len="med"/>
                                </a:ln>
                              </wps:spPr>
                              <wps:bodyPr/>
                            </wps:wsp>
                            <wps:wsp>
                              <wps:cNvPr id="48" name="文本框 48"/>
                              <wps:cNvSpPr txBox="1"/>
                              <wps:spPr>
                                <a:xfrm>
                                  <a:off x="3209290" y="296545"/>
                                  <a:ext cx="368935" cy="247650"/>
                                </a:xfrm>
                                <a:prstGeom prst="rect">
                                  <a:avLst/>
                                </a:prstGeom>
                                <a:noFill/>
                                <a:ln>
                                  <a:noFill/>
                                </a:ln>
                              </wps:spPr>
                              <wps:txbx>
                                <w:txbxContent>
                                  <w:p w14:paraId="7B8C110E">
                                    <w:pPr>
                                      <w:spacing w:line="360" w:lineRule="exact"/>
                                      <w:jc w:val="center"/>
                                      <w:rPr>
                                        <w:sz w:val="21"/>
                                        <w:szCs w:val="21"/>
                                      </w:rPr>
                                    </w:pPr>
                                    <w:r>
                                      <w:rPr>
                                        <w:rFonts w:hint="eastAsia"/>
                                        <w:sz w:val="21"/>
                                        <w:szCs w:val="21"/>
                                      </w:rPr>
                                      <w:t>0.04</w:t>
                                    </w:r>
                                  </w:p>
                                </w:txbxContent>
                              </wps:txbx>
                              <wps:bodyPr lIns="0" tIns="0" rIns="0" bIns="0" upright="1"/>
                            </wps:wsp>
                            <wps:wsp>
                              <wps:cNvPr id="49" name="文本框 49"/>
                              <wps:cNvSpPr txBox="1"/>
                              <wps:spPr>
                                <a:xfrm>
                                  <a:off x="3152140" y="1410335"/>
                                  <a:ext cx="473710" cy="219075"/>
                                </a:xfrm>
                                <a:prstGeom prst="rect">
                                  <a:avLst/>
                                </a:prstGeom>
                                <a:noFill/>
                                <a:ln>
                                  <a:noFill/>
                                </a:ln>
                              </wps:spPr>
                              <wps:txbx>
                                <w:txbxContent>
                                  <w:p w14:paraId="7AE7C684">
                                    <w:pPr>
                                      <w:spacing w:line="360" w:lineRule="exact"/>
                                      <w:jc w:val="center"/>
                                      <w:rPr>
                                        <w:sz w:val="21"/>
                                        <w:szCs w:val="21"/>
                                      </w:rPr>
                                    </w:pPr>
                                    <w:r>
                                      <w:rPr>
                                        <w:rFonts w:hint="eastAsia"/>
                                        <w:sz w:val="21"/>
                                        <w:szCs w:val="21"/>
                                      </w:rPr>
                                      <w:t>5.26</w:t>
                                    </w:r>
                                  </w:p>
                                </w:txbxContent>
                              </wps:txbx>
                              <wps:bodyPr lIns="0" tIns="0" rIns="0" bIns="0" upright="1"/>
                            </wps:wsp>
                            <wps:wsp>
                              <wps:cNvPr id="50" name="文本框 50"/>
                              <wps:cNvSpPr txBox="1"/>
                              <wps:spPr>
                                <a:xfrm>
                                  <a:off x="19685" y="2467610"/>
                                  <a:ext cx="692785" cy="2597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9A5041">
                                    <w:pPr>
                                      <w:spacing w:line="360" w:lineRule="exact"/>
                                      <w:jc w:val="center"/>
                                    </w:pPr>
                                    <w:r>
                                      <w:rPr>
                                        <w:rFonts w:hint="eastAsia"/>
                                        <w:sz w:val="21"/>
                                        <w:szCs w:val="21"/>
                                      </w:rPr>
                                      <w:t>新鲜水</w:t>
                                    </w:r>
                                  </w:p>
                                </w:txbxContent>
                              </wps:txbx>
                              <wps:bodyPr lIns="0" tIns="0" rIns="0" bIns="0" upright="1"/>
                            </wps:wsp>
                            <wps:wsp>
                              <wps:cNvPr id="56" name="直接连接符 56"/>
                              <wps:cNvCnPr/>
                              <wps:spPr>
                                <a:xfrm>
                                  <a:off x="2161540" y="2599055"/>
                                  <a:ext cx="533400" cy="0"/>
                                </a:xfrm>
                                <a:prstGeom prst="line">
                                  <a:avLst/>
                                </a:prstGeom>
                                <a:ln w="9525" cap="flat" cmpd="sng">
                                  <a:solidFill>
                                    <a:srgbClr val="000000"/>
                                  </a:solidFill>
                                  <a:prstDash val="solid"/>
                                  <a:headEnd type="none" w="med" len="med"/>
                                  <a:tailEnd type="triangle" w="med" len="med"/>
                                </a:ln>
                              </wps:spPr>
                              <wps:bodyPr/>
                            </wps:wsp>
                            <wps:wsp>
                              <wps:cNvPr id="57" name="文本框 57"/>
                              <wps:cNvSpPr txBox="1"/>
                              <wps:spPr>
                                <a:xfrm>
                                  <a:off x="2693035" y="2457450"/>
                                  <a:ext cx="691194" cy="2895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2623B1">
                                    <w:pPr>
                                      <w:spacing w:line="360" w:lineRule="exact"/>
                                      <w:jc w:val="center"/>
                                      <w:rPr>
                                        <w:sz w:val="21"/>
                                        <w:szCs w:val="21"/>
                                      </w:rPr>
                                    </w:pPr>
                                    <w:r>
                                      <w:rPr>
                                        <w:rFonts w:hint="eastAsia"/>
                                        <w:sz w:val="21"/>
                                        <w:szCs w:val="21"/>
                                      </w:rPr>
                                      <w:t>化粪池</w:t>
                                    </w:r>
                                  </w:p>
                                </w:txbxContent>
                              </wps:txbx>
                              <wps:bodyPr lIns="0" tIns="0" rIns="0" bIns="0" upright="1"/>
                            </wps:wsp>
                            <wps:wsp>
                              <wps:cNvPr id="140" name="文本框 140"/>
                              <wps:cNvSpPr txBox="1"/>
                              <wps:spPr>
                                <a:xfrm>
                                  <a:off x="2160905" y="2381250"/>
                                  <a:ext cx="491490" cy="219075"/>
                                </a:xfrm>
                                <a:prstGeom prst="rect">
                                  <a:avLst/>
                                </a:prstGeom>
                                <a:noFill/>
                                <a:ln>
                                  <a:noFill/>
                                </a:ln>
                              </wps:spPr>
                              <wps:txbx>
                                <w:txbxContent>
                                  <w:p w14:paraId="031783DE">
                                    <w:pPr>
                                      <w:spacing w:line="360" w:lineRule="exact"/>
                                      <w:jc w:val="center"/>
                                      <w:rPr>
                                        <w:sz w:val="21"/>
                                        <w:szCs w:val="21"/>
                                      </w:rPr>
                                    </w:pPr>
                                    <w:r>
                                      <w:rPr>
                                        <w:rFonts w:hint="eastAsia"/>
                                        <w:sz w:val="21"/>
                                        <w:szCs w:val="21"/>
                                      </w:rPr>
                                      <w:t>3.36</w:t>
                                    </w:r>
                                  </w:p>
                                </w:txbxContent>
                              </wps:txbx>
                              <wps:bodyPr lIns="0" tIns="0" rIns="0" bIns="0" upright="1"/>
                            </wps:wsp>
                            <wps:wsp>
                              <wps:cNvPr id="143" name="文本框 143"/>
                              <wps:cNvSpPr txBox="1"/>
                              <wps:spPr>
                                <a:xfrm>
                                  <a:off x="3484880" y="2390775"/>
                                  <a:ext cx="424815" cy="219075"/>
                                </a:xfrm>
                                <a:prstGeom prst="rect">
                                  <a:avLst/>
                                </a:prstGeom>
                                <a:noFill/>
                                <a:ln>
                                  <a:noFill/>
                                </a:ln>
                              </wps:spPr>
                              <wps:txbx>
                                <w:txbxContent>
                                  <w:p w14:paraId="504DCA71">
                                    <w:pPr>
                                      <w:spacing w:line="360" w:lineRule="exact"/>
                                      <w:jc w:val="center"/>
                                      <w:rPr>
                                        <w:sz w:val="21"/>
                                        <w:szCs w:val="21"/>
                                      </w:rPr>
                                    </w:pPr>
                                    <w:r>
                                      <w:rPr>
                                        <w:rFonts w:hint="eastAsia"/>
                                        <w:sz w:val="21"/>
                                        <w:szCs w:val="21"/>
                                      </w:rPr>
                                      <w:t>3.36</w:t>
                                    </w:r>
                                  </w:p>
                                </w:txbxContent>
                              </wps:txbx>
                              <wps:bodyPr lIns="0" tIns="0" rIns="0" bIns="0" upright="1"/>
                            </wps:wsp>
                            <wps:wsp>
                              <wps:cNvPr id="144" name="直接连接符 144"/>
                              <wps:cNvCnPr/>
                              <wps:spPr>
                                <a:xfrm flipH="1">
                                  <a:off x="3703320" y="542290"/>
                                  <a:ext cx="0" cy="1101725"/>
                                </a:xfrm>
                                <a:prstGeom prst="line">
                                  <a:avLst/>
                                </a:prstGeom>
                                <a:ln w="9525" cap="flat" cmpd="sng">
                                  <a:solidFill>
                                    <a:srgbClr val="000000"/>
                                  </a:solidFill>
                                  <a:prstDash val="solid"/>
                                  <a:headEnd type="none" w="med" len="med"/>
                                  <a:tailEnd type="none" w="med" len="med"/>
                                </a:ln>
                              </wps:spPr>
                              <wps:bodyPr/>
                            </wps:wsp>
                            <wps:wsp>
                              <wps:cNvPr id="145" name="直接连接符 145"/>
                              <wps:cNvCnPr/>
                              <wps:spPr>
                                <a:xfrm>
                                  <a:off x="3703955" y="1036955"/>
                                  <a:ext cx="539750" cy="0"/>
                                </a:xfrm>
                                <a:prstGeom prst="line">
                                  <a:avLst/>
                                </a:prstGeom>
                                <a:ln w="9525" cap="flat" cmpd="sng">
                                  <a:solidFill>
                                    <a:srgbClr val="000000"/>
                                  </a:solidFill>
                                  <a:prstDash val="solid"/>
                                  <a:headEnd type="none" w="med" len="med"/>
                                  <a:tailEnd type="triangle" w="med" len="med"/>
                                </a:ln>
                              </wps:spPr>
                              <wps:bodyPr/>
                            </wps:wsp>
                            <wps:wsp>
                              <wps:cNvPr id="146" name="文本框 146"/>
                              <wps:cNvSpPr txBox="1"/>
                              <wps:spPr>
                                <a:xfrm>
                                  <a:off x="4255135" y="895350"/>
                                  <a:ext cx="871220" cy="2895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868D705">
                                    <w:pPr>
                                      <w:spacing w:line="360" w:lineRule="exact"/>
                                      <w:jc w:val="center"/>
                                      <w:rPr>
                                        <w:sz w:val="21"/>
                                        <w:szCs w:val="21"/>
                                      </w:rPr>
                                    </w:pPr>
                                    <w:r>
                                      <w:rPr>
                                        <w:rFonts w:hint="eastAsia"/>
                                        <w:sz w:val="21"/>
                                        <w:szCs w:val="21"/>
                                      </w:rPr>
                                      <w:t>污水处理设施</w:t>
                                    </w:r>
                                  </w:p>
                                </w:txbxContent>
                              </wps:txbx>
                              <wps:bodyPr lIns="0" tIns="0" rIns="0" bIns="0" upright="1"/>
                            </wps:wsp>
                            <wps:wsp>
                              <wps:cNvPr id="147" name="文本框 147"/>
                              <wps:cNvSpPr txBox="1"/>
                              <wps:spPr>
                                <a:xfrm>
                                  <a:off x="3771265" y="791845"/>
                                  <a:ext cx="368935" cy="247650"/>
                                </a:xfrm>
                                <a:prstGeom prst="rect">
                                  <a:avLst/>
                                </a:prstGeom>
                                <a:noFill/>
                                <a:ln>
                                  <a:noFill/>
                                </a:ln>
                              </wps:spPr>
                              <wps:txbx>
                                <w:txbxContent>
                                  <w:p w14:paraId="294C53AC">
                                    <w:pPr>
                                      <w:spacing w:line="360" w:lineRule="exact"/>
                                      <w:jc w:val="center"/>
                                      <w:rPr>
                                        <w:sz w:val="21"/>
                                        <w:szCs w:val="21"/>
                                      </w:rPr>
                                    </w:pPr>
                                    <w:r>
                                      <w:rPr>
                                        <w:rFonts w:hint="eastAsia"/>
                                        <w:sz w:val="21"/>
                                        <w:szCs w:val="21"/>
                                      </w:rPr>
                                      <w:t>5.3</w:t>
                                    </w:r>
                                  </w:p>
                                </w:txbxContent>
                              </wps:txbx>
                              <wps:bodyPr lIns="0" tIns="0" rIns="0" bIns="0" upright="1"/>
                            </wps:wsp>
                            <wps:wsp>
                              <wps:cNvPr id="148" name="直接连接符 148"/>
                              <wps:cNvCnPr/>
                              <wps:spPr>
                                <a:xfrm flipH="1">
                                  <a:off x="4674870" y="1189990"/>
                                  <a:ext cx="0" cy="496796"/>
                                </a:xfrm>
                                <a:prstGeom prst="line">
                                  <a:avLst/>
                                </a:prstGeom>
                                <a:ln w="9525" cap="flat" cmpd="sng">
                                  <a:solidFill>
                                    <a:srgbClr val="000000"/>
                                  </a:solidFill>
                                  <a:prstDash val="solid"/>
                                  <a:headEnd type="none" w="med" len="med"/>
                                  <a:tailEnd type="triangle" w="med" len="med"/>
                                </a:ln>
                              </wps:spPr>
                              <wps:bodyPr/>
                            </wps:wsp>
                            <wps:wsp>
                              <wps:cNvPr id="149" name="文本框 149"/>
                              <wps:cNvSpPr txBox="1"/>
                              <wps:spPr>
                                <a:xfrm>
                                  <a:off x="4076065" y="2363470"/>
                                  <a:ext cx="1034415" cy="513080"/>
                                </a:xfrm>
                                <a:prstGeom prst="rect">
                                  <a:avLst/>
                                </a:prstGeom>
                                <a:noFill/>
                                <a:ln>
                                  <a:noFill/>
                                </a:ln>
                              </wps:spPr>
                              <wps:txbx>
                                <w:txbxContent>
                                  <w:p w14:paraId="3E9BE267">
                                    <w:pPr>
                                      <w:spacing w:line="360" w:lineRule="exact"/>
                                      <w:jc w:val="center"/>
                                      <w:rPr>
                                        <w:rFonts w:hint="eastAsia"/>
                                        <w:sz w:val="21"/>
                                        <w:szCs w:val="21"/>
                                      </w:rPr>
                                    </w:pPr>
                                    <w:r>
                                      <w:rPr>
                                        <w:rFonts w:hint="eastAsia"/>
                                        <w:sz w:val="21"/>
                                        <w:szCs w:val="21"/>
                                      </w:rPr>
                                      <w:t>蒙西工业园区</w:t>
                                    </w:r>
                                  </w:p>
                                  <w:p w14:paraId="0D0D92DB">
                                    <w:pPr>
                                      <w:spacing w:line="360" w:lineRule="exact"/>
                                      <w:jc w:val="center"/>
                                      <w:rPr>
                                        <w:sz w:val="21"/>
                                        <w:szCs w:val="21"/>
                                      </w:rPr>
                                    </w:pPr>
                                    <w:r>
                                      <w:rPr>
                                        <w:rFonts w:hint="eastAsia"/>
                                        <w:sz w:val="21"/>
                                        <w:szCs w:val="21"/>
                                        <w:lang w:val="en-US" w:eastAsia="zh-CN"/>
                                      </w:rPr>
                                      <w:t>生活</w:t>
                                    </w:r>
                                    <w:r>
                                      <w:rPr>
                                        <w:rFonts w:hint="eastAsia"/>
                                        <w:sz w:val="21"/>
                                        <w:szCs w:val="21"/>
                                      </w:rPr>
                                      <w:t>污水处理厂</w:t>
                                    </w:r>
                                  </w:p>
                                </w:txbxContent>
                              </wps:txbx>
                              <wps:bodyPr lIns="0" tIns="0" rIns="0" bIns="0" upright="1"/>
                            </wps:wsp>
                            <wps:wsp>
                              <wps:cNvPr id="58" name="直接连接符 58"/>
                              <wps:cNvCnPr/>
                              <wps:spPr>
                                <a:xfrm flipV="1">
                                  <a:off x="3390265" y="2604770"/>
                                  <a:ext cx="680395" cy="0"/>
                                </a:xfrm>
                                <a:prstGeom prst="line">
                                  <a:avLst/>
                                </a:prstGeom>
                                <a:ln w="9525" cap="flat" cmpd="sng">
                                  <a:solidFill>
                                    <a:srgbClr val="000000"/>
                                  </a:solidFill>
                                  <a:prstDash val="solid"/>
                                  <a:headEnd type="none" w="med" len="med"/>
                                  <a:tailEnd type="triangle" w="med" len="med"/>
                                </a:ln>
                              </wps:spPr>
                              <wps:bodyPr/>
                            </wps:wsp>
                            <wps:wsp>
                              <wps:cNvPr id="151" name="文本框 151"/>
                              <wps:cNvSpPr txBox="1"/>
                              <wps:spPr>
                                <a:xfrm>
                                  <a:off x="4285615" y="1677670"/>
                                  <a:ext cx="786765" cy="456565"/>
                                </a:xfrm>
                                <a:prstGeom prst="rect">
                                  <a:avLst/>
                                </a:prstGeom>
                                <a:noFill/>
                                <a:ln>
                                  <a:noFill/>
                                </a:ln>
                              </wps:spPr>
                              <wps:txbx>
                                <w:txbxContent>
                                  <w:p w14:paraId="64D8803A">
                                    <w:pPr>
                                      <w:spacing w:line="360" w:lineRule="exact"/>
                                      <w:jc w:val="center"/>
                                      <w:rPr>
                                        <w:rFonts w:hint="eastAsia"/>
                                        <w:sz w:val="21"/>
                                        <w:szCs w:val="21"/>
                                        <w:lang w:val="en-US" w:eastAsia="zh-CN"/>
                                      </w:rPr>
                                    </w:pPr>
                                    <w:r>
                                      <w:rPr>
                                        <w:rFonts w:hint="eastAsia"/>
                                        <w:sz w:val="21"/>
                                        <w:szCs w:val="21"/>
                                        <w:lang w:val="en-US" w:eastAsia="zh-CN"/>
                                      </w:rPr>
                                      <w:t>厂区绿化、</w:t>
                                    </w:r>
                                  </w:p>
                                  <w:p w14:paraId="70E862B3">
                                    <w:pPr>
                                      <w:spacing w:line="360" w:lineRule="exact"/>
                                      <w:jc w:val="center"/>
                                      <w:rPr>
                                        <w:rFonts w:hint="default" w:eastAsia="宋体"/>
                                        <w:sz w:val="21"/>
                                        <w:szCs w:val="21"/>
                                        <w:lang w:val="en-US" w:eastAsia="zh-CN"/>
                                      </w:rPr>
                                    </w:pPr>
                                    <w:r>
                                      <w:rPr>
                                        <w:rFonts w:hint="eastAsia"/>
                                        <w:sz w:val="21"/>
                                        <w:szCs w:val="21"/>
                                        <w:lang w:val="en-US" w:eastAsia="zh-CN"/>
                                      </w:rPr>
                                      <w:t>道路洒水</w:t>
                                    </w:r>
                                  </w:p>
                                </w:txbxContent>
                              </wps:txbx>
                              <wps:bodyPr lIns="0" tIns="0" rIns="0" bIns="0" upright="1"/>
                            </wps:wsp>
                          </wpc:wpc>
                        </a:graphicData>
                      </a:graphic>
                    </wp:inline>
                  </w:drawing>
                </mc:Choice>
                <mc:Fallback>
                  <w:pict>
                    <v:group id="_x0000_s1026" o:spid="_x0000_s1026" o:spt="203" style="height:232.55pt;width:413.15pt;" coordsize="5247005,2953385" editas="canvas" o:gfxdata="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">
                      <o:lock v:ext="edit" aspectratio="f"/>
                      <v:shape id="_x0000_s1026" o:spid="_x0000_s1026" style="position:absolute;left:0;top:0;height:2953385;width:5247005;" filled="f" stroked="f" coordsize="21600,21600" o:gfxdata="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">
                        <v:fill on="f" focussize="0,0"/>
                        <v:stroke on="f"/>
                        <v:imagedata o:title=""/>
                        <o:lock v:ext="edit" aspectratio="f"/>
                      </v:shape>
                      <v:shape id="_x0000_s1026" o:spid="_x0000_s1026" o:spt="202" type="#_x0000_t202" style="position:absolute;left:1254760;top:2447925;height:289560;width:908685;" fillcolor="#FFFFFF" filled="t" stroked="t" coordsize="21600,21600" o:gfxdata="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BkXAyzW&#10;AAAABQEAAA8AAAAAAAAAAQAgAAAAIgAAAGRycy9kb3ducmV2LnhtbFBLAQIUABQAAAAIAIdO4kCo&#10;AnfmIgIAAGcEAAAOAAAAAAAAAAEAIAAAACUBAABkcnMvZTJvRG9jLnhtbFBLBQYAAAAABgAGAFkB&#10;AAC5BQAAAAA=&#10;">
                        <v:fill on="t" focussize="0,0"/>
                        <v:stroke color="#000000" joinstyle="miter"/>
                        <v:imagedata o:title=""/>
                        <o:lock v:ext="edit" aspectratio="f"/>
                        <v:textbox inset="0mm,0mm,0mm,0mm">
                          <w:txbxContent>
                            <w:p w14:paraId="62CD85C7">
                              <w:pPr>
                                <w:spacing w:line="360" w:lineRule="exact"/>
                                <w:jc w:val="center"/>
                                <w:rPr>
                                  <w:sz w:val="21"/>
                                  <w:szCs w:val="21"/>
                                </w:rPr>
                              </w:pPr>
                              <w:r>
                                <w:rPr>
                                  <w:rFonts w:hint="eastAsia"/>
                                  <w:sz w:val="21"/>
                                  <w:szCs w:val="21"/>
                                </w:rPr>
                                <w:t>生活用水</w:t>
                              </w:r>
                            </w:p>
                          </w:txbxContent>
                        </v:textbox>
                      </v:shape>
                      <v:shape id="_x0000_s1026" o:spid="_x0000_s1026" o:spt="202" type="#_x0000_t202" style="position:absolute;left:932180;top:904240;height:238760;width:441325;"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LspX5fVAAAABQEAAA8AAAAAAAAAAQAgAAAAIgAAAGRycy9kb3ducmV2Lnht&#10;bFBLAQIUABQAAAAIAIdO4kBeDEsewwEAAH0DAAAOAAAAAAAAAAEAIAAAACQBAABkcnMvZTJvRG9j&#10;LnhtbFBLBQYAAAAABgAGAFkBAABZBQAAAAA=&#10;">
                        <v:fill on="f" focussize="0,0"/>
                        <v:stroke on="f"/>
                        <v:imagedata o:title=""/>
                        <o:lock v:ext="edit" aspectratio="f"/>
                        <v:textbox inset="0mm,0mm,0mm,0mm">
                          <w:txbxContent>
                            <w:p w14:paraId="72F99CE6">
                              <w:pPr>
                                <w:spacing w:line="360" w:lineRule="exact"/>
                                <w:jc w:val="center"/>
                                <w:rPr>
                                  <w:rFonts w:hint="default" w:eastAsia="宋体"/>
                                  <w:color w:val="auto"/>
                                  <w:sz w:val="21"/>
                                  <w:szCs w:val="21"/>
                                  <w:lang w:val="en-US" w:eastAsia="zh-CN"/>
                                </w:rPr>
                              </w:pPr>
                              <w:r>
                                <w:rPr>
                                  <w:rFonts w:hint="eastAsia"/>
                                  <w:color w:val="auto"/>
                                  <w:sz w:val="21"/>
                                  <w:szCs w:val="21"/>
                                  <w:lang w:val="en-US" w:eastAsia="zh-CN"/>
                                </w:rPr>
                                <w:t>6.05</w:t>
                              </w:r>
                            </w:p>
                          </w:txbxContent>
                        </v:textbox>
                      </v:shape>
                      <v:line id="_x0000_s1026" o:spid="_x0000_s1026" o:spt="20" style="position:absolute;left:941705;top:1122680;height:0;width:539750;" filled="f" stroked="t" coordsize="21600,21600" o:gfxdata="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3O/vM1wAAAAUBAAAPAAAAAAAAAAEAIAAAACIAAABkcnMvZG93&#10;bnJldi54bWxQSwECFAAUAAAACACHTuJAImykzwECAADoAwAADgAAAAAAAAABACAAAAAmAQAAZHJz&#10;L2Uyb0RvYy54bWxQSwUGAAAAAAYABgBZAQAAmQUAAAAA&#10;">
                        <v:fill on="f" focussize="0,0"/>
                        <v:stroke color="#000000" joinstyle="round" endarrow="block"/>
                        <v:imagedata o:title=""/>
                        <o:lock v:ext="edit" aspectratio="f"/>
                      </v:line>
                      <v:shape id="_x0000_s1026" o:spid="_x0000_s1026" o:spt="100" style="position:absolute;left:1713230;top:2284730;height:165100;width:279400;" filled="f" stroked="t" coordsize="630,468" o:gfxdata="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BATih9YAAAAFAQAADwAAAAAAAAAB&#10;ACAAAAAiAAAAZHJzL2Rvd25yZXYueG1sUEsBAhQAFAAAAAgAh07iQKrfSUq9AgAAHwYAAA4AAAAA&#10;AAAAAQAgAAAAJQEAAGRycy9lMm9Eb2MueG1sUEsFBgAAAAAGAAYAWQEAAFQGAAAAAA==&#10;" path="m0,468c78,338,157,208,210,156c263,104,298,130,315,156c332,182,262,338,315,312c368,286,577,52,630,0e">
                        <v:fill on="f" focussize="0,0"/>
                        <v:stroke color="#000000" joinstyle="round" endarrow="block"/>
                        <v:imagedata o:title=""/>
                        <o:lock v:ext="edit" aspectratio="f"/>
                      </v:shape>
                      <v:shape id="_x0000_s1026" o:spid="_x0000_s1026" o:spt="202" type="#_x0000_t202" style="position:absolute;left:1732280;top:2066925;height:219075;width:491490;"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spX5fVAAAABQEAAA8AAAAAAAAAAQAgAAAAIgAAAGRycy9kb3ducmV2&#10;LnhtbFBLAQIUABQAAAAIAIdO4kDe4E80xgEAAH8DAAAOAAAAAAAAAAEAIAAAACQBAABkcnMvZTJv&#10;RG9jLnhtbFBLBQYAAAAABgAGAFkBAABcBQAAAAA=&#10;">
                        <v:fill on="f" focussize="0,0"/>
                        <v:stroke on="f"/>
                        <v:imagedata o:title=""/>
                        <o:lock v:ext="edit" aspectratio="f"/>
                        <v:textbox inset="0mm,0mm,0mm,0mm">
                          <w:txbxContent>
                            <w:p w14:paraId="3DBD1698">
                              <w:pPr>
                                <w:spacing w:line="360" w:lineRule="exact"/>
                                <w:jc w:val="center"/>
                                <w:rPr>
                                  <w:sz w:val="21"/>
                                  <w:szCs w:val="21"/>
                                </w:rPr>
                              </w:pPr>
                              <w:r>
                                <w:rPr>
                                  <w:sz w:val="21"/>
                                  <w:szCs w:val="21"/>
                                </w:rPr>
                                <w:t>0.</w:t>
                              </w:r>
                              <w:r>
                                <w:rPr>
                                  <w:rFonts w:hint="eastAsia"/>
                                  <w:sz w:val="21"/>
                                  <w:szCs w:val="21"/>
                                </w:rPr>
                                <w:t>84</w:t>
                              </w:r>
                            </w:p>
                          </w:txbxContent>
                        </v:textbox>
                      </v:shape>
                      <v:shape id="_x0000_s1026" o:spid="_x0000_s1026" o:spt="202" type="#_x0000_t202" style="position:absolute;left:67310;top:962660;height:259715;width:863600;" fillcolor="#FFFFFF" filled="t" stroked="t" coordsize="21600,21600" o:gfxdata="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GRcD&#10;LNYAAAAFAQAADwAAAAAAAAABACAAAAAiAAAAZHJzL2Rvd25yZXYueG1sUEsBAhQAFAAAAAgAh07i&#10;QOq17M8kAgAAZAQAAA4AAAAAAAAAAQAgAAAAJQEAAGRycy9lMm9Eb2MueG1sUEsFBgAAAAAGAAYA&#10;WQEAALsFAAAAAA==&#10;">
                        <v:fill on="t" focussize="0,0"/>
                        <v:stroke color="#000000" joinstyle="miter"/>
                        <v:imagedata o:title=""/>
                        <o:lock v:ext="edit" aspectratio="f"/>
                        <v:textbox inset="0mm,0mm,0mm,0mm">
                          <w:txbxContent>
                            <w:p w14:paraId="52B84141">
                              <w:pPr>
                                <w:spacing w:line="360" w:lineRule="exact"/>
                                <w:jc w:val="center"/>
                              </w:pPr>
                              <w:r>
                                <w:rPr>
                                  <w:rFonts w:hint="eastAsia"/>
                                  <w:sz w:val="21"/>
                                  <w:szCs w:val="21"/>
                                </w:rPr>
                                <w:t>工业供水源</w:t>
                              </w:r>
                            </w:p>
                          </w:txbxContent>
                        </v:textbox>
                      </v:shape>
                      <v:line id="_x0000_s1026" o:spid="_x0000_s1026" o:spt="20" style="position:absolute;left:1483995;top:561340;flip:x;height:1101725;width:0;" filled="f" stroked="t" coordsize="21600,21600" o:gfxdata="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IeVcC1AAAAAUBAAAPAAAAAAAAAAEAIAAAACIAAABkcnMvZG93bnJl&#10;di54bWxQSwECFAAUAAAACACHTuJAkoiZVAECAADvAwAADgAAAAAAAAABACAAAAAjAQAAZHJzL2Uy&#10;b0RvYy54bWxQSwUGAAAAAAYABgBZAQAAlgUAAAAA&#10;">
                        <v:fill on="f" focussize="0,0"/>
                        <v:stroke color="#000000" joinstyle="round"/>
                        <v:imagedata o:title=""/>
                        <o:lock v:ext="edit" aspectratio="f"/>
                      </v:line>
                      <v:line id="_x0000_s1026" o:spid="_x0000_s1026" o:spt="20" style="position:absolute;left:1494790;top:570230;height:0;width:533400;" filled="f" stroked="t" coordsize="21600,21600" o:gfxdata="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3O/vM1wAAAAUBAAAPAAAAAAAAAAEAIAAAACIAAABkcnMvZG93&#10;bnJldi54bWxQSwECFAAUAAAACACHTuJAAz73iAECAADoAwAADgAAAAAAAAABACAAAAAmAQAAZHJz&#10;L2Uyb0RvYy54bWxQSwUGAAAAAAYABgBZAQAAmQUAAAAA&#10;">
                        <v:fill on="f" focussize="0,0"/>
                        <v:stroke color="#000000" joinstyle="round" endarrow="block"/>
                        <v:imagedata o:title=""/>
                        <o:lock v:ext="edit" aspectratio="f"/>
                      </v:line>
                      <v:shape id="_x0000_s1026" o:spid="_x0000_s1026" o:spt="202" type="#_x0000_t202" style="position:absolute;left:2035810;top:419100;height:279400;width:1120140;" fillcolor="#FFFFFF" filled="t" stroked="t" coordsize="21600,21600" o:gfxdata="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kX&#10;AyzWAAAABQEAAA8AAAAAAAAAAQAgAAAAIgAAAGRycy9kb3ducmV2LnhtbFBLAQIUABQAAAAIAIdO&#10;4kDRPyvvJQIAAGcEAAAOAAAAAAAAAAEAIAAAACUBAABkcnMvZTJvRG9jLnhtbFBLBQYAAAAABgAG&#10;AFkBAAC8BQAAAAA=&#10;">
                        <v:fill on="t" focussize="0,0"/>
                        <v:stroke color="#000000" joinstyle="miter"/>
                        <v:imagedata o:title=""/>
                        <o:lock v:ext="edit" aspectratio="f"/>
                        <v:textbox inset="0mm,0mm,0mm,0mm">
                          <w:txbxContent>
                            <w:p w14:paraId="7BF4AE0E">
                              <w:pPr>
                                <w:spacing w:line="360" w:lineRule="exact"/>
                                <w:jc w:val="center"/>
                                <w:rPr>
                                  <w:sz w:val="21"/>
                                  <w:szCs w:val="21"/>
                                </w:rPr>
                              </w:pPr>
                              <w:r>
                                <w:rPr>
                                  <w:sz w:val="21"/>
                                  <w:szCs w:val="21"/>
                                </w:rPr>
                                <w:t>维修件清洗用水</w:t>
                              </w:r>
                            </w:p>
                          </w:txbxContent>
                        </v:textbox>
                      </v:shape>
                      <v:shape id="_x0000_s1026" o:spid="_x0000_s1026" o:spt="100" style="position:absolute;left:2494280;top:266065;height:165100;width:279400;" filled="f" stroked="t" coordsize="630,468" o:gfxdata="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AQE4ofWAAAABQEAAA8AAAAA&#10;AAAAAQAgAAAAIgAAAGRycy9kb3ducmV2LnhtbFBLAQIUABQAAAAIAIdO4kBXguFhwQIAAB4GAAAO&#10;AAAAAAAAAAEAIAAAACUBAABkcnMvZTJvRG9jLnhtbFBLBQYAAAAABgAGAFkBAABYBgAAAAA=&#10;" path="m0,468c78,338,157,208,210,156c263,104,298,130,315,156c332,182,262,338,315,312c368,286,577,52,630,0e">
                        <v:fill on="f" focussize="0,0"/>
                        <v:stroke color="#000000" joinstyle="round" endarrow="block"/>
                        <v:imagedata o:title=""/>
                        <o:lock v:ext="edit" aspectratio="f"/>
                      </v:shape>
                      <v:shape id="_x0000_s1026" o:spid="_x0000_s1026" o:spt="202" type="#_x0000_t202" style="position:absolute;left:2561590;top:48260;height:219075;width:473710;"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spX5fVAAAABQEAAA8AAAAAAAAAAQAgAAAAIgAAAGRycy9kb3ducmV2&#10;LnhtbFBLAQIUABQAAAAIAIdO4kA2qagPxgEAAH0DAAAOAAAAAAAAAAEAIAAAACQBAABkcnMvZTJv&#10;RG9jLnhtbFBLBQYAAAAABgAGAFkBAABcBQAAAAA=&#10;">
                        <v:fill on="f" focussize="0,0"/>
                        <v:stroke on="f"/>
                        <v:imagedata o:title=""/>
                        <o:lock v:ext="edit" aspectratio="f"/>
                        <v:textbox inset="0mm,0mm,0mm,0mm">
                          <w:txbxContent>
                            <w:p w14:paraId="448D7165">
                              <w:pPr>
                                <w:spacing w:line="360" w:lineRule="exact"/>
                                <w:jc w:val="center"/>
                                <w:rPr>
                                  <w:sz w:val="21"/>
                                  <w:szCs w:val="21"/>
                                </w:rPr>
                              </w:pPr>
                              <w:r>
                                <w:rPr>
                                  <w:rFonts w:hint="eastAsia"/>
                                  <w:sz w:val="21"/>
                                  <w:szCs w:val="21"/>
                                </w:rPr>
                                <w:t>0.16</w:t>
                              </w:r>
                            </w:p>
                          </w:txbxContent>
                        </v:textbox>
                      </v:shape>
                      <v:shape id="_x0000_s1026" o:spid="_x0000_s1026" o:spt="202" type="#_x0000_t202" style="position:absolute;left:1580515;top:325120;height:247650;width:368935;"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ylfl9UAAAAFAQAADwAAAAAAAAABACAAAAAiAAAAZHJzL2Rvd25yZXYu&#10;eG1sUEsBAhQAFAAAAAgAh07iQBrpD+TFAQAAfgMAAA4AAAAAAAAAAQAgAAAAJAEAAGRycy9lMm9E&#10;b2MueG1sUEsFBgAAAAAGAAYAWQEAAFsFAAAAAA==&#10;">
                        <v:fill on="f" focussize="0,0"/>
                        <v:stroke on="f"/>
                        <v:imagedata o:title=""/>
                        <o:lock v:ext="edit" aspectratio="f"/>
                        <v:textbox inset="0mm,0mm,0mm,0mm">
                          <w:txbxContent>
                            <w:p w14:paraId="2DB3B865">
                              <w:pPr>
                                <w:spacing w:line="360" w:lineRule="exact"/>
                                <w:jc w:val="center"/>
                                <w:rPr>
                                  <w:sz w:val="21"/>
                                  <w:szCs w:val="21"/>
                                </w:rPr>
                              </w:pPr>
                              <w:r>
                                <w:rPr>
                                  <w:rFonts w:hint="eastAsia"/>
                                  <w:sz w:val="21"/>
                                  <w:szCs w:val="21"/>
                                </w:rPr>
                                <w:t>0.2</w:t>
                              </w:r>
                            </w:p>
                          </w:txbxContent>
                        </v:textbox>
                      </v:shape>
                      <v:line id="_x0000_s1026" o:spid="_x0000_s1026" o:spt="20" style="position:absolute;left:3172460;top:622935;height:1270;width:264160;" filled="f" stroked="t" coordsize="21600,21600" o:gfxdata="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f1oB91gAAAAUBAAAPAAAAAAAAAAEAIAAAACIAAABkcnMvZG93bnJldi54&#10;bWxQSwECFAAUAAAACACHTuJAzFgtyvwBAADmAwAADgAAAAAAAAABACAAAAAlAQAAZHJzL2Uyb0Rv&#10;Yy54bWxQSwUGAAAAAAYABgBZAQAAkwUAAAAA&#10;">
                        <v:fill on="f" focussize="0,0"/>
                        <v:stroke color="#000000" joinstyle="round" dashstyle="dash"/>
                        <v:imagedata o:title=""/>
                        <o:lock v:ext="edit" aspectratio="f"/>
                      </v:line>
                      <v:line id="_x0000_s1026" o:spid="_x0000_s1026" o:spt="20" style="position:absolute;left:3417570;top:643255;height:342265;width:3175;" filled="f" stroked="t" coordsize="21600,21600" o:gfxdata="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WgH3WAAAABQEAAA8AAAAAAAAAAQAgAAAAIgAAAGRycy9kb3ducmV2Lnht&#10;bFBLAQIUABQAAAAIAIdO4kAl9L7W+wEAAOYDAAAOAAAAAAAAAAEAIAAAACUBAABkcnMvZTJvRG9j&#10;LnhtbFBLBQYAAAAABgAGAFkBAACSBQAAAAA=&#10;">
                        <v:fill on="f" focussize="0,0"/>
                        <v:stroke color="#000000" joinstyle="round" dashstyle="dash"/>
                        <v:imagedata o:title=""/>
                        <o:lock v:ext="edit" aspectratio="f"/>
                      </v:line>
                      <v:line id="_x0000_s1026" o:spid="_x0000_s1026" o:spt="20" style="position:absolute;left:2487930;top:975360;height:635;width:929640;" filled="f" stroked="t" coordsize="21600,21600" o:gfxdata="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39aAfdYAAAAFAQAADwAAAAAAAAABACAAAAAiAAAAZHJzL2Rvd25yZXYueG1s&#10;UEsBAhQAFAAAAAgAh07iQA/T/Ff6AQAA5QMAAA4AAAAAAAAAAQAgAAAAJQEAAGRycy9lMm9Eb2Mu&#10;eG1sUEsFBgAAAAAGAAYAWQEAAJEFAAAAAA==&#10;">
                        <v:fill on="f" focussize="0,0"/>
                        <v:stroke color="#000000" joinstyle="round" dashstyle="dash"/>
                        <v:imagedata o:title=""/>
                        <o:lock v:ext="edit" aspectratio="f"/>
                      </v:line>
                      <v:line id="_x0000_s1026" o:spid="_x0000_s1026" o:spt="20" style="position:absolute;left:2496185;top:708660;height:273685;width:635;" filled="f" stroked="t" coordsize="21600,21600" o:gfxdata="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MW6tgAAAAFAQAADwAAAAAAAAABACAAAAAiAAAAZHJzL2Rv&#10;d25yZXYueG1sUEsBAhQAFAAAAAgAh07iQAMDC+kBAgAA6QMAAA4AAAAAAAAAAQAgAAAAJwEAAGRy&#10;cy9lMm9Eb2MueG1sUEsFBgAAAAAGAAYAWQEAAJoFAAAAAA==&#10;">
                        <v:fill on="f" focussize="0,0"/>
                        <v:stroke color="#000000" joinstyle="round" dashstyle="dash" startarrow="block"/>
                        <v:imagedata o:title=""/>
                        <o:lock v:ext="edit" aspectratio="f"/>
                      </v:line>
                      <v:shape id="_x0000_s1026" o:spid="_x0000_s1026" o:spt="202" type="#_x0000_t202" style="position:absolute;left:2685415;top:753745;height:228600;width:472440;"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spX5fVAAAABQEAAA8AAAAAAAAAAQAgAAAAIgAAAGRycy9kb3ducmV2&#10;LnhtbFBLAQIUABQAAAAIAIdO4kCCA2w8xgEAAH4DAAAOAAAAAAAAAAEAIAAAACQBAABkcnMvZTJv&#10;RG9jLnhtbFBLBQYAAAAABgAGAFkBAABcBQAAAAA=&#10;">
                        <v:fill on="f" focussize="0,0"/>
                        <v:stroke on="f"/>
                        <v:imagedata o:title=""/>
                        <o:lock v:ext="edit" aspectratio="f"/>
                        <v:textbox inset="0mm,0mm,0mm,0mm">
                          <w:txbxContent>
                            <w:p w14:paraId="2C742F5C">
                              <w:pPr>
                                <w:spacing w:line="360" w:lineRule="exact"/>
                                <w:jc w:val="center"/>
                                <w:rPr>
                                  <w:sz w:val="21"/>
                                  <w:szCs w:val="21"/>
                                </w:rPr>
                              </w:pPr>
                              <w:r>
                                <w:rPr>
                                  <w:rFonts w:hint="eastAsia"/>
                                  <w:sz w:val="21"/>
                                  <w:szCs w:val="21"/>
                                </w:rPr>
                                <w:t>1.0</w:t>
                              </w:r>
                            </w:p>
                          </w:txbxContent>
                        </v:textbox>
                      </v:shape>
                      <v:line id="_x0000_s1026" o:spid="_x0000_s1026" o:spt="20" style="position:absolute;left:723265;top:2599055;height:0;width:533400;" filled="f" stroked="t" coordsize="21600,21600" o:gfxdata="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c7+8zXAAAABQEAAA8AAAAAAAAAAQAgAAAAIgAAAGRycy9k&#10;b3ducmV2LnhtbFBLAQIUABQAAAAIAIdO4kDt+d40AwIAAOgDAAAOAAAAAAAAAAEAIAAAACYBAABk&#10;cnMvZTJvRG9jLnhtbFBLBQYAAAAABgAGAFkBAACbBQAAAAA=&#10;">
                        <v:fill on="f" focussize="0,0"/>
                        <v:stroke color="#000000" joinstyle="round" endarrow="block"/>
                        <v:imagedata o:title=""/>
                        <o:lock v:ext="edit" aspectratio="f"/>
                      </v:line>
                      <v:shape id="_x0000_s1026" o:spid="_x0000_s1026" o:spt="202" type="#_x0000_t202" style="position:absolute;left:812165;top:2383155;height:228600;width:292100;"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spX5fVAAAABQEAAA8AAAAAAAAAAQAgAAAAIgAAAGRycy9kb3ducmV2&#10;LnhtbFBLAQIUABQAAAAIAIdO4kDPHQbSxgEAAH4DAAAOAAAAAAAAAAEAIAAAACQBAABkcnMvZTJv&#10;RG9jLnhtbFBLBQYAAAAABgAGAFkBAABcBQAAAAA=&#10;">
                        <v:fill on="f" focussize="0,0"/>
                        <v:stroke on="f"/>
                        <v:imagedata o:title=""/>
                        <o:lock v:ext="edit" aspectratio="f"/>
                        <v:textbox inset="0mm,0mm,0mm,0mm">
                          <w:txbxContent>
                            <w:p w14:paraId="02D9EF74">
                              <w:pPr>
                                <w:spacing w:line="360" w:lineRule="exact"/>
                                <w:jc w:val="center"/>
                                <w:rPr>
                                  <w:sz w:val="21"/>
                                  <w:szCs w:val="21"/>
                                </w:rPr>
                              </w:pPr>
                              <w:r>
                                <w:rPr>
                                  <w:rFonts w:hint="eastAsia"/>
                                  <w:sz w:val="21"/>
                                  <w:szCs w:val="21"/>
                                </w:rPr>
                                <w:t>4.2</w:t>
                              </w:r>
                            </w:p>
                          </w:txbxContent>
                        </v:textbox>
                      </v:shape>
                      <v:line id="_x0000_s1026" o:spid="_x0000_s1026" o:spt="20" style="position:absolute;left:3171190;top:551180;height:0;width:533400;" filled="f" stroked="t" coordsize="21600,21600" o:gfxdata="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3O/vM1wAAAAUBAAAPAAAAAAAAAAEAIAAAACIAAABkcnMvZG93&#10;bnJldi54bWxQSwECFAAUAAAACACHTuJAgN7KagECAADoAwAADgAAAAAAAAABACAAAAAmAQAAZHJz&#10;L2Uyb0RvYy54bWxQSwUGAAAAAAYABgBZAQAAmQUAAAAA&#10;">
                        <v:fill on="f" focussize="0,0"/>
                        <v:stroke color="#000000" joinstyle="round" endarrow="block"/>
                        <v:imagedata o:title=""/>
                        <o:lock v:ext="edit" aspectratio="f"/>
                      </v:line>
                      <v:line id="_x0000_s1026" o:spid="_x0000_s1026" o:spt="20" style="position:absolute;left:1494790;top:1665605;height:0;width:533400;" filled="f" stroked="t" coordsize="21600,21600" o:gfxdata="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c7+8zXAAAABQEAAA8AAAAAAAAAAQAgAAAAIgAAAGRycy9k&#10;b3ducmV2LnhtbFBLAQIUABQAAAAIAIdO4kAlbB30AwIAAOkDAAAOAAAAAAAAAAEAIAAAACYBAABk&#10;cnMvZTJvRG9jLnhtbFBLBQYAAAAABgAGAFkBAACbBQAAAAA=&#10;">
                        <v:fill on="f" focussize="0,0"/>
                        <v:stroke color="#000000" joinstyle="round" endarrow="block"/>
                        <v:imagedata o:title=""/>
                        <o:lock v:ext="edit" aspectratio="f"/>
                      </v:line>
                      <v:shape id="_x0000_s1026" o:spid="_x0000_s1026" o:spt="202" type="#_x0000_t202" style="position:absolute;left:2035810;top:1400175;height:497840;width:1120140;" fillcolor="#FFFFFF" filled="t" stroked="t" coordsize="21600,21600" o:gfxdata="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GRcD&#10;LNYAAAAFAQAADwAAAAAAAAABACAAAAAiAAAAZHJzL2Rvd25yZXYueG1sUEsBAhQAFAAAAAgAh07i&#10;QC56yJYkAgAAaAQAAA4AAAAAAAAAAQAgAAAAJQEAAGRycy9lMm9Eb2MueG1sUEsFBgAAAAAGAAYA&#10;WQEAALsFAAAAAA==&#10;">
                        <v:fill on="t" focussize="0,0"/>
                        <v:stroke color="#000000" joinstyle="miter"/>
                        <v:imagedata o:title=""/>
                        <o:lock v:ext="edit" aspectratio="f"/>
                        <v:textbox inset="0mm,0mm,0mm,0mm">
                          <w:txbxContent>
                            <w:p w14:paraId="069C172D">
                              <w:pPr>
                                <w:spacing w:line="360" w:lineRule="exact"/>
                                <w:jc w:val="center"/>
                                <w:rPr>
                                  <w:sz w:val="21"/>
                                  <w:szCs w:val="21"/>
                                </w:rPr>
                              </w:pPr>
                              <w:r>
                                <w:rPr>
                                  <w:rFonts w:hint="eastAsia"/>
                                  <w:sz w:val="21"/>
                                  <w:szCs w:val="21"/>
                                </w:rPr>
                                <w:t>维修车间地面</w:t>
                              </w:r>
                            </w:p>
                            <w:p w14:paraId="2D5B224C">
                              <w:pPr>
                                <w:spacing w:line="360" w:lineRule="exact"/>
                                <w:jc w:val="center"/>
                                <w:rPr>
                                  <w:sz w:val="21"/>
                                  <w:szCs w:val="21"/>
                                </w:rPr>
                              </w:pPr>
                              <w:r>
                                <w:rPr>
                                  <w:sz w:val="21"/>
                                  <w:szCs w:val="21"/>
                                </w:rPr>
                                <w:t>清洗用水</w:t>
                              </w:r>
                            </w:p>
                          </w:txbxContent>
                        </v:textbox>
                      </v:shape>
                      <v:shape id="_x0000_s1026" o:spid="_x0000_s1026" o:spt="100" style="position:absolute;left:2494280;top:1247140;height:165100;width:279400;" filled="f" stroked="t" coordsize="630,468" o:gfxdata="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AEBOKH1gAAAAUBAAAPAAAAAAAA&#10;AAEAIAAAACIAAABkcnMvZG93bnJldi54bWxQSwECFAAUAAAACACHTuJATfrqzb8CAAAfBgAADgAA&#10;AAAAAAABACAAAAAlAQAAZHJzL2Uyb0RvYy54bWxQSwUGAAAAAAYABgBZAQAAVgYAAAAA&#10;" path="m0,468c78,338,157,208,210,156c263,104,298,130,315,156c332,182,262,338,315,312c368,286,577,52,630,0e">
                        <v:fill on="f" focussize="0,0"/>
                        <v:stroke color="#000000" joinstyle="round" endarrow="block"/>
                        <v:imagedata o:title=""/>
                        <o:lock v:ext="edit" aspectratio="f"/>
                      </v:shape>
                      <v:shape id="_x0000_s1026" o:spid="_x0000_s1026" o:spt="202" type="#_x0000_t202" style="position:absolute;left:2561590;top:1029335;height:219075;width:473710;"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7KV+X1QAAAAUBAAAPAAAAAAAAAAEAIAAAACIAAABkcnMvZG93bnJl&#10;di54bWxQSwECFAAUAAAACACHTuJA5qu7BccBAAB/AwAADgAAAAAAAAABACAAAAAkAQAAZHJzL2Uy&#10;b0RvYy54bWxQSwUGAAAAAAYABgBZAQAAXQUAAAAA&#10;">
                        <v:fill on="f" focussize="0,0"/>
                        <v:stroke on="f"/>
                        <v:imagedata o:title=""/>
                        <o:lock v:ext="edit" aspectratio="f"/>
                        <v:textbox inset="0mm,0mm,0mm,0mm">
                          <w:txbxContent>
                            <w:p w14:paraId="357D9039">
                              <w:pPr>
                                <w:spacing w:line="360" w:lineRule="exact"/>
                                <w:jc w:val="center"/>
                                <w:rPr>
                                  <w:sz w:val="21"/>
                                  <w:szCs w:val="21"/>
                                </w:rPr>
                              </w:pPr>
                              <w:r>
                                <w:rPr>
                                  <w:rFonts w:hint="eastAsia"/>
                                  <w:sz w:val="21"/>
                                  <w:szCs w:val="21"/>
                                </w:rPr>
                                <w:t>0.59</w:t>
                              </w:r>
                            </w:p>
                          </w:txbxContent>
                        </v:textbox>
                      </v:shape>
                      <v:shape id="_x0000_s1026" o:spid="_x0000_s1026" o:spt="202" type="#_x0000_t202" style="position:absolute;left:1551940;top:1430020;height:247650;width:330835;"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spX5fVAAAABQEAAA8AAAAAAAAAAQAgAAAAIgAAAGRycy9kb3ducmV2&#10;LnhtbFBLAQIUABQAAAAIAIdO4kAtJLZzxgEAAH8DAAAOAAAAAAAAAAEAIAAAACQBAABkcnMvZTJv&#10;RG9jLnhtbFBLBQYAAAAABgAGAFkBAABcBQAAAAA=&#10;">
                        <v:fill on="f" focussize="0,0"/>
                        <v:stroke on="f"/>
                        <v:imagedata o:title=""/>
                        <o:lock v:ext="edit" aspectratio="f"/>
                        <v:textbox inset="0mm,0mm,0mm,0mm">
                          <w:txbxContent>
                            <w:p w14:paraId="5029E6AF">
                              <w:pPr>
                                <w:spacing w:line="360" w:lineRule="exact"/>
                                <w:jc w:val="center"/>
                                <w:rPr>
                                  <w:sz w:val="21"/>
                                  <w:szCs w:val="21"/>
                                </w:rPr>
                              </w:pPr>
                              <w:r>
                                <w:rPr>
                                  <w:rFonts w:hint="eastAsia"/>
                                  <w:sz w:val="21"/>
                                  <w:szCs w:val="21"/>
                                </w:rPr>
                                <w:t>5.85</w:t>
                              </w:r>
                            </w:p>
                          </w:txbxContent>
                        </v:textbox>
                      </v:shape>
                      <v:line id="_x0000_s1026" o:spid="_x0000_s1026" o:spt="20" style="position:absolute;left:3171190;top:1637030;height:0;width:533400;" filled="f" stroked="t" coordsize="21600,21600" o:gfxdata="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c7+8zXAAAABQEAAA8AAAAAAAAAAQAgAAAAIgAAAGRycy9k&#10;b3ducmV2LnhtbFBLAQIUABQAAAAIAIdO4kDN17fuAwIAAOkDAAAOAAAAAAAAAAEAIAAAACYBAABk&#10;cnMvZTJvRG9jLnhtbFBLBQYAAAAABgAGAFkBAACbBQAAAAA=&#10;">
                        <v:fill on="f" focussize="0,0"/>
                        <v:stroke color="#000000" joinstyle="round" endarrow="block"/>
                        <v:imagedata o:title=""/>
                        <o:lock v:ext="edit" aspectratio="f"/>
                      </v:line>
                      <v:shape id="_x0000_s1026" o:spid="_x0000_s1026" o:spt="202" type="#_x0000_t202" style="position:absolute;left:3209290;top:296545;height:247650;width:368935;"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7KV+X1QAAAAUBAAAPAAAAAAAAAAEAIAAAACIAAABkcnMvZG93bnJl&#10;di54bWxQSwECFAAUAAAACACHTuJAtDW6fscBAAB+AwAADgAAAAAAAAABACAAAAAkAQAAZHJzL2Uy&#10;b0RvYy54bWxQSwUGAAAAAAYABgBZAQAAXQUAAAAA&#10;">
                        <v:fill on="f" focussize="0,0"/>
                        <v:stroke on="f"/>
                        <v:imagedata o:title=""/>
                        <o:lock v:ext="edit" aspectratio="f"/>
                        <v:textbox inset="0mm,0mm,0mm,0mm">
                          <w:txbxContent>
                            <w:p w14:paraId="7B8C110E">
                              <w:pPr>
                                <w:spacing w:line="360" w:lineRule="exact"/>
                                <w:jc w:val="center"/>
                                <w:rPr>
                                  <w:sz w:val="21"/>
                                  <w:szCs w:val="21"/>
                                </w:rPr>
                              </w:pPr>
                              <w:r>
                                <w:rPr>
                                  <w:rFonts w:hint="eastAsia"/>
                                  <w:sz w:val="21"/>
                                  <w:szCs w:val="21"/>
                                </w:rPr>
                                <w:t>0.04</w:t>
                              </w:r>
                            </w:p>
                          </w:txbxContent>
                        </v:textbox>
                      </v:shape>
                      <v:shape id="_x0000_s1026" o:spid="_x0000_s1026" o:spt="202" type="#_x0000_t202" style="position:absolute;left:3152140;top:1410335;height:219075;width:473710;"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7KV+X1QAAAAUBAAAPAAAAAAAAAAEAIAAAACIAAABkcnMvZG93bnJl&#10;di54bWxQSwECFAAUAAAACACHTuJAL7nt78cBAAB/AwAADgAAAAAAAAABACAAAAAkAQAAZHJzL2Uy&#10;b0RvYy54bWxQSwUGAAAAAAYABgBZAQAAXQUAAAAA&#10;">
                        <v:fill on="f" focussize="0,0"/>
                        <v:stroke on="f"/>
                        <v:imagedata o:title=""/>
                        <o:lock v:ext="edit" aspectratio="f"/>
                        <v:textbox inset="0mm,0mm,0mm,0mm">
                          <w:txbxContent>
                            <w:p w14:paraId="7AE7C684">
                              <w:pPr>
                                <w:spacing w:line="360" w:lineRule="exact"/>
                                <w:jc w:val="center"/>
                                <w:rPr>
                                  <w:sz w:val="21"/>
                                  <w:szCs w:val="21"/>
                                </w:rPr>
                              </w:pPr>
                              <w:r>
                                <w:rPr>
                                  <w:rFonts w:hint="eastAsia"/>
                                  <w:sz w:val="21"/>
                                  <w:szCs w:val="21"/>
                                </w:rPr>
                                <w:t>5.26</w:t>
                              </w:r>
                            </w:p>
                          </w:txbxContent>
                        </v:textbox>
                      </v:shape>
                      <v:shape id="_x0000_s1026" o:spid="_x0000_s1026" o:spt="202" type="#_x0000_t202" style="position:absolute;left:19685;top:2467610;height:259715;width:692785;" fillcolor="#FFFFFF" filled="t" stroked="t" coordsize="21600,21600" o:gfxdata="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GRcDLNYA&#10;AAAFAQAADwAAAAAAAAABACAAAAAiAAAAZHJzL2Rvd25yZXYueG1sUEsBAhQAFAAAAAgAh07iQNeh&#10;ML0hAgAAZQQAAA4AAAAAAAAAAQAgAAAAJQEAAGRycy9lMm9Eb2MueG1sUEsFBgAAAAAGAAYAWQEA&#10;ALgFAAAAAA==&#10;">
                        <v:fill on="t" focussize="0,0"/>
                        <v:stroke color="#000000" joinstyle="miter"/>
                        <v:imagedata o:title=""/>
                        <o:lock v:ext="edit" aspectratio="f"/>
                        <v:textbox inset="0mm,0mm,0mm,0mm">
                          <w:txbxContent>
                            <w:p w14:paraId="359A5041">
                              <w:pPr>
                                <w:spacing w:line="360" w:lineRule="exact"/>
                                <w:jc w:val="center"/>
                              </w:pPr>
                              <w:r>
                                <w:rPr>
                                  <w:rFonts w:hint="eastAsia"/>
                                  <w:sz w:val="21"/>
                                  <w:szCs w:val="21"/>
                                </w:rPr>
                                <w:t>新鲜水</w:t>
                              </w:r>
                            </w:p>
                          </w:txbxContent>
                        </v:textbox>
                      </v:shape>
                      <v:line id="_x0000_s1026" o:spid="_x0000_s1026" o:spt="20" style="position:absolute;left:2161540;top:2599055;height:0;width:533400;" filled="f" stroked="t" coordsize="21600,21600" o:gfxdata="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c7+8zXAAAABQEAAA8AAAAAAAAAAQAgAAAAIgAAAGRycy9k&#10;b3ducmV2LnhtbFBLAQIUABQAAAAIAIdO4kCNV1cYAwIAAOkDAAAOAAAAAAAAAAEAIAAAACYBAABk&#10;cnMvZTJvRG9jLnhtbFBLBQYAAAAABgAGAFkBAACbBQAAAAA=&#10;">
                        <v:fill on="f" focussize="0,0"/>
                        <v:stroke color="#000000" joinstyle="round" endarrow="block"/>
                        <v:imagedata o:title=""/>
                        <o:lock v:ext="edit" aspectratio="f"/>
                      </v:line>
                      <v:shape id="_x0000_s1026" o:spid="_x0000_s1026" o:spt="202" type="#_x0000_t202" style="position:absolute;left:2693035;top:2457450;height:289560;width:691194;" fillcolor="#FFFFFF" filled="t" stroked="t" coordsize="21600,21600" o:gfxdata="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GRcDLNYAAAAFAQAADwAAAAAAAAABACAAAAAiAAAAZHJzL2Rvd25yZXYueG1sUEsBAhQAFAAAAAgA&#10;h07iQCQX1UUnAgAAZwQAAA4AAAAAAAAAAQAgAAAAJQEAAGRycy9lMm9Eb2MueG1sUEsFBgAAAAAG&#10;AAYAWQEAAL4FAAAAAA==&#10;">
                        <v:fill on="t" focussize="0,0"/>
                        <v:stroke color="#000000" joinstyle="miter"/>
                        <v:imagedata o:title=""/>
                        <o:lock v:ext="edit" aspectratio="f"/>
                        <v:textbox inset="0mm,0mm,0mm,0mm">
                          <w:txbxContent>
                            <w:p w14:paraId="312623B1">
                              <w:pPr>
                                <w:spacing w:line="360" w:lineRule="exact"/>
                                <w:jc w:val="center"/>
                                <w:rPr>
                                  <w:sz w:val="21"/>
                                  <w:szCs w:val="21"/>
                                </w:rPr>
                              </w:pPr>
                              <w:r>
                                <w:rPr>
                                  <w:rFonts w:hint="eastAsia"/>
                                  <w:sz w:val="21"/>
                                  <w:szCs w:val="21"/>
                                </w:rPr>
                                <w:t>化粪池</w:t>
                              </w:r>
                            </w:p>
                          </w:txbxContent>
                        </v:textbox>
                      </v:shape>
                      <v:shape id="_x0000_s1026" o:spid="_x0000_s1026" o:spt="202" type="#_x0000_t202" style="position:absolute;left:2160905;top:2381250;height:219075;width:491490;"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spX5fVAAAABQEAAA8AAAAAAAAAAQAgAAAAIgAAAGRycy9kb3ducmV2&#10;LnhtbFBLAQIUABQAAAAIAIdO4kDuGgxpxgEAAIEDAAAOAAAAAAAAAAEAIAAAACQBAABkcnMvZTJv&#10;RG9jLnhtbFBLBQYAAAAABgAGAFkBAABcBQAAAAA=&#10;">
                        <v:fill on="f" focussize="0,0"/>
                        <v:stroke on="f"/>
                        <v:imagedata o:title=""/>
                        <o:lock v:ext="edit" aspectratio="f"/>
                        <v:textbox inset="0mm,0mm,0mm,0mm">
                          <w:txbxContent>
                            <w:p w14:paraId="031783DE">
                              <w:pPr>
                                <w:spacing w:line="360" w:lineRule="exact"/>
                                <w:jc w:val="center"/>
                                <w:rPr>
                                  <w:sz w:val="21"/>
                                  <w:szCs w:val="21"/>
                                </w:rPr>
                              </w:pPr>
                              <w:r>
                                <w:rPr>
                                  <w:rFonts w:hint="eastAsia"/>
                                  <w:sz w:val="21"/>
                                  <w:szCs w:val="21"/>
                                </w:rPr>
                                <w:t>3.36</w:t>
                              </w:r>
                            </w:p>
                          </w:txbxContent>
                        </v:textbox>
                      </v:shape>
                      <v:shape id="_x0000_s1026" o:spid="_x0000_s1026" o:spt="202" type="#_x0000_t202" style="position:absolute;left:3484880;top:2390775;height:219075;width:424815;"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7KV+X1QAAAAUBAAAPAAAAAAAAAAEAIAAAACIAAABkcnMvZG93bnJl&#10;di54bWxQSwECFAAUAAAACACHTuJANcGsKscBAACBAwAADgAAAAAAAAABACAAAAAkAQAAZHJzL2Uy&#10;b0RvYy54bWxQSwUGAAAAAAYABgBZAQAAXQUAAAAA&#10;">
                        <v:fill on="f" focussize="0,0"/>
                        <v:stroke on="f"/>
                        <v:imagedata o:title=""/>
                        <o:lock v:ext="edit" aspectratio="f"/>
                        <v:textbox inset="0mm,0mm,0mm,0mm">
                          <w:txbxContent>
                            <w:p w14:paraId="504DCA71">
                              <w:pPr>
                                <w:spacing w:line="360" w:lineRule="exact"/>
                                <w:jc w:val="center"/>
                                <w:rPr>
                                  <w:sz w:val="21"/>
                                  <w:szCs w:val="21"/>
                                </w:rPr>
                              </w:pPr>
                              <w:r>
                                <w:rPr>
                                  <w:rFonts w:hint="eastAsia"/>
                                  <w:sz w:val="21"/>
                                  <w:szCs w:val="21"/>
                                </w:rPr>
                                <w:t>3.36</w:t>
                              </w:r>
                            </w:p>
                          </w:txbxContent>
                        </v:textbox>
                      </v:shape>
                      <v:line id="_x0000_s1026" o:spid="_x0000_s1026" o:spt="20" style="position:absolute;left:3703320;top:542290;flip:x;height:1101725;width:0;" filled="f" stroked="t" coordsize="21600,21600" o:gfxdata="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iHlXAtQAAAAFAQAADwAAAAAAAAABACAAAAAiAAAAZHJzL2Rvd25y&#10;ZXYueG1sUEsBAhQAFAAAAAgAh07iQLuyqfcCAgAA8QMAAA4AAAAAAAAAAQAgAAAAIwEAAGRycy9l&#10;Mm9Eb2MueG1sUEsFBgAAAAAGAAYAWQEAAJcFAAAAAA==&#10;">
                        <v:fill on="f" focussize="0,0"/>
                        <v:stroke color="#000000" joinstyle="round"/>
                        <v:imagedata o:title=""/>
                        <o:lock v:ext="edit" aspectratio="f"/>
                      </v:line>
                      <v:line id="_x0000_s1026" o:spid="_x0000_s1026" o:spt="20" style="position:absolute;left:3703955;top:1036955;height:0;width:539750;" filled="f" stroked="t" coordsize="21600,21600" o:gfxdata="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3O/vM1wAAAAUBAAAPAAAAAAAAAAEAIAAAACIAAABkcnMvZG93&#10;bnJldi54bWxQSwECFAAUAAAACACHTuJA4EnAvAECAADrAwAADgAAAAAAAAABACAAAAAmAQAAZHJz&#10;L2Uyb0RvYy54bWxQSwUGAAAAAAYABgBZAQAAmQUAAAAA&#10;">
                        <v:fill on="f" focussize="0,0"/>
                        <v:stroke color="#000000" joinstyle="round" endarrow="block"/>
                        <v:imagedata o:title=""/>
                        <o:lock v:ext="edit" aspectratio="f"/>
                      </v:line>
                      <v:shape id="_x0000_s1026" o:spid="_x0000_s1026" o:spt="202" type="#_x0000_t202" style="position:absolute;left:4255135;top:895350;height:289560;width:871220;" fillcolor="#FFFFFF" filled="t" stroked="t" coordsize="21600,21600" o:gfxdata="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GRcDLNYAAAAFAQAADwAAAAAAAAABACAAAAAiAAAAZHJzL2Rvd25yZXYueG1sUEsBAhQAFAAAAAgA&#10;h07iQFiny6AnAgAAaAQAAA4AAAAAAAAAAQAgAAAAJQEAAGRycy9lMm9Eb2MueG1sUEsFBgAAAAAG&#10;AAYAWQEAAL4FAAAAAA==&#10;">
                        <v:fill on="t" focussize="0,0"/>
                        <v:stroke color="#000000" joinstyle="miter"/>
                        <v:imagedata o:title=""/>
                        <o:lock v:ext="edit" aspectratio="f"/>
                        <v:textbox inset="0mm,0mm,0mm,0mm">
                          <w:txbxContent>
                            <w:p w14:paraId="0868D705">
                              <w:pPr>
                                <w:spacing w:line="360" w:lineRule="exact"/>
                                <w:jc w:val="center"/>
                                <w:rPr>
                                  <w:sz w:val="21"/>
                                  <w:szCs w:val="21"/>
                                </w:rPr>
                              </w:pPr>
                              <w:r>
                                <w:rPr>
                                  <w:rFonts w:hint="eastAsia"/>
                                  <w:sz w:val="21"/>
                                  <w:szCs w:val="21"/>
                                </w:rPr>
                                <w:t>污水处理设施</w:t>
                              </w:r>
                            </w:p>
                          </w:txbxContent>
                        </v:textbox>
                      </v:shape>
                      <v:shape id="_x0000_s1026" o:spid="_x0000_s1026" o:spt="202" type="#_x0000_t202" style="position:absolute;left:3771265;top:791845;height:247650;width:368935;"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uylfl9UAAAAFAQAADwAAAAAAAAABACAAAAAiAAAAZHJzL2Rvd25y&#10;ZXYueG1sUEsBAhQAFAAAAAgAh07iQCh+C4/IAQAAgAMAAA4AAAAAAAAAAQAgAAAAJAEAAGRycy9l&#10;Mm9Eb2MueG1sUEsFBgAAAAAGAAYAWQEAAF4FAAAAAA==&#10;">
                        <v:fill on="f" focussize="0,0"/>
                        <v:stroke on="f"/>
                        <v:imagedata o:title=""/>
                        <o:lock v:ext="edit" aspectratio="f"/>
                        <v:textbox inset="0mm,0mm,0mm,0mm">
                          <w:txbxContent>
                            <w:p w14:paraId="294C53AC">
                              <w:pPr>
                                <w:spacing w:line="360" w:lineRule="exact"/>
                                <w:jc w:val="center"/>
                                <w:rPr>
                                  <w:sz w:val="21"/>
                                  <w:szCs w:val="21"/>
                                </w:rPr>
                              </w:pPr>
                              <w:r>
                                <w:rPr>
                                  <w:rFonts w:hint="eastAsia"/>
                                  <w:sz w:val="21"/>
                                  <w:szCs w:val="21"/>
                                </w:rPr>
                                <w:t>5.3</w:t>
                              </w:r>
                            </w:p>
                          </w:txbxContent>
                        </v:textbox>
                      </v:shape>
                      <v:line id="_x0000_s1026" o:spid="_x0000_s1026" o:spt="20" style="position:absolute;left:4674870;top:1189990;flip:x;height:496796;width:0;" filled="f" stroked="t" coordsize="21600,21600" o:gfxdata="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9Tbp/XAAAABQEAAA8AAAAAAAAAAQAgAAAAIgAA&#10;AGRycy9kb3ducmV2LnhtbFBLAQIUABQAAAAIAIdO4kBGXjPCCQIAAPUDAAAOAAAAAAAAAAEAIAAA&#10;ACYBAABkcnMvZTJvRG9jLnhtbFBLBQYAAAAABgAGAFkBAAChBQAAAAA=&#10;">
                        <v:fill on="f" focussize="0,0"/>
                        <v:stroke color="#000000" joinstyle="round" endarrow="block"/>
                        <v:imagedata o:title=""/>
                        <o:lock v:ext="edit" aspectratio="f"/>
                      </v:line>
                      <v:shape id="_x0000_s1026" o:spid="_x0000_s1026" o:spt="202" type="#_x0000_t202" style="position:absolute;left:4076065;top:2363470;height:513080;width:1034415;"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uylfl9UAAAAFAQAADwAAAAAAAAABACAAAAAiAAAAZHJzL2Rvd25y&#10;ZXYueG1sUEsBAhQAFAAAAAgAh07iQJnCq7TIAQAAggMAAA4AAAAAAAAAAQAgAAAAJAEAAGRycy9l&#10;Mm9Eb2MueG1sUEsFBgAAAAAGAAYAWQEAAF4FAAAAAA==&#10;">
                        <v:fill on="f" focussize="0,0"/>
                        <v:stroke on="f"/>
                        <v:imagedata o:title=""/>
                        <o:lock v:ext="edit" aspectratio="f"/>
                        <v:textbox inset="0mm,0mm,0mm,0mm">
                          <w:txbxContent>
                            <w:p w14:paraId="3E9BE267">
                              <w:pPr>
                                <w:spacing w:line="360" w:lineRule="exact"/>
                                <w:jc w:val="center"/>
                                <w:rPr>
                                  <w:rFonts w:hint="eastAsia"/>
                                  <w:sz w:val="21"/>
                                  <w:szCs w:val="21"/>
                                </w:rPr>
                              </w:pPr>
                              <w:r>
                                <w:rPr>
                                  <w:rFonts w:hint="eastAsia"/>
                                  <w:sz w:val="21"/>
                                  <w:szCs w:val="21"/>
                                </w:rPr>
                                <w:t>蒙西工业园区</w:t>
                              </w:r>
                            </w:p>
                            <w:p w14:paraId="0D0D92DB">
                              <w:pPr>
                                <w:spacing w:line="360" w:lineRule="exact"/>
                                <w:jc w:val="center"/>
                                <w:rPr>
                                  <w:sz w:val="21"/>
                                  <w:szCs w:val="21"/>
                                </w:rPr>
                              </w:pPr>
                              <w:r>
                                <w:rPr>
                                  <w:rFonts w:hint="eastAsia"/>
                                  <w:sz w:val="21"/>
                                  <w:szCs w:val="21"/>
                                  <w:lang w:val="en-US" w:eastAsia="zh-CN"/>
                                </w:rPr>
                                <w:t>生活</w:t>
                              </w:r>
                              <w:r>
                                <w:rPr>
                                  <w:rFonts w:hint="eastAsia"/>
                                  <w:sz w:val="21"/>
                                  <w:szCs w:val="21"/>
                                </w:rPr>
                                <w:t>污水处理厂</w:t>
                              </w:r>
                            </w:p>
                          </w:txbxContent>
                        </v:textbox>
                      </v:shape>
                      <v:line id="_x0000_s1026" o:spid="_x0000_s1026" o:spt="20" style="position:absolute;left:3390265;top:2604770;flip:y;height:0;width:680395;" filled="f" stroked="t" coordsize="21600,21600" o:gfxdata="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U26f1wAAAAUBAAAPAAAAAAAAAAEAIAAAACIA&#10;AABkcnMvZG93bnJldi54bWxQSwECFAAUAAAACACHTuJABqWJcwoCAADzAwAADgAAAAAAAAABACAA&#10;AAAmAQAAZHJzL2Uyb0RvYy54bWxQSwUGAAAAAAYABgBZAQAAogUAAAAA&#10;">
                        <v:fill on="f" focussize="0,0"/>
                        <v:stroke color="#000000" joinstyle="round" endarrow="block"/>
                        <v:imagedata o:title=""/>
                        <o:lock v:ext="edit" aspectratio="f"/>
                      </v:line>
                      <v:shape id="_x0000_s1026" o:spid="_x0000_s1026" o:spt="202" type="#_x0000_t202" style="position:absolute;left:4285615;top:1677670;height:456565;width:786765;" filled="f" stroked="f" coordsize="21600,21600" o:gfxdata="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ylfl9UAAAAFAQAADwAAAAAAAAABACAAAAAiAAAAZHJzL2Rvd25yZXYu&#10;eG1sUEsBAhQAFAAAAAgAh07iQLbUDm/FAQAAgQMAAA4AAAAAAAAAAQAgAAAAJAEAAGRycy9lMm9E&#10;b2MueG1sUEsFBgAAAAAGAAYAWQEAAFsFAAAAAA==&#10;">
                        <v:fill on="f" focussize="0,0"/>
                        <v:stroke on="f"/>
                        <v:imagedata o:title=""/>
                        <o:lock v:ext="edit" aspectratio="f"/>
                        <v:textbox inset="0mm,0mm,0mm,0mm">
                          <w:txbxContent>
                            <w:p w14:paraId="64D8803A">
                              <w:pPr>
                                <w:spacing w:line="360" w:lineRule="exact"/>
                                <w:jc w:val="center"/>
                                <w:rPr>
                                  <w:rFonts w:hint="eastAsia"/>
                                  <w:sz w:val="21"/>
                                  <w:szCs w:val="21"/>
                                  <w:lang w:val="en-US" w:eastAsia="zh-CN"/>
                                </w:rPr>
                              </w:pPr>
                              <w:r>
                                <w:rPr>
                                  <w:rFonts w:hint="eastAsia"/>
                                  <w:sz w:val="21"/>
                                  <w:szCs w:val="21"/>
                                  <w:lang w:val="en-US" w:eastAsia="zh-CN"/>
                                </w:rPr>
                                <w:t>厂区绿化、</w:t>
                              </w:r>
                            </w:p>
                            <w:p w14:paraId="70E862B3">
                              <w:pPr>
                                <w:spacing w:line="360" w:lineRule="exact"/>
                                <w:jc w:val="center"/>
                                <w:rPr>
                                  <w:rFonts w:hint="default" w:eastAsia="宋体"/>
                                  <w:sz w:val="21"/>
                                  <w:szCs w:val="21"/>
                                  <w:lang w:val="en-US" w:eastAsia="zh-CN"/>
                                </w:rPr>
                              </w:pPr>
                              <w:r>
                                <w:rPr>
                                  <w:rFonts w:hint="eastAsia"/>
                                  <w:sz w:val="21"/>
                                  <w:szCs w:val="21"/>
                                  <w:lang w:val="en-US" w:eastAsia="zh-CN"/>
                                </w:rPr>
                                <w:t>道路洒水</w:t>
                              </w:r>
                            </w:p>
                          </w:txbxContent>
                        </v:textbox>
                      </v:shape>
                      <w10:wrap type="none"/>
                      <w10:anchorlock/>
                    </v:group>
                  </w:pict>
                </mc:Fallback>
              </mc:AlternateContent>
            </w:r>
          </w:p>
          <w:p w14:paraId="649581BF">
            <w:pPr>
              <w:spacing w:line="500" w:lineRule="exact"/>
              <w:jc w:val="center"/>
              <w:rPr>
                <w:b/>
                <w:color w:val="auto"/>
                <w:lang w:bidi="ar"/>
              </w:rPr>
            </w:pPr>
            <w:r>
              <w:rPr>
                <w:b/>
                <w:color w:val="auto"/>
                <w:lang w:bidi="ar"/>
              </w:rPr>
              <w:t>图</w:t>
            </w:r>
            <w:r>
              <w:rPr>
                <w:rFonts w:hint="eastAsia"/>
                <w:b/>
                <w:color w:val="auto"/>
                <w:lang w:bidi="ar"/>
              </w:rPr>
              <w:t>2-</w:t>
            </w:r>
            <w:r>
              <w:rPr>
                <w:b/>
                <w:color w:val="auto"/>
                <w:lang w:bidi="ar"/>
              </w:rPr>
              <w:t>1     项目水平衡图（m</w:t>
            </w:r>
            <w:r>
              <w:rPr>
                <w:b/>
                <w:color w:val="auto"/>
                <w:vertAlign w:val="superscript"/>
                <w:lang w:bidi="ar"/>
              </w:rPr>
              <w:t>3</w:t>
            </w:r>
            <w:r>
              <w:rPr>
                <w:b/>
                <w:color w:val="auto"/>
                <w:lang w:bidi="ar"/>
              </w:rPr>
              <w:t>/d）</w:t>
            </w:r>
          </w:p>
          <w:p w14:paraId="49E3856F">
            <w:pPr>
              <w:pStyle w:val="10"/>
              <w:snapToGrid/>
              <w:spacing w:before="0" w:after="0" w:line="500" w:lineRule="exact"/>
              <w:ind w:right="0" w:firstLine="480" w:firstLineChars="200"/>
              <w:rPr>
                <w:color w:val="auto"/>
                <w:sz w:val="24"/>
                <w:szCs w:val="24"/>
              </w:rPr>
            </w:pPr>
            <w:r>
              <w:rPr>
                <w:rFonts w:hint="eastAsia"/>
                <w:color w:val="auto"/>
                <w:sz w:val="24"/>
                <w:szCs w:val="24"/>
              </w:rPr>
              <w:t>（2）供电</w:t>
            </w:r>
          </w:p>
          <w:p w14:paraId="5B7D8A37">
            <w:pPr>
              <w:pStyle w:val="10"/>
              <w:snapToGrid/>
              <w:spacing w:before="0" w:after="0" w:line="500" w:lineRule="exact"/>
              <w:ind w:right="0" w:firstLine="480" w:firstLineChars="200"/>
              <w:rPr>
                <w:color w:val="auto"/>
                <w:sz w:val="24"/>
                <w:szCs w:val="24"/>
              </w:rPr>
            </w:pPr>
            <w:r>
              <w:rPr>
                <w:rFonts w:hint="eastAsia"/>
                <w:color w:val="auto"/>
                <w:sz w:val="24"/>
                <w:szCs w:val="24"/>
              </w:rPr>
              <w:t>本项目用电依托园区供电管网。</w:t>
            </w:r>
          </w:p>
          <w:p w14:paraId="504A5259">
            <w:pPr>
              <w:spacing w:line="500" w:lineRule="exact"/>
              <w:ind w:firstLine="480" w:firstLineChars="200"/>
              <w:rPr>
                <w:color w:val="auto"/>
              </w:rPr>
            </w:pPr>
            <w:r>
              <w:rPr>
                <w:rFonts w:hint="eastAsia"/>
                <w:color w:val="auto"/>
              </w:rPr>
              <w:t>（3）供暖</w:t>
            </w:r>
          </w:p>
          <w:p w14:paraId="263BC909">
            <w:pPr>
              <w:spacing w:line="500" w:lineRule="exact"/>
              <w:ind w:firstLine="480" w:firstLineChars="200"/>
              <w:rPr>
                <w:color w:val="auto"/>
              </w:rPr>
            </w:pPr>
            <w:r>
              <w:rPr>
                <w:color w:val="auto"/>
                <w:lang w:bidi="ar"/>
              </w:rPr>
              <w:t>本项目供热来自园区集中供热。</w:t>
            </w:r>
          </w:p>
        </w:tc>
      </w:tr>
      <w:tr w14:paraId="0FF2DE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443" w:type="dxa"/>
            <w:tcBorders>
              <w:tl2br w:val="nil"/>
              <w:tr2bl w:val="nil"/>
            </w:tcBorders>
            <w:vAlign w:val="center"/>
          </w:tcPr>
          <w:p w14:paraId="4EE60596">
            <w:pPr>
              <w:pStyle w:val="21"/>
              <w:adjustRightInd w:val="0"/>
              <w:snapToGrid w:val="0"/>
              <w:spacing w:before="0" w:beforeAutospacing="0" w:after="0" w:afterAutospacing="0"/>
              <w:jc w:val="center"/>
              <w:rPr>
                <w:rFonts w:ascii="Times New Roman" w:hAnsi="Times New Roman"/>
                <w:color w:val="auto"/>
                <w:szCs w:val="24"/>
              </w:rPr>
            </w:pPr>
            <w:r>
              <w:rPr>
                <w:rFonts w:ascii="Times New Roman" w:hAnsi="Times New Roman"/>
                <w:color w:val="auto"/>
                <w:szCs w:val="24"/>
              </w:rPr>
              <w:t>工艺流程和产排污环节</w:t>
            </w:r>
          </w:p>
        </w:tc>
        <w:tc>
          <w:tcPr>
            <w:tcW w:w="8853" w:type="dxa"/>
            <w:tcBorders>
              <w:tl2br w:val="nil"/>
              <w:tr2bl w:val="nil"/>
            </w:tcBorders>
          </w:tcPr>
          <w:p w14:paraId="131654A0">
            <w:pPr>
              <w:pStyle w:val="24"/>
              <w:spacing w:after="0" w:line="500" w:lineRule="exact"/>
              <w:ind w:left="0" w:leftChars="0" w:firstLine="482" w:firstLineChars="200"/>
              <w:rPr>
                <w:b/>
                <w:bCs/>
                <w:color w:val="auto"/>
                <w:szCs w:val="24"/>
              </w:rPr>
            </w:pPr>
            <w:r>
              <w:rPr>
                <w:rFonts w:hint="eastAsia"/>
                <w:b/>
                <w:bCs/>
                <w:color w:val="auto"/>
                <w:szCs w:val="24"/>
              </w:rPr>
              <w:t>1、</w:t>
            </w:r>
            <w:r>
              <w:rPr>
                <w:b/>
                <w:bCs/>
                <w:color w:val="auto"/>
                <w:szCs w:val="24"/>
              </w:rPr>
              <w:t>施工期</w:t>
            </w:r>
          </w:p>
          <w:p w14:paraId="71C821F1">
            <w:pPr>
              <w:spacing w:line="500" w:lineRule="exact"/>
              <w:ind w:firstLine="480" w:firstLineChars="200"/>
              <w:rPr>
                <w:color w:val="auto"/>
              </w:rPr>
            </w:pPr>
            <w:r>
              <w:rPr>
                <w:rFonts w:hint="eastAsia"/>
                <w:color w:val="auto"/>
              </w:rPr>
              <w:t>施工期主要包括土建施工、基础施工、主体施工、设备安装等工程。对环境的影响主要表现为：施工过程产生的扬尘、施工废水、施工噪声、建筑垃圾等。</w:t>
            </w:r>
          </w:p>
          <w:p w14:paraId="48170256">
            <w:pPr>
              <w:spacing w:line="500" w:lineRule="exact"/>
              <w:ind w:firstLine="480" w:firstLineChars="200"/>
              <w:rPr>
                <w:color w:val="auto"/>
              </w:rPr>
            </w:pPr>
            <w:r>
              <w:rPr>
                <w:color w:val="auto"/>
              </w:rPr>
              <w:t>施工期</w:t>
            </w:r>
            <w:r>
              <w:rPr>
                <w:rFonts w:hint="eastAsia"/>
                <w:color w:val="auto"/>
              </w:rPr>
              <w:t>工艺流程</w:t>
            </w:r>
            <w:r>
              <w:rPr>
                <w:color w:val="auto"/>
              </w:rPr>
              <w:t>及产污环节见图</w:t>
            </w:r>
            <w:r>
              <w:rPr>
                <w:rFonts w:hint="eastAsia"/>
                <w:color w:val="auto"/>
                <w:kern w:val="0"/>
                <w:szCs w:val="20"/>
              </w:rPr>
              <w:t>2-2</w:t>
            </w:r>
            <w:r>
              <w:rPr>
                <w:color w:val="auto"/>
              </w:rPr>
              <w:t>。</w:t>
            </w:r>
          </w:p>
          <w:p w14:paraId="2E1EA043">
            <w:pPr>
              <w:adjustRightInd w:val="0"/>
              <w:snapToGrid w:val="0"/>
              <w:jc w:val="center"/>
              <w:rPr>
                <w:b/>
                <w:bCs/>
                <w:color w:val="auto"/>
                <w:kern w:val="0"/>
              </w:rPr>
            </w:pPr>
            <w:r>
              <w:rPr>
                <w:color w:val="auto"/>
              </w:rPr>
              <mc:AlternateContent>
                <mc:Choice Requires="wpc">
                  <w:drawing>
                    <wp:inline distT="0" distB="0" distL="114300" distR="114300">
                      <wp:extent cx="4563745" cy="1098550"/>
                      <wp:effectExtent l="0" t="0" r="0" b="3810"/>
                      <wp:docPr id="79" name="画布 79"/>
                      <wp:cNvGraphicFramePr/>
                      <a:graphic xmlns:a="http://schemas.openxmlformats.org/drawingml/2006/main">
                        <a:graphicData uri="http://schemas.microsoft.com/office/word/2010/wordprocessingCanvas">
                          <wpc:wpc>
                            <wpc:bg>
                              <a:noFill/>
                            </wpc:bg>
                            <wpc:whole>
                              <a:ln>
                                <a:noFill/>
                              </a:ln>
                            </wpc:whole>
                            <wps:wsp>
                              <wps:cNvPr id="152" name="直接箭头连接符 60"/>
                              <wps:cNvCnPr/>
                              <wps:spPr>
                                <a:xfrm>
                                  <a:off x="805180" y="919481"/>
                                  <a:ext cx="280670" cy="0"/>
                                </a:xfrm>
                                <a:prstGeom prst="straightConnector1">
                                  <a:avLst/>
                                </a:prstGeom>
                                <a:ln w="9525" cap="flat" cmpd="sng">
                                  <a:solidFill>
                                    <a:srgbClr val="000000"/>
                                  </a:solidFill>
                                  <a:prstDash val="solid"/>
                                  <a:round/>
                                  <a:headEnd type="none" w="med" len="med"/>
                                  <a:tailEnd type="triangle" w="med" len="med"/>
                                </a:ln>
                                <a:effectLst/>
                              </wps:spPr>
                              <wps:bodyPr/>
                            </wps:wsp>
                            <wps:wsp>
                              <wps:cNvPr id="153" name="文本框 61"/>
                              <wps:cNvSpPr txBox="1"/>
                              <wps:spPr>
                                <a:xfrm>
                                  <a:off x="151130" y="779781"/>
                                  <a:ext cx="644395" cy="266700"/>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316CC6FA">
                                    <w:pPr>
                                      <w:spacing w:line="360" w:lineRule="exact"/>
                                      <w:jc w:val="center"/>
                                      <w:rPr>
                                        <w:sz w:val="21"/>
                                        <w:szCs w:val="21"/>
                                      </w:rPr>
                                    </w:pPr>
                                    <w:r>
                                      <w:rPr>
                                        <w:rFonts w:hint="eastAsia"/>
                                        <w:sz w:val="21"/>
                                        <w:szCs w:val="21"/>
                                      </w:rPr>
                                      <w:t>土建工程</w:t>
                                    </w:r>
                                  </w:p>
                                </w:txbxContent>
                              </wps:txbx>
                              <wps:bodyPr vert="horz" wrap="square" lIns="0" tIns="0" rIns="0" bIns="0" anchor="t" anchorCtr="0" upright="1"/>
                            </wps:wsp>
                            <wps:wsp>
                              <wps:cNvPr id="154" name="直接箭头连接符 62"/>
                              <wps:cNvCnPr/>
                              <wps:spPr>
                                <a:xfrm>
                                  <a:off x="1424305" y="500380"/>
                                  <a:ext cx="0" cy="279400"/>
                                </a:xfrm>
                                <a:prstGeom prst="straightConnector1">
                                  <a:avLst/>
                                </a:prstGeom>
                                <a:ln w="9525" cap="flat" cmpd="sng">
                                  <a:solidFill>
                                    <a:srgbClr val="000000"/>
                                  </a:solidFill>
                                  <a:prstDash val="dash"/>
                                  <a:round/>
                                  <a:headEnd type="triangle" w="med" len="med"/>
                                  <a:tailEnd type="none" w="med" len="med"/>
                                </a:ln>
                                <a:effectLst/>
                              </wps:spPr>
                              <wps:bodyPr/>
                            </wps:wsp>
                            <wps:wsp>
                              <wps:cNvPr id="155" name="文本框 67"/>
                              <wps:cNvSpPr txBox="1"/>
                              <wps:spPr>
                                <a:xfrm>
                                  <a:off x="1094105" y="779781"/>
                                  <a:ext cx="644525" cy="266699"/>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77FDC621">
                                    <w:pPr>
                                      <w:spacing w:line="360" w:lineRule="exact"/>
                                      <w:jc w:val="center"/>
                                      <w:rPr>
                                        <w:sz w:val="21"/>
                                        <w:szCs w:val="21"/>
                                      </w:rPr>
                                    </w:pPr>
                                    <w:r>
                                      <w:rPr>
                                        <w:rFonts w:hint="eastAsia"/>
                                        <w:sz w:val="21"/>
                                        <w:szCs w:val="21"/>
                                      </w:rPr>
                                      <w:t>基础施工</w:t>
                                    </w:r>
                                  </w:p>
                                </w:txbxContent>
                              </wps:txbx>
                              <wps:bodyPr vert="horz" wrap="square" lIns="0" tIns="0" rIns="0" bIns="0" anchor="t" anchorCtr="0" upright="1"/>
                            </wps:wsp>
                            <wps:wsp>
                              <wps:cNvPr id="156" name="直接箭头连接符 68"/>
                              <wps:cNvCnPr/>
                              <wps:spPr>
                                <a:xfrm>
                                  <a:off x="1748155" y="919481"/>
                                  <a:ext cx="279400" cy="0"/>
                                </a:xfrm>
                                <a:prstGeom prst="straightConnector1">
                                  <a:avLst/>
                                </a:prstGeom>
                                <a:ln w="9525" cap="flat" cmpd="sng">
                                  <a:solidFill>
                                    <a:srgbClr val="000000"/>
                                  </a:solidFill>
                                  <a:prstDash val="solid"/>
                                  <a:round/>
                                  <a:headEnd type="none" w="med" len="med"/>
                                  <a:tailEnd type="triangle" w="med" len="med"/>
                                </a:ln>
                                <a:effectLst/>
                              </wps:spPr>
                              <wps:bodyPr/>
                            </wps:wsp>
                            <wps:wsp>
                              <wps:cNvPr id="157" name="文本框 6"/>
                              <wps:cNvSpPr txBox="1"/>
                              <wps:spPr>
                                <a:xfrm>
                                  <a:off x="2030730" y="789306"/>
                                  <a:ext cx="634999" cy="266699"/>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313F367C">
                                    <w:pPr>
                                      <w:spacing w:line="360" w:lineRule="exact"/>
                                      <w:jc w:val="center"/>
                                      <w:rPr>
                                        <w:sz w:val="21"/>
                                        <w:szCs w:val="21"/>
                                      </w:rPr>
                                    </w:pPr>
                                    <w:r>
                                      <w:rPr>
                                        <w:rFonts w:hint="eastAsia"/>
                                        <w:sz w:val="21"/>
                                        <w:szCs w:val="21"/>
                                      </w:rPr>
                                      <w:t>主体施工</w:t>
                                    </w:r>
                                  </w:p>
                                </w:txbxContent>
                              </wps:txbx>
                              <wps:bodyPr vert="horz" wrap="square" lIns="0" tIns="0" rIns="0" bIns="0" anchor="t" anchorCtr="0" upright="1"/>
                            </wps:wsp>
                            <wps:wsp>
                              <wps:cNvPr id="158" name="直接箭头连接符 69"/>
                              <wps:cNvCnPr/>
                              <wps:spPr>
                                <a:xfrm>
                                  <a:off x="2672080" y="929006"/>
                                  <a:ext cx="279400" cy="0"/>
                                </a:xfrm>
                                <a:prstGeom prst="straightConnector1">
                                  <a:avLst/>
                                </a:prstGeom>
                                <a:ln w="9525" cap="flat" cmpd="sng">
                                  <a:solidFill>
                                    <a:srgbClr val="000000"/>
                                  </a:solidFill>
                                  <a:prstDash val="solid"/>
                                  <a:round/>
                                  <a:headEnd type="none" w="med" len="med"/>
                                  <a:tailEnd type="triangle" w="med" len="med"/>
                                </a:ln>
                                <a:effectLst/>
                              </wps:spPr>
                              <wps:bodyPr/>
                            </wps:wsp>
                            <wps:wsp>
                              <wps:cNvPr id="159" name="直接箭头连接符 70"/>
                              <wps:cNvCnPr/>
                              <wps:spPr>
                                <a:xfrm>
                                  <a:off x="3262630" y="519430"/>
                                  <a:ext cx="0" cy="279400"/>
                                </a:xfrm>
                                <a:prstGeom prst="straightConnector1">
                                  <a:avLst/>
                                </a:prstGeom>
                                <a:ln w="9525" cap="flat" cmpd="sng">
                                  <a:solidFill>
                                    <a:srgbClr val="000000"/>
                                  </a:solidFill>
                                  <a:prstDash val="dash"/>
                                  <a:round/>
                                  <a:headEnd type="triangle" w="med" len="med"/>
                                  <a:tailEnd type="none" w="med" len="med"/>
                                </a:ln>
                                <a:effectLst/>
                              </wps:spPr>
                              <wps:bodyPr/>
                            </wps:wsp>
                            <wps:wsp>
                              <wps:cNvPr id="160" name="文本框 71"/>
                              <wps:cNvSpPr txBox="1"/>
                              <wps:spPr>
                                <a:xfrm>
                                  <a:off x="115570" y="57150"/>
                                  <a:ext cx="704215" cy="419735"/>
                                </a:xfrm>
                                <a:prstGeom prst="rect">
                                  <a:avLst/>
                                </a:prstGeom>
                                <a:noFill/>
                                <a:ln w="6350">
                                  <a:noFill/>
                                </a:ln>
                                <a:effectLst/>
                              </wps:spPr>
                              <wps:txbx>
                                <w:txbxContent>
                                  <w:p w14:paraId="6973648A">
                                    <w:pPr>
                                      <w:spacing w:line="320" w:lineRule="exact"/>
                                      <w:jc w:val="center"/>
                                      <w:rPr>
                                        <w:sz w:val="21"/>
                                        <w:szCs w:val="21"/>
                                      </w:rPr>
                                    </w:pPr>
                                    <w:r>
                                      <w:rPr>
                                        <w:rFonts w:hint="eastAsia"/>
                                        <w:sz w:val="21"/>
                                        <w:szCs w:val="21"/>
                                      </w:rPr>
                                      <w:t>粉尘、噪声、固废</w:t>
                                    </w:r>
                                  </w:p>
                                </w:txbxContent>
                              </wps:txbx>
                              <wps:bodyPr vert="horz" wrap="square" lIns="0" tIns="0" rIns="0" bIns="0" anchor="t" anchorCtr="0" upright="1"/>
                            </wps:wsp>
                            <wps:wsp>
                              <wps:cNvPr id="161" name="文本框 72"/>
                              <wps:cNvSpPr txBox="1"/>
                              <wps:spPr>
                                <a:xfrm>
                                  <a:off x="2955290" y="789941"/>
                                  <a:ext cx="635000" cy="266699"/>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2C647210">
                                    <w:pPr>
                                      <w:spacing w:line="360" w:lineRule="exact"/>
                                      <w:jc w:val="center"/>
                                      <w:rPr>
                                        <w:sz w:val="21"/>
                                        <w:szCs w:val="21"/>
                                      </w:rPr>
                                    </w:pPr>
                                    <w:r>
                                      <w:rPr>
                                        <w:rFonts w:hint="eastAsia"/>
                                        <w:sz w:val="21"/>
                                        <w:szCs w:val="21"/>
                                      </w:rPr>
                                      <w:t>设备安装</w:t>
                                    </w:r>
                                  </w:p>
                                </w:txbxContent>
                              </wps:txbx>
                              <wps:bodyPr vert="horz" wrap="square" lIns="0" tIns="0" rIns="0" bIns="0" anchor="t" anchorCtr="0" upright="1"/>
                            </wps:wsp>
                            <wps:wsp>
                              <wps:cNvPr id="163" name="直接箭头连接符 73"/>
                              <wps:cNvCnPr/>
                              <wps:spPr>
                                <a:xfrm>
                                  <a:off x="3596005" y="930276"/>
                                  <a:ext cx="279400" cy="0"/>
                                </a:xfrm>
                                <a:prstGeom prst="straightConnector1">
                                  <a:avLst/>
                                </a:prstGeom>
                                <a:ln w="9525" cap="flat" cmpd="sng">
                                  <a:solidFill>
                                    <a:srgbClr val="000000"/>
                                  </a:solidFill>
                                  <a:prstDash val="solid"/>
                                  <a:round/>
                                  <a:headEnd type="none" w="med" len="med"/>
                                  <a:tailEnd type="triangle" w="med" len="med"/>
                                </a:ln>
                                <a:effectLst/>
                              </wps:spPr>
                              <wps:bodyPr/>
                            </wps:wsp>
                            <wps:wsp>
                              <wps:cNvPr id="166" name="文本框 74"/>
                              <wps:cNvSpPr txBox="1"/>
                              <wps:spPr>
                                <a:xfrm>
                                  <a:off x="3865880" y="790576"/>
                                  <a:ext cx="635000" cy="253999"/>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6C95CC99">
                                    <w:pPr>
                                      <w:spacing w:line="360" w:lineRule="exact"/>
                                      <w:jc w:val="center"/>
                                      <w:rPr>
                                        <w:sz w:val="21"/>
                                        <w:szCs w:val="21"/>
                                      </w:rPr>
                                    </w:pPr>
                                    <w:r>
                                      <w:rPr>
                                        <w:rFonts w:hint="eastAsia"/>
                                        <w:sz w:val="21"/>
                                        <w:szCs w:val="21"/>
                                      </w:rPr>
                                      <w:t>竣工验收</w:t>
                                    </w:r>
                                  </w:p>
                                </w:txbxContent>
                              </wps:txbx>
                              <wps:bodyPr vert="horz" wrap="square" lIns="0" tIns="0" rIns="0" bIns="0" anchor="t" anchorCtr="0" upright="1"/>
                            </wps:wsp>
                            <wps:wsp>
                              <wps:cNvPr id="168" name="直接箭头连接符 75"/>
                              <wps:cNvCnPr/>
                              <wps:spPr>
                                <a:xfrm>
                                  <a:off x="472440" y="491490"/>
                                  <a:ext cx="0" cy="279400"/>
                                </a:xfrm>
                                <a:prstGeom prst="straightConnector1">
                                  <a:avLst/>
                                </a:prstGeom>
                                <a:ln w="9525" cap="flat" cmpd="sng">
                                  <a:solidFill>
                                    <a:srgbClr val="000000"/>
                                  </a:solidFill>
                                  <a:prstDash val="dash"/>
                                  <a:round/>
                                  <a:headEnd type="triangle" w="med" len="med"/>
                                  <a:tailEnd type="none" w="med" len="med"/>
                                </a:ln>
                                <a:effectLst/>
                              </wps:spPr>
                              <wps:bodyPr/>
                            </wps:wsp>
                            <wps:wsp>
                              <wps:cNvPr id="169" name="文本框 76"/>
                              <wps:cNvSpPr txBox="1"/>
                              <wps:spPr>
                                <a:xfrm>
                                  <a:off x="1058545" y="95250"/>
                                  <a:ext cx="713740" cy="400050"/>
                                </a:xfrm>
                                <a:prstGeom prst="rect">
                                  <a:avLst/>
                                </a:prstGeom>
                                <a:noFill/>
                                <a:ln w="6350">
                                  <a:noFill/>
                                </a:ln>
                                <a:effectLst/>
                              </wps:spPr>
                              <wps:txbx>
                                <w:txbxContent>
                                  <w:p w14:paraId="63F200BD">
                                    <w:pPr>
                                      <w:spacing w:line="320" w:lineRule="exact"/>
                                      <w:jc w:val="center"/>
                                      <w:rPr>
                                        <w:sz w:val="21"/>
                                        <w:szCs w:val="21"/>
                                      </w:rPr>
                                    </w:pPr>
                                    <w:r>
                                      <w:rPr>
                                        <w:rFonts w:hint="eastAsia"/>
                                        <w:sz w:val="21"/>
                                        <w:szCs w:val="21"/>
                                      </w:rPr>
                                      <w:t>粉尘、噪声、固废</w:t>
                                    </w:r>
                                  </w:p>
                                </w:txbxContent>
                              </wps:txbx>
                              <wps:bodyPr vert="horz" wrap="square" lIns="0" tIns="0" rIns="0" bIns="0" anchor="t" anchorCtr="0" upright="1"/>
                            </wps:wsp>
                            <wps:wsp>
                              <wps:cNvPr id="170" name="直接箭头连接符 77"/>
                              <wps:cNvCnPr/>
                              <wps:spPr>
                                <a:xfrm>
                                  <a:off x="2348866" y="507365"/>
                                  <a:ext cx="0" cy="279400"/>
                                </a:xfrm>
                                <a:prstGeom prst="straightConnector1">
                                  <a:avLst/>
                                </a:prstGeom>
                                <a:ln w="9525" cap="flat" cmpd="sng">
                                  <a:solidFill>
                                    <a:srgbClr val="000000"/>
                                  </a:solidFill>
                                  <a:prstDash val="dash"/>
                                  <a:round/>
                                  <a:headEnd type="triangle" w="med" len="med"/>
                                  <a:tailEnd type="none" w="med" len="med"/>
                                </a:ln>
                                <a:effectLst/>
                              </wps:spPr>
                              <wps:bodyPr/>
                            </wps:wsp>
                            <wps:wsp>
                              <wps:cNvPr id="171" name="文本框 78"/>
                              <wps:cNvSpPr txBox="1"/>
                              <wps:spPr>
                                <a:xfrm>
                                  <a:off x="1991995" y="95250"/>
                                  <a:ext cx="713105" cy="400050"/>
                                </a:xfrm>
                                <a:prstGeom prst="rect">
                                  <a:avLst/>
                                </a:prstGeom>
                                <a:noFill/>
                                <a:ln w="6350">
                                  <a:noFill/>
                                </a:ln>
                                <a:effectLst/>
                              </wps:spPr>
                              <wps:txbx>
                                <w:txbxContent>
                                  <w:p w14:paraId="4A0EEB24">
                                    <w:pPr>
                                      <w:spacing w:line="320" w:lineRule="exact"/>
                                      <w:jc w:val="center"/>
                                      <w:rPr>
                                        <w:sz w:val="21"/>
                                        <w:szCs w:val="21"/>
                                      </w:rPr>
                                    </w:pPr>
                                    <w:r>
                                      <w:rPr>
                                        <w:rFonts w:hint="eastAsia"/>
                                        <w:sz w:val="21"/>
                                        <w:szCs w:val="21"/>
                                      </w:rPr>
                                      <w:t>粉尘、噪声、固废、废水</w:t>
                                    </w:r>
                                  </w:p>
                                </w:txbxContent>
                              </wps:txbx>
                              <wps:bodyPr vert="horz" wrap="square" lIns="0" tIns="0" rIns="0" bIns="0" anchor="t" anchorCtr="0" upright="1"/>
                            </wps:wsp>
                            <wps:wsp>
                              <wps:cNvPr id="172" name="文本框 16"/>
                              <wps:cNvSpPr txBox="1"/>
                              <wps:spPr>
                                <a:xfrm>
                                  <a:off x="2944495" y="266700"/>
                                  <a:ext cx="647065" cy="228600"/>
                                </a:xfrm>
                                <a:prstGeom prst="rect">
                                  <a:avLst/>
                                </a:prstGeom>
                                <a:noFill/>
                                <a:ln w="6350">
                                  <a:noFill/>
                                </a:ln>
                                <a:effectLst/>
                              </wps:spPr>
                              <wps:txbx>
                                <w:txbxContent>
                                  <w:p w14:paraId="5CE0AC28">
                                    <w:pPr>
                                      <w:spacing w:line="320" w:lineRule="exact"/>
                                      <w:jc w:val="center"/>
                                      <w:rPr>
                                        <w:sz w:val="21"/>
                                        <w:szCs w:val="21"/>
                                      </w:rPr>
                                    </w:pPr>
                                    <w:r>
                                      <w:rPr>
                                        <w:rFonts w:hint="eastAsia"/>
                                        <w:sz w:val="21"/>
                                        <w:szCs w:val="21"/>
                                      </w:rPr>
                                      <w:t>噪声、固废</w:t>
                                    </w:r>
                                  </w:p>
                                </w:txbxContent>
                              </wps:txbx>
                              <wps:bodyPr vert="horz" wrap="square" lIns="0" tIns="0" rIns="0" bIns="0" anchor="t" anchorCtr="0" upright="1"/>
                            </wps:wsp>
                          </wpc:wpc>
                        </a:graphicData>
                      </a:graphic>
                    </wp:inline>
                  </w:drawing>
                </mc:Choice>
                <mc:Fallback>
                  <w:pict>
                    <v:group id="_x0000_s1026" o:spid="_x0000_s1026" o:spt="203" style="height:86.5pt;width:359.35pt;" coordsize="4563745,1098550" editas="canvas" o:gfxdata="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">
                      <o:lock v:ext="edit" aspectratio="f"/>
                      <v:shape id="_x0000_s1026" o:spid="_x0000_s1026" style="position:absolute;left:0;top:0;height:1098550;width:4563745;" filled="f" stroked="f" coordsize="21600,21600" o:gfxdata="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">
                        <v:fill on="f" focussize="0,0"/>
                        <v:stroke on="f"/>
                        <v:imagedata o:title=""/>
                        <o:lock v:ext="edit" aspectratio="f"/>
                      </v:shape>
                      <v:shape id="直接箭头连接符 60" o:spid="_x0000_s1026" o:spt="32" type="#_x0000_t32" style="position:absolute;left:805180;top:919481;height:0;width:280670;" filled="f" stroked="t" coordsize="21600,21600" o:gfxdata="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diZQE9YAAAAFAQAA&#10;DwAAAAAAAAABACAAAAAiAAAAZHJzL2Rvd25yZXYueG1sUEsBAhQAFAAAAAgAh07iQFZKt1sbAgAA&#10;FAQAAA4AAAAAAAAAAQAgAAAAJQEAAGRycy9lMm9Eb2MueG1sUEsFBgAAAAAGAAYAWQEAALIFAAAA&#10;AA==&#10;">
                        <v:fill on="f" focussize="0,0"/>
                        <v:stroke color="#000000" joinstyle="round" endarrow="block"/>
                        <v:imagedata o:title=""/>
                        <o:lock v:ext="edit" aspectratio="f"/>
                      </v:shape>
                      <v:shape id="文本框 61" o:spid="_x0000_s1026" o:spt="202" type="#_x0000_t202" style="position:absolute;left:151130;top:779781;height:266700;width:644395;" fillcolor="#FFFFFF" filled="t" stroked="t" coordsize="21600,21600" o:gfxdata="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opvFd1AAAAAUBAAAPAAAAAAAAAAEA&#10;IAAAACIAAABkcnMvZG93bnJldi54bWxQSwECFAAUAAAACACHTuJATSRFKEwCAACnBAAADgAAAAAA&#10;AAABACAAAAAjAQAAZHJzL2Uyb0RvYy54bWxQSwUGAAAAAAYABgBZAQAA4QUAAAAA&#10;">
                        <v:fill on="t" focussize="0,0"/>
                        <v:stroke weight="0.5pt" color="#000000" joinstyle="round"/>
                        <v:imagedata o:title=""/>
                        <o:lock v:ext="edit" aspectratio="f"/>
                        <v:textbox inset="0mm,0mm,0mm,0mm">
                          <w:txbxContent>
                            <w:p w14:paraId="316CC6FA">
                              <w:pPr>
                                <w:spacing w:line="360" w:lineRule="exact"/>
                                <w:jc w:val="center"/>
                                <w:rPr>
                                  <w:sz w:val="21"/>
                                  <w:szCs w:val="21"/>
                                </w:rPr>
                              </w:pPr>
                              <w:r>
                                <w:rPr>
                                  <w:rFonts w:hint="eastAsia"/>
                                  <w:sz w:val="21"/>
                                  <w:szCs w:val="21"/>
                                </w:rPr>
                                <w:t>土建工程</w:t>
                              </w:r>
                            </w:p>
                          </w:txbxContent>
                        </v:textbox>
                      </v:shape>
                      <v:shape id="直接箭头连接符 62" o:spid="_x0000_s1026" o:spt="32" type="#_x0000_t32" style="position:absolute;left:1424305;top:500380;height:279400;width:0;" filled="f" stroked="t" coordsize="21600,21600" o:gfxdata="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ckZgU1AAAAAUB&#10;AAAPAAAAAAAAAAEAIAAAACIAAABkcnMvZG93bnJldi54bWxQSwECFAAUAAAACACHTuJAq/7/ZR8C&#10;AAAUBAAADgAAAAAAAAABACAAAAAjAQAAZHJzL2Uyb0RvYy54bWxQSwUGAAAAAAYABgBZAQAAtAUA&#10;AAAA&#10;">
                        <v:fill on="f" focussize="0,0"/>
                        <v:stroke color="#000000" joinstyle="round" dashstyle="dash" startarrow="block"/>
                        <v:imagedata o:title=""/>
                        <o:lock v:ext="edit" aspectratio="f"/>
                      </v:shape>
                      <v:shape id="文本框 67" o:spid="_x0000_s1026" o:spt="202" type="#_x0000_t202" style="position:absolute;left:1094105;top:779781;height:266699;width:644525;" fillcolor="#FFFFFF" filled="t" stroked="t" coordsize="21600,21600" o:gfxdata="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qKbxXdQAAAAFAQAADwAAAAAAAAABACAA&#10;AAAiAAAAZHJzL2Rvd25yZXYueG1sUEsBAhQAFAAAAAgAh07iQHvf5vNKAgAAqAQAAA4AAAAAAAAA&#10;AQAgAAAAIwEAAGRycy9lMm9Eb2MueG1sUEsFBgAAAAAGAAYAWQEAAN8FAAAAAA==&#10;">
                        <v:fill on="t" focussize="0,0"/>
                        <v:stroke weight="0.5pt" color="#000000" joinstyle="round"/>
                        <v:imagedata o:title=""/>
                        <o:lock v:ext="edit" aspectratio="f"/>
                        <v:textbox inset="0mm,0mm,0mm,0mm">
                          <w:txbxContent>
                            <w:p w14:paraId="77FDC621">
                              <w:pPr>
                                <w:spacing w:line="360" w:lineRule="exact"/>
                                <w:jc w:val="center"/>
                                <w:rPr>
                                  <w:sz w:val="21"/>
                                  <w:szCs w:val="21"/>
                                </w:rPr>
                              </w:pPr>
                              <w:r>
                                <w:rPr>
                                  <w:rFonts w:hint="eastAsia"/>
                                  <w:sz w:val="21"/>
                                  <w:szCs w:val="21"/>
                                </w:rPr>
                                <w:t>基础施工</w:t>
                              </w:r>
                            </w:p>
                          </w:txbxContent>
                        </v:textbox>
                      </v:shape>
                      <v:shape id="直接箭头连接符 68" o:spid="_x0000_s1026" o:spt="32" type="#_x0000_t32" style="position:absolute;left:1748155;top:919481;height:0;width:279400;" filled="f" stroked="t" coordsize="21600,21600" o:gfxdata="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diZQE9YAAAAF&#10;AQAADwAAAAAAAAABACAAAAAiAAAAZHJzL2Rvd25yZXYueG1sUEsBAhQAFAAAAAgAh07iQJ+5K5oe&#10;AgAAFQQAAA4AAAAAAAAAAQAgAAAAJQEAAGRycy9lMm9Eb2MueG1sUEsFBgAAAAAGAAYAWQEAALUF&#10;AAAAAA==&#10;">
                        <v:fill on="f" focussize="0,0"/>
                        <v:stroke color="#000000" joinstyle="round" endarrow="block"/>
                        <v:imagedata o:title=""/>
                        <o:lock v:ext="edit" aspectratio="f"/>
                      </v:shape>
                      <v:shape id="文本框 6" o:spid="_x0000_s1026" o:spt="202" type="#_x0000_t202" style="position:absolute;left:2030730;top:789306;height:266699;width:634999;" fillcolor="#FFFFFF" filled="t" stroked="t" coordsize="21600,21600" o:gfxdata="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opvFd1AAAAAUBAAAPAAAAAAAAAAEAIAAA&#10;ACIAAABkcnMvZG93bnJldi54bWxQSwECFAAUAAAACACHTuJAEAR87UkCAACnBAAADgAAAAAAAAAB&#10;ACAAAAAjAQAAZHJzL2Uyb0RvYy54bWxQSwUGAAAAAAYABgBZAQAA3gUAAAAA&#10;">
                        <v:fill on="t" focussize="0,0"/>
                        <v:stroke weight="0.5pt" color="#000000" joinstyle="round"/>
                        <v:imagedata o:title=""/>
                        <o:lock v:ext="edit" aspectratio="f"/>
                        <v:textbox inset="0mm,0mm,0mm,0mm">
                          <w:txbxContent>
                            <w:p w14:paraId="313F367C">
                              <w:pPr>
                                <w:spacing w:line="360" w:lineRule="exact"/>
                                <w:jc w:val="center"/>
                                <w:rPr>
                                  <w:sz w:val="21"/>
                                  <w:szCs w:val="21"/>
                                </w:rPr>
                              </w:pPr>
                              <w:r>
                                <w:rPr>
                                  <w:rFonts w:hint="eastAsia"/>
                                  <w:sz w:val="21"/>
                                  <w:szCs w:val="21"/>
                                </w:rPr>
                                <w:t>主体施工</w:t>
                              </w:r>
                            </w:p>
                          </w:txbxContent>
                        </v:textbox>
                      </v:shape>
                      <v:shape id="直接箭头连接符 69" o:spid="_x0000_s1026" o:spt="32" type="#_x0000_t32" style="position:absolute;left:2672080;top:929006;height:0;width:279400;" filled="f" stroked="t" coordsize="21600,21600" o:gfxdata="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2JlAT1gAAAAUB&#10;AAAPAAAAAAAAAAEAIAAAACIAAABkcnMvZG93bnJldi54bWxQSwECFAAUAAAACACHTuJAlPup8x0C&#10;AAAVBAAADgAAAAAAAAABACAAAAAlAQAAZHJzL2Uyb0RvYy54bWxQSwUGAAAAAAYABgBZAQAAtAUA&#10;AAAA&#10;">
                        <v:fill on="f" focussize="0,0"/>
                        <v:stroke color="#000000" joinstyle="round" endarrow="block"/>
                        <v:imagedata o:title=""/>
                        <o:lock v:ext="edit" aspectratio="f"/>
                      </v:shape>
                      <v:shape id="直接箭头连接符 70" o:spid="_x0000_s1026" o:spt="32" type="#_x0000_t32" style="position:absolute;left:3262630;top:519430;height:279400;width:0;" filled="f" stroked="t" coordsize="21600,21600" o:gfxdata="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nJGYFNQAAAAFAQAA&#10;DwAAAAAAAAABACAAAAAiAAAAZHJzL2Rvd25yZXYueG1sUEsBAhQAFAAAAAgAh07iQN1r/m0dAgAA&#10;FAQAAA4AAAAAAAAAAQAgAAAAIwEAAGRycy9lMm9Eb2MueG1sUEsFBgAAAAAGAAYAWQEAALIFAAAA&#10;AA==&#10;">
                        <v:fill on="f" focussize="0,0"/>
                        <v:stroke color="#000000" joinstyle="round" dashstyle="dash" startarrow="block"/>
                        <v:imagedata o:title=""/>
                        <o:lock v:ext="edit" aspectratio="f"/>
                      </v:shape>
                      <v:shape id="文本框 71" o:spid="_x0000_s1026" o:spt="202" type="#_x0000_t202" style="position:absolute;left:115570;top:57150;height:419735;width:704215;" filled="f" stroked="f" coordsize="21600,21600" o:gfxdata="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ya&#10;VszUAAAABQEAAA8AAAAAAAAAAQAgAAAAIgAAAGRycy9kb3ducmV2LnhtbFBLAQIUABQAAAAIAIdO&#10;4kB8sfe27gEAAMcDAAAOAAAAAAAAAAEAIAAAACMBAABkcnMvZTJvRG9jLnhtbFBLBQYAAAAABgAG&#10;AFkBAACDBQAAAAA=&#10;">
                        <v:fill on="f" focussize="0,0"/>
                        <v:stroke on="f" weight="0.5pt"/>
                        <v:imagedata o:title=""/>
                        <o:lock v:ext="edit" aspectratio="f"/>
                        <v:textbox inset="0mm,0mm,0mm,0mm">
                          <w:txbxContent>
                            <w:p w14:paraId="6973648A">
                              <w:pPr>
                                <w:spacing w:line="320" w:lineRule="exact"/>
                                <w:jc w:val="center"/>
                                <w:rPr>
                                  <w:sz w:val="21"/>
                                  <w:szCs w:val="21"/>
                                </w:rPr>
                              </w:pPr>
                              <w:r>
                                <w:rPr>
                                  <w:rFonts w:hint="eastAsia"/>
                                  <w:sz w:val="21"/>
                                  <w:szCs w:val="21"/>
                                </w:rPr>
                                <w:t>粉尘、噪声、固废</w:t>
                              </w:r>
                            </w:p>
                          </w:txbxContent>
                        </v:textbox>
                      </v:shape>
                      <v:shape id="文本框 72" o:spid="_x0000_s1026" o:spt="202" type="#_x0000_t202" style="position:absolute;left:2955290;top:789941;height:266699;width:635000;" fillcolor="#FFFFFF" filled="t" stroked="t" coordsize="21600,21600" o:gfxdata="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qKbxXdQAAAAFAQAADwAAAAAAAAABACAA&#10;AAAiAAAAZHJzL2Rvd25yZXYueG1sUEsBAhQAFAAAAAgAh07iQLP2YehKAgAAqAQAAA4AAAAAAAAA&#10;AQAgAAAAIwEAAGRycy9lMm9Eb2MueG1sUEsFBgAAAAAGAAYAWQEAAN8FAAAAAA==&#10;">
                        <v:fill on="t" focussize="0,0"/>
                        <v:stroke weight="0.5pt" color="#000000" joinstyle="round"/>
                        <v:imagedata o:title=""/>
                        <o:lock v:ext="edit" aspectratio="f"/>
                        <v:textbox inset="0mm,0mm,0mm,0mm">
                          <w:txbxContent>
                            <w:p w14:paraId="2C647210">
                              <w:pPr>
                                <w:spacing w:line="360" w:lineRule="exact"/>
                                <w:jc w:val="center"/>
                                <w:rPr>
                                  <w:sz w:val="21"/>
                                  <w:szCs w:val="21"/>
                                </w:rPr>
                              </w:pPr>
                              <w:r>
                                <w:rPr>
                                  <w:rFonts w:hint="eastAsia"/>
                                  <w:sz w:val="21"/>
                                  <w:szCs w:val="21"/>
                                </w:rPr>
                                <w:t>设备安装</w:t>
                              </w:r>
                            </w:p>
                          </w:txbxContent>
                        </v:textbox>
                      </v:shape>
                      <v:shape id="直接箭头连接符 73" o:spid="_x0000_s1026" o:spt="32" type="#_x0000_t32" style="position:absolute;left:3596005;top:930276;height:0;width:279400;" filled="f" stroked="t" coordsize="21600,21600" o:gfxdata="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YmUBPWAAAA&#10;BQEAAA8AAAAAAAAAAQAgAAAAIgAAAGRycy9kb3ducmV2LnhtbFBLAQIUABQAAAAIAIdO4kAtuFjd&#10;HwIAABUEAAAOAAAAAAAAAAEAIAAAACUBAABkcnMvZTJvRG9jLnhtbFBLBQYAAAAABgAGAFkBAAC2&#10;BQAAAAA=&#10;">
                        <v:fill on="f" focussize="0,0"/>
                        <v:stroke color="#000000" joinstyle="round" endarrow="block"/>
                        <v:imagedata o:title=""/>
                        <o:lock v:ext="edit" aspectratio="f"/>
                      </v:shape>
                      <v:shape id="文本框 74" o:spid="_x0000_s1026" o:spt="202" type="#_x0000_t202" style="position:absolute;left:3865880;top:790576;height:253999;width:635000;" fillcolor="#FFFFFF" filled="t" stroked="t" coordsize="21600,21600" o:gfxdata="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Kim8V3UAAAABQEAAA8AAAAAAAAAAQAg&#10;AAAAIgAAAGRycy9kb3ducmV2LnhtbFBLAQIUABQAAAAIAIdO4kA7eSdMSwIAAKgEAAAOAAAAAAAA&#10;AAEAIAAAACMBAABkcnMvZTJvRG9jLnhtbFBLBQYAAAAABgAGAFkBAADgBQAAAAA=&#10;">
                        <v:fill on="t" focussize="0,0"/>
                        <v:stroke weight="0.5pt" color="#000000" joinstyle="round"/>
                        <v:imagedata o:title=""/>
                        <o:lock v:ext="edit" aspectratio="f"/>
                        <v:textbox inset="0mm,0mm,0mm,0mm">
                          <w:txbxContent>
                            <w:p w14:paraId="6C95CC99">
                              <w:pPr>
                                <w:spacing w:line="360" w:lineRule="exact"/>
                                <w:jc w:val="center"/>
                                <w:rPr>
                                  <w:sz w:val="21"/>
                                  <w:szCs w:val="21"/>
                                </w:rPr>
                              </w:pPr>
                              <w:r>
                                <w:rPr>
                                  <w:rFonts w:hint="eastAsia"/>
                                  <w:sz w:val="21"/>
                                  <w:szCs w:val="21"/>
                                </w:rPr>
                                <w:t>竣工验收</w:t>
                              </w:r>
                            </w:p>
                          </w:txbxContent>
                        </v:textbox>
                      </v:shape>
                      <v:shape id="直接箭头连接符 75" o:spid="_x0000_s1026" o:spt="32" type="#_x0000_t32" style="position:absolute;left:472440;top:491490;height:279400;width:0;" filled="f" stroked="t" coordsize="21600,21600" o:gfxdata="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nJGYFNQAAAAFAQAA&#10;DwAAAAAAAAABACAAAAAiAAAAZHJzL2Rvd25yZXYueG1sUEsBAhQAFAAAAAgAh07iQFsIZQQdAgAA&#10;EwQAAA4AAAAAAAAAAQAgAAAAIwEAAGRycy9lMm9Eb2MueG1sUEsFBgAAAAAGAAYAWQEAALIFAAAA&#10;AA==&#10;">
                        <v:fill on="f" focussize="0,0"/>
                        <v:stroke color="#000000" joinstyle="round" dashstyle="dash" startarrow="block"/>
                        <v:imagedata o:title=""/>
                        <o:lock v:ext="edit" aspectratio="f"/>
                      </v:shape>
                      <v:shape id="文本框 76" o:spid="_x0000_s1026" o:spt="202" type="#_x0000_t202" style="position:absolute;left:1058545;top:95250;height:400050;width:713740;" filled="f" stroked="f" coordsize="21600,21600" o:gfxdata="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8&#10;mlbM1AAAAAUBAAAPAAAAAAAAAAEAIAAAACIAAABkcnMvZG93bnJldi54bWxQSwECFAAUAAAACACH&#10;TuJAAqgqMe8BAADIAwAADgAAAAAAAAABACAAAAAjAQAAZHJzL2Uyb0RvYy54bWxQSwUGAAAAAAYA&#10;BgBZAQAAhAUAAAAA&#10;">
                        <v:fill on="f" focussize="0,0"/>
                        <v:stroke on="f" weight="0.5pt"/>
                        <v:imagedata o:title=""/>
                        <o:lock v:ext="edit" aspectratio="f"/>
                        <v:textbox inset="0mm,0mm,0mm,0mm">
                          <w:txbxContent>
                            <w:p w14:paraId="63F200BD">
                              <w:pPr>
                                <w:spacing w:line="320" w:lineRule="exact"/>
                                <w:jc w:val="center"/>
                                <w:rPr>
                                  <w:sz w:val="21"/>
                                  <w:szCs w:val="21"/>
                                </w:rPr>
                              </w:pPr>
                              <w:r>
                                <w:rPr>
                                  <w:rFonts w:hint="eastAsia"/>
                                  <w:sz w:val="21"/>
                                  <w:szCs w:val="21"/>
                                </w:rPr>
                                <w:t>粉尘、噪声、固废</w:t>
                              </w:r>
                            </w:p>
                          </w:txbxContent>
                        </v:textbox>
                      </v:shape>
                      <v:shape id="直接箭头连接符 77" o:spid="_x0000_s1026" o:spt="32" type="#_x0000_t32" style="position:absolute;left:2348866;top:507365;height:279400;width:0;" filled="f" stroked="t" coordsize="21600,21600" o:gfxdata="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yRmBTUAAAA&#10;BQEAAA8AAAAAAAAAAQAgAAAAIgAAAGRycy9kb3ducmV2LnhtbFBLAQIUABQAAAAIAIdO4kC3LBrZ&#10;IQIAABQEAAAOAAAAAAAAAAEAIAAAACMBAABkcnMvZTJvRG9jLnhtbFBLBQYAAAAABgAGAFkBAAC2&#10;BQAAAAA=&#10;">
                        <v:fill on="f" focussize="0,0"/>
                        <v:stroke color="#000000" joinstyle="round" dashstyle="dash" startarrow="block"/>
                        <v:imagedata o:title=""/>
                        <o:lock v:ext="edit" aspectratio="f"/>
                      </v:shape>
                      <v:shape id="文本框 78" o:spid="_x0000_s1026" o:spt="202" type="#_x0000_t202" style="position:absolute;left:1991995;top:95250;height:400050;width:713105;" filled="f" stroked="f" coordsize="21600,21600" o:gfxdata="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ya&#10;VszUAAAABQEAAA8AAAAAAAAAAQAgAAAAIgAAAGRycy9kb3ducmV2LnhtbFBLAQIUABQAAAAIAIdO&#10;4kBz5IIg7gEAAMgDAAAOAAAAAAAAAAEAIAAAACMBAABkcnMvZTJvRG9jLnhtbFBLBQYAAAAABgAG&#10;AFkBAACDBQAAAAA=&#10;">
                        <v:fill on="f" focussize="0,0"/>
                        <v:stroke on="f" weight="0.5pt"/>
                        <v:imagedata o:title=""/>
                        <o:lock v:ext="edit" aspectratio="f"/>
                        <v:textbox inset="0mm,0mm,0mm,0mm">
                          <w:txbxContent>
                            <w:p w14:paraId="4A0EEB24">
                              <w:pPr>
                                <w:spacing w:line="320" w:lineRule="exact"/>
                                <w:jc w:val="center"/>
                                <w:rPr>
                                  <w:sz w:val="21"/>
                                  <w:szCs w:val="21"/>
                                </w:rPr>
                              </w:pPr>
                              <w:r>
                                <w:rPr>
                                  <w:rFonts w:hint="eastAsia"/>
                                  <w:sz w:val="21"/>
                                  <w:szCs w:val="21"/>
                                </w:rPr>
                                <w:t>粉尘、噪声、固废、废水</w:t>
                              </w:r>
                            </w:p>
                          </w:txbxContent>
                        </v:textbox>
                      </v:shape>
                      <v:shape id="文本框 16" o:spid="_x0000_s1026" o:spt="202" type="#_x0000_t202" style="position:absolute;left:2944495;top:266700;height:228600;width:647065;" filled="f" stroked="f" coordsize="21600,21600" o:gfxdata="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PJpWzNQAAAAFAQAADwAAAAAAAAABACAAAAAiAAAAZHJzL2Rvd25yZXYueG1sUEsBAhQAFAAAAAgA&#10;h07iQGFt7M3wAQAAyQMAAA4AAAAAAAAAAQAgAAAAIwEAAGRycy9lMm9Eb2MueG1sUEsFBgAAAAAG&#10;AAYAWQEAAIUFAAAAAA==&#10;">
                        <v:fill on="f" focussize="0,0"/>
                        <v:stroke on="f" weight="0.5pt"/>
                        <v:imagedata o:title=""/>
                        <o:lock v:ext="edit" aspectratio="f"/>
                        <v:textbox inset="0mm,0mm,0mm,0mm">
                          <w:txbxContent>
                            <w:p w14:paraId="5CE0AC28">
                              <w:pPr>
                                <w:spacing w:line="320" w:lineRule="exact"/>
                                <w:jc w:val="center"/>
                                <w:rPr>
                                  <w:sz w:val="21"/>
                                  <w:szCs w:val="21"/>
                                </w:rPr>
                              </w:pPr>
                              <w:r>
                                <w:rPr>
                                  <w:rFonts w:hint="eastAsia"/>
                                  <w:sz w:val="21"/>
                                  <w:szCs w:val="21"/>
                                </w:rPr>
                                <w:t>噪声、固废</w:t>
                              </w:r>
                            </w:p>
                          </w:txbxContent>
                        </v:textbox>
                      </v:shape>
                      <w10:wrap type="none"/>
                      <w10:anchorlock/>
                    </v:group>
                  </w:pict>
                </mc:Fallback>
              </mc:AlternateContent>
            </w:r>
          </w:p>
          <w:p w14:paraId="5360B9CF">
            <w:pPr>
              <w:adjustRightInd w:val="0"/>
              <w:snapToGrid w:val="0"/>
              <w:spacing w:line="520" w:lineRule="exact"/>
              <w:jc w:val="center"/>
              <w:rPr>
                <w:b/>
                <w:bCs/>
                <w:color w:val="auto"/>
                <w:kern w:val="0"/>
              </w:rPr>
            </w:pPr>
            <w:r>
              <w:rPr>
                <w:rFonts w:hint="eastAsia"/>
                <w:b/>
                <w:bCs/>
                <w:color w:val="auto"/>
                <w:kern w:val="0"/>
              </w:rPr>
              <w:t>图2-2      项目施工工艺流程及产污示意图</w:t>
            </w:r>
          </w:p>
          <w:p w14:paraId="10481DA3">
            <w:pPr>
              <w:spacing w:line="500" w:lineRule="exact"/>
              <w:ind w:firstLine="480" w:firstLineChars="200"/>
              <w:rPr>
                <w:color w:val="auto"/>
              </w:rPr>
            </w:pPr>
            <w:r>
              <w:rPr>
                <w:rFonts w:hint="eastAsia"/>
                <w:color w:val="auto"/>
              </w:rPr>
              <w:t>施工期间的污染主要包括：</w:t>
            </w:r>
          </w:p>
          <w:p w14:paraId="184562AC">
            <w:pPr>
              <w:spacing w:line="500" w:lineRule="exact"/>
              <w:ind w:firstLine="480" w:firstLineChars="200"/>
              <w:rPr>
                <w:color w:val="auto"/>
              </w:rPr>
            </w:pPr>
            <w:r>
              <w:rPr>
                <w:rFonts w:hint="eastAsia"/>
                <w:color w:val="auto"/>
              </w:rPr>
              <w:t>（1）废气：土建</w:t>
            </w:r>
            <w:r>
              <w:rPr>
                <w:rFonts w:hint="eastAsia"/>
                <w:color w:val="auto"/>
                <w:lang w:eastAsia="zh-CN"/>
              </w:rPr>
              <w:t>工程</w:t>
            </w:r>
            <w:r>
              <w:rPr>
                <w:rFonts w:hint="eastAsia"/>
                <w:color w:val="auto"/>
              </w:rPr>
              <w:t>施工、建筑物料、弃土堆存等在风力作用下产生的地面扬尘和施工机械排放的尾气；</w:t>
            </w:r>
          </w:p>
          <w:p w14:paraId="3F723462">
            <w:pPr>
              <w:spacing w:line="500" w:lineRule="exact"/>
              <w:ind w:firstLine="480" w:firstLineChars="200"/>
              <w:rPr>
                <w:color w:val="auto"/>
              </w:rPr>
            </w:pPr>
            <w:r>
              <w:rPr>
                <w:rFonts w:hint="eastAsia"/>
                <w:color w:val="auto"/>
              </w:rPr>
              <w:t>（2）废水：施工泥浆废水和施工人员生活污水；</w:t>
            </w:r>
          </w:p>
          <w:p w14:paraId="2D529EB1">
            <w:pPr>
              <w:spacing w:line="500" w:lineRule="exact"/>
              <w:ind w:firstLine="480" w:firstLineChars="200"/>
              <w:rPr>
                <w:color w:val="auto"/>
              </w:rPr>
            </w:pPr>
            <w:r>
              <w:rPr>
                <w:rFonts w:hint="eastAsia"/>
                <w:color w:val="auto"/>
              </w:rPr>
              <w:t>（3）噪声：建筑施工机械噪声及运输车辆噪声；</w:t>
            </w:r>
          </w:p>
          <w:p w14:paraId="3F2A0C30">
            <w:pPr>
              <w:spacing w:line="500" w:lineRule="exact"/>
              <w:ind w:firstLine="480" w:firstLineChars="200"/>
              <w:rPr>
                <w:color w:val="auto"/>
              </w:rPr>
            </w:pPr>
            <w:r>
              <w:rPr>
                <w:rFonts w:hint="eastAsia"/>
                <w:color w:val="auto"/>
              </w:rPr>
              <w:t>（4）固体废物：主要为建筑垃圾和施工人员生活垃圾。</w:t>
            </w:r>
          </w:p>
          <w:p w14:paraId="6FFC3729">
            <w:pPr>
              <w:spacing w:line="520" w:lineRule="exact"/>
              <w:ind w:firstLine="480" w:firstLineChars="200"/>
              <w:rPr>
                <w:color w:val="auto"/>
              </w:rPr>
            </w:pPr>
            <w:r>
              <w:rPr>
                <w:rFonts w:hint="eastAsia"/>
                <w:color w:val="auto"/>
              </w:rPr>
              <w:t>施工期产污环节汇总见下表。</w:t>
            </w:r>
          </w:p>
          <w:p w14:paraId="5A269698">
            <w:pPr>
              <w:spacing w:line="520" w:lineRule="exact"/>
              <w:jc w:val="center"/>
              <w:rPr>
                <w:b/>
                <w:bCs/>
                <w:color w:val="auto"/>
              </w:rPr>
            </w:pPr>
            <w:r>
              <w:rPr>
                <w:rFonts w:hint="eastAsia"/>
                <w:b/>
                <w:bCs/>
                <w:color w:val="auto"/>
              </w:rPr>
              <w:t>表2-6 施工期产污环节汇总表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8"/>
              <w:gridCol w:w="2332"/>
              <w:gridCol w:w="2495"/>
              <w:gridCol w:w="2632"/>
            </w:tblGrid>
            <w:tr w14:paraId="78C2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168" w:type="dxa"/>
                  <w:vAlign w:val="center"/>
                </w:tcPr>
                <w:p w14:paraId="1C07A32D">
                  <w:pPr>
                    <w:spacing w:line="360" w:lineRule="exact"/>
                    <w:jc w:val="center"/>
                    <w:rPr>
                      <w:color w:val="auto"/>
                      <w:sz w:val="21"/>
                      <w:szCs w:val="21"/>
                    </w:rPr>
                  </w:pPr>
                  <w:r>
                    <w:rPr>
                      <w:rFonts w:hint="eastAsia"/>
                      <w:color w:val="auto"/>
                      <w:sz w:val="21"/>
                      <w:szCs w:val="21"/>
                    </w:rPr>
                    <w:t>污染类别</w:t>
                  </w:r>
                </w:p>
              </w:tc>
              <w:tc>
                <w:tcPr>
                  <w:tcW w:w="2332" w:type="dxa"/>
                  <w:vAlign w:val="center"/>
                </w:tcPr>
                <w:p w14:paraId="55DC6147">
                  <w:pPr>
                    <w:spacing w:line="360" w:lineRule="exact"/>
                    <w:jc w:val="center"/>
                    <w:rPr>
                      <w:color w:val="auto"/>
                      <w:sz w:val="21"/>
                      <w:szCs w:val="21"/>
                    </w:rPr>
                  </w:pPr>
                  <w:r>
                    <w:rPr>
                      <w:rFonts w:hint="eastAsia"/>
                      <w:color w:val="auto"/>
                      <w:sz w:val="21"/>
                      <w:szCs w:val="21"/>
                    </w:rPr>
                    <w:t>污染源名称</w:t>
                  </w:r>
                </w:p>
              </w:tc>
              <w:tc>
                <w:tcPr>
                  <w:tcW w:w="2495" w:type="dxa"/>
                  <w:vAlign w:val="center"/>
                </w:tcPr>
                <w:p w14:paraId="5FCFC3B8">
                  <w:pPr>
                    <w:spacing w:line="360" w:lineRule="exact"/>
                    <w:jc w:val="center"/>
                    <w:rPr>
                      <w:color w:val="auto"/>
                      <w:sz w:val="21"/>
                      <w:szCs w:val="21"/>
                    </w:rPr>
                  </w:pPr>
                  <w:r>
                    <w:rPr>
                      <w:rFonts w:hint="eastAsia"/>
                      <w:color w:val="auto"/>
                      <w:sz w:val="21"/>
                      <w:szCs w:val="21"/>
                    </w:rPr>
                    <w:t>产污环节编号</w:t>
                  </w:r>
                </w:p>
              </w:tc>
              <w:tc>
                <w:tcPr>
                  <w:tcW w:w="2632" w:type="dxa"/>
                  <w:vAlign w:val="center"/>
                </w:tcPr>
                <w:p w14:paraId="1398D457">
                  <w:pPr>
                    <w:spacing w:line="360" w:lineRule="exact"/>
                    <w:jc w:val="center"/>
                    <w:rPr>
                      <w:color w:val="auto"/>
                      <w:sz w:val="21"/>
                      <w:szCs w:val="21"/>
                    </w:rPr>
                  </w:pPr>
                  <w:r>
                    <w:rPr>
                      <w:rFonts w:hint="eastAsia"/>
                      <w:color w:val="auto"/>
                      <w:sz w:val="21"/>
                      <w:szCs w:val="21"/>
                    </w:rPr>
                    <w:t>主要污染物</w:t>
                  </w:r>
                </w:p>
              </w:tc>
            </w:tr>
            <w:tr w14:paraId="4A19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Merge w:val="restart"/>
                  <w:vAlign w:val="center"/>
                </w:tcPr>
                <w:p w14:paraId="0DAD0F01">
                  <w:pPr>
                    <w:spacing w:line="360" w:lineRule="exact"/>
                    <w:jc w:val="center"/>
                    <w:rPr>
                      <w:color w:val="auto"/>
                      <w:sz w:val="21"/>
                      <w:szCs w:val="21"/>
                    </w:rPr>
                  </w:pPr>
                  <w:r>
                    <w:rPr>
                      <w:rFonts w:hint="eastAsia"/>
                      <w:color w:val="auto"/>
                      <w:sz w:val="21"/>
                      <w:szCs w:val="21"/>
                    </w:rPr>
                    <w:t>废气</w:t>
                  </w:r>
                </w:p>
              </w:tc>
              <w:tc>
                <w:tcPr>
                  <w:tcW w:w="2332" w:type="dxa"/>
                  <w:vAlign w:val="center"/>
                </w:tcPr>
                <w:p w14:paraId="1AD7EB94">
                  <w:pPr>
                    <w:spacing w:line="360" w:lineRule="exact"/>
                    <w:jc w:val="center"/>
                    <w:rPr>
                      <w:color w:val="auto"/>
                      <w:sz w:val="21"/>
                      <w:szCs w:val="21"/>
                    </w:rPr>
                  </w:pPr>
                  <w:r>
                    <w:rPr>
                      <w:rFonts w:hint="eastAsia"/>
                      <w:color w:val="auto"/>
                      <w:sz w:val="21"/>
                      <w:szCs w:val="21"/>
                    </w:rPr>
                    <w:t>施工扬尘</w:t>
                  </w:r>
                </w:p>
              </w:tc>
              <w:tc>
                <w:tcPr>
                  <w:tcW w:w="2495" w:type="dxa"/>
                  <w:vAlign w:val="center"/>
                </w:tcPr>
                <w:p w14:paraId="120016B5">
                  <w:pPr>
                    <w:spacing w:line="360" w:lineRule="exact"/>
                    <w:jc w:val="center"/>
                    <w:rPr>
                      <w:color w:val="auto"/>
                      <w:sz w:val="21"/>
                      <w:szCs w:val="21"/>
                    </w:rPr>
                  </w:pPr>
                  <w:r>
                    <w:rPr>
                      <w:rFonts w:hint="eastAsia"/>
                      <w:color w:val="auto"/>
                      <w:sz w:val="21"/>
                      <w:szCs w:val="21"/>
                    </w:rPr>
                    <w:t>G1</w:t>
                  </w:r>
                </w:p>
              </w:tc>
              <w:tc>
                <w:tcPr>
                  <w:tcW w:w="2632" w:type="dxa"/>
                  <w:vAlign w:val="center"/>
                </w:tcPr>
                <w:p w14:paraId="58E0A3C3">
                  <w:pPr>
                    <w:spacing w:line="360" w:lineRule="exact"/>
                    <w:jc w:val="center"/>
                    <w:rPr>
                      <w:color w:val="auto"/>
                      <w:sz w:val="21"/>
                      <w:szCs w:val="21"/>
                    </w:rPr>
                  </w:pPr>
                  <w:r>
                    <w:rPr>
                      <w:rFonts w:hint="eastAsia"/>
                      <w:color w:val="auto"/>
                      <w:sz w:val="21"/>
                      <w:szCs w:val="21"/>
                    </w:rPr>
                    <w:t>粉尘</w:t>
                  </w:r>
                </w:p>
              </w:tc>
            </w:tr>
            <w:tr w14:paraId="4E32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Merge w:val="continue"/>
                  <w:vAlign w:val="center"/>
                </w:tcPr>
                <w:p w14:paraId="3C0A4D68">
                  <w:pPr>
                    <w:spacing w:line="360" w:lineRule="exact"/>
                    <w:jc w:val="center"/>
                    <w:rPr>
                      <w:color w:val="auto"/>
                      <w:sz w:val="21"/>
                      <w:szCs w:val="21"/>
                    </w:rPr>
                  </w:pPr>
                </w:p>
              </w:tc>
              <w:tc>
                <w:tcPr>
                  <w:tcW w:w="2332" w:type="dxa"/>
                  <w:vAlign w:val="center"/>
                </w:tcPr>
                <w:p w14:paraId="0190A921">
                  <w:pPr>
                    <w:spacing w:line="360" w:lineRule="exact"/>
                    <w:jc w:val="center"/>
                    <w:rPr>
                      <w:color w:val="auto"/>
                      <w:sz w:val="21"/>
                      <w:szCs w:val="21"/>
                    </w:rPr>
                  </w:pPr>
                  <w:r>
                    <w:rPr>
                      <w:rFonts w:hint="eastAsia"/>
                      <w:color w:val="auto"/>
                      <w:sz w:val="21"/>
                      <w:szCs w:val="21"/>
                    </w:rPr>
                    <w:t>施工机械废气</w:t>
                  </w:r>
                </w:p>
              </w:tc>
              <w:tc>
                <w:tcPr>
                  <w:tcW w:w="2495" w:type="dxa"/>
                  <w:vAlign w:val="center"/>
                </w:tcPr>
                <w:p w14:paraId="61984380">
                  <w:pPr>
                    <w:spacing w:line="360" w:lineRule="exact"/>
                    <w:jc w:val="center"/>
                    <w:rPr>
                      <w:color w:val="auto"/>
                      <w:sz w:val="21"/>
                      <w:szCs w:val="21"/>
                    </w:rPr>
                  </w:pPr>
                  <w:r>
                    <w:rPr>
                      <w:rFonts w:hint="eastAsia"/>
                      <w:color w:val="auto"/>
                      <w:sz w:val="21"/>
                      <w:szCs w:val="21"/>
                    </w:rPr>
                    <w:t>G2</w:t>
                  </w:r>
                </w:p>
              </w:tc>
              <w:tc>
                <w:tcPr>
                  <w:tcW w:w="2632" w:type="dxa"/>
                  <w:vAlign w:val="center"/>
                </w:tcPr>
                <w:p w14:paraId="67DA3F2B">
                  <w:pPr>
                    <w:spacing w:line="360" w:lineRule="exact"/>
                    <w:jc w:val="center"/>
                    <w:rPr>
                      <w:color w:val="auto"/>
                      <w:sz w:val="21"/>
                      <w:szCs w:val="21"/>
                    </w:rPr>
                  </w:pPr>
                  <w:r>
                    <w:rPr>
                      <w:rFonts w:hint="eastAsia"/>
                      <w:color w:val="auto"/>
                      <w:sz w:val="21"/>
                      <w:szCs w:val="21"/>
                    </w:rPr>
                    <w:t>CO、THC、NOx</w:t>
                  </w:r>
                </w:p>
              </w:tc>
            </w:tr>
            <w:tr w14:paraId="2DAF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Merge w:val="restart"/>
                  <w:vAlign w:val="center"/>
                </w:tcPr>
                <w:p w14:paraId="4F824FB7">
                  <w:pPr>
                    <w:spacing w:line="360" w:lineRule="exact"/>
                    <w:jc w:val="center"/>
                    <w:rPr>
                      <w:color w:val="auto"/>
                      <w:sz w:val="21"/>
                      <w:szCs w:val="21"/>
                    </w:rPr>
                  </w:pPr>
                  <w:r>
                    <w:rPr>
                      <w:rFonts w:hint="eastAsia"/>
                      <w:color w:val="auto"/>
                      <w:sz w:val="21"/>
                      <w:szCs w:val="21"/>
                    </w:rPr>
                    <w:t>废水</w:t>
                  </w:r>
                </w:p>
              </w:tc>
              <w:tc>
                <w:tcPr>
                  <w:tcW w:w="2332" w:type="dxa"/>
                  <w:vAlign w:val="center"/>
                </w:tcPr>
                <w:p w14:paraId="307E11DE">
                  <w:pPr>
                    <w:spacing w:line="360" w:lineRule="exact"/>
                    <w:jc w:val="center"/>
                    <w:rPr>
                      <w:color w:val="auto"/>
                      <w:sz w:val="21"/>
                      <w:szCs w:val="21"/>
                    </w:rPr>
                  </w:pPr>
                  <w:r>
                    <w:rPr>
                      <w:rFonts w:hint="eastAsia"/>
                      <w:color w:val="auto"/>
                      <w:sz w:val="21"/>
                      <w:szCs w:val="21"/>
                    </w:rPr>
                    <w:t>施工废水</w:t>
                  </w:r>
                </w:p>
              </w:tc>
              <w:tc>
                <w:tcPr>
                  <w:tcW w:w="2495" w:type="dxa"/>
                  <w:vAlign w:val="center"/>
                </w:tcPr>
                <w:p w14:paraId="209E2E13">
                  <w:pPr>
                    <w:spacing w:line="360" w:lineRule="exact"/>
                    <w:jc w:val="center"/>
                    <w:rPr>
                      <w:color w:val="auto"/>
                      <w:sz w:val="21"/>
                      <w:szCs w:val="21"/>
                    </w:rPr>
                  </w:pPr>
                  <w:r>
                    <w:rPr>
                      <w:rFonts w:hint="eastAsia"/>
                      <w:color w:val="auto"/>
                      <w:sz w:val="21"/>
                      <w:szCs w:val="21"/>
                    </w:rPr>
                    <w:t>W1</w:t>
                  </w:r>
                </w:p>
              </w:tc>
              <w:tc>
                <w:tcPr>
                  <w:tcW w:w="2632" w:type="dxa"/>
                  <w:vAlign w:val="center"/>
                </w:tcPr>
                <w:p w14:paraId="5A29C109">
                  <w:pPr>
                    <w:spacing w:line="360" w:lineRule="exact"/>
                    <w:jc w:val="center"/>
                    <w:rPr>
                      <w:color w:val="auto"/>
                      <w:sz w:val="21"/>
                      <w:szCs w:val="21"/>
                    </w:rPr>
                  </w:pPr>
                  <w:r>
                    <w:rPr>
                      <w:rFonts w:hint="eastAsia"/>
                      <w:color w:val="auto"/>
                      <w:sz w:val="21"/>
                      <w:szCs w:val="21"/>
                    </w:rPr>
                    <w:t>SS</w:t>
                  </w:r>
                </w:p>
              </w:tc>
            </w:tr>
            <w:tr w14:paraId="1DD0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Merge w:val="continue"/>
                  <w:vAlign w:val="center"/>
                </w:tcPr>
                <w:p w14:paraId="4E5A12A0">
                  <w:pPr>
                    <w:spacing w:line="360" w:lineRule="exact"/>
                    <w:jc w:val="center"/>
                    <w:rPr>
                      <w:color w:val="auto"/>
                      <w:sz w:val="21"/>
                      <w:szCs w:val="21"/>
                    </w:rPr>
                  </w:pPr>
                </w:p>
              </w:tc>
              <w:tc>
                <w:tcPr>
                  <w:tcW w:w="2332" w:type="dxa"/>
                  <w:vAlign w:val="center"/>
                </w:tcPr>
                <w:p w14:paraId="4A2AD918">
                  <w:pPr>
                    <w:spacing w:line="360" w:lineRule="exact"/>
                    <w:jc w:val="center"/>
                    <w:rPr>
                      <w:color w:val="auto"/>
                      <w:sz w:val="21"/>
                      <w:szCs w:val="21"/>
                    </w:rPr>
                  </w:pPr>
                  <w:r>
                    <w:rPr>
                      <w:rFonts w:hint="eastAsia"/>
                      <w:color w:val="auto"/>
                      <w:sz w:val="21"/>
                      <w:szCs w:val="21"/>
                    </w:rPr>
                    <w:t>施工生活污水</w:t>
                  </w:r>
                </w:p>
              </w:tc>
              <w:tc>
                <w:tcPr>
                  <w:tcW w:w="2495" w:type="dxa"/>
                  <w:vAlign w:val="center"/>
                </w:tcPr>
                <w:p w14:paraId="248BCDA6">
                  <w:pPr>
                    <w:spacing w:line="360" w:lineRule="exact"/>
                    <w:jc w:val="center"/>
                    <w:rPr>
                      <w:color w:val="auto"/>
                      <w:sz w:val="21"/>
                      <w:szCs w:val="21"/>
                    </w:rPr>
                  </w:pPr>
                  <w:r>
                    <w:rPr>
                      <w:rFonts w:hint="eastAsia"/>
                      <w:color w:val="auto"/>
                      <w:sz w:val="21"/>
                      <w:szCs w:val="21"/>
                    </w:rPr>
                    <w:t>W2</w:t>
                  </w:r>
                </w:p>
              </w:tc>
              <w:tc>
                <w:tcPr>
                  <w:tcW w:w="2632" w:type="dxa"/>
                  <w:vAlign w:val="center"/>
                </w:tcPr>
                <w:p w14:paraId="466097DE">
                  <w:pPr>
                    <w:spacing w:line="360" w:lineRule="exact"/>
                    <w:jc w:val="center"/>
                    <w:rPr>
                      <w:color w:val="auto"/>
                      <w:sz w:val="21"/>
                      <w:szCs w:val="21"/>
                    </w:rPr>
                  </w:pPr>
                  <w:r>
                    <w:rPr>
                      <w:rFonts w:hint="eastAsia"/>
                      <w:color w:val="auto"/>
                      <w:sz w:val="21"/>
                      <w:szCs w:val="21"/>
                    </w:rPr>
                    <w:t>COD、NH</w:t>
                  </w:r>
                  <w:r>
                    <w:rPr>
                      <w:rFonts w:hint="eastAsia"/>
                      <w:color w:val="auto"/>
                      <w:sz w:val="21"/>
                      <w:szCs w:val="21"/>
                      <w:vertAlign w:val="subscript"/>
                    </w:rPr>
                    <w:t>3</w:t>
                  </w:r>
                  <w:r>
                    <w:rPr>
                      <w:rFonts w:hint="eastAsia"/>
                      <w:color w:val="auto"/>
                      <w:sz w:val="21"/>
                      <w:szCs w:val="21"/>
                    </w:rPr>
                    <w:t>-N、SS</w:t>
                  </w:r>
                </w:p>
              </w:tc>
            </w:tr>
            <w:tr w14:paraId="254E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Merge w:val="restart"/>
                  <w:vAlign w:val="center"/>
                </w:tcPr>
                <w:p w14:paraId="7C5EFC9E">
                  <w:pPr>
                    <w:spacing w:line="360" w:lineRule="exact"/>
                    <w:jc w:val="center"/>
                    <w:rPr>
                      <w:color w:val="auto"/>
                      <w:sz w:val="21"/>
                      <w:szCs w:val="21"/>
                    </w:rPr>
                  </w:pPr>
                  <w:r>
                    <w:rPr>
                      <w:rFonts w:hint="eastAsia"/>
                      <w:color w:val="auto"/>
                      <w:sz w:val="21"/>
                      <w:szCs w:val="21"/>
                    </w:rPr>
                    <w:t>固废</w:t>
                  </w:r>
                </w:p>
              </w:tc>
              <w:tc>
                <w:tcPr>
                  <w:tcW w:w="2332" w:type="dxa"/>
                  <w:vAlign w:val="center"/>
                </w:tcPr>
                <w:p w14:paraId="4105FED7">
                  <w:pPr>
                    <w:spacing w:line="360" w:lineRule="exact"/>
                    <w:jc w:val="center"/>
                    <w:rPr>
                      <w:color w:val="auto"/>
                      <w:sz w:val="21"/>
                      <w:szCs w:val="21"/>
                    </w:rPr>
                  </w:pPr>
                  <w:r>
                    <w:rPr>
                      <w:rFonts w:hint="eastAsia"/>
                      <w:color w:val="auto"/>
                      <w:sz w:val="21"/>
                      <w:szCs w:val="21"/>
                    </w:rPr>
                    <w:t>建筑垃圾</w:t>
                  </w:r>
                </w:p>
              </w:tc>
              <w:tc>
                <w:tcPr>
                  <w:tcW w:w="2495" w:type="dxa"/>
                  <w:vAlign w:val="center"/>
                </w:tcPr>
                <w:p w14:paraId="2D32D71C">
                  <w:pPr>
                    <w:spacing w:line="360" w:lineRule="exact"/>
                    <w:jc w:val="center"/>
                    <w:rPr>
                      <w:color w:val="auto"/>
                      <w:sz w:val="21"/>
                      <w:szCs w:val="21"/>
                    </w:rPr>
                  </w:pPr>
                  <w:r>
                    <w:rPr>
                      <w:rFonts w:hint="eastAsia"/>
                      <w:color w:val="auto"/>
                      <w:sz w:val="21"/>
                      <w:szCs w:val="21"/>
                    </w:rPr>
                    <w:t>S1</w:t>
                  </w:r>
                </w:p>
              </w:tc>
              <w:tc>
                <w:tcPr>
                  <w:tcW w:w="2632" w:type="dxa"/>
                  <w:vAlign w:val="center"/>
                </w:tcPr>
                <w:p w14:paraId="3B2EA26D">
                  <w:pPr>
                    <w:spacing w:line="360" w:lineRule="exact"/>
                    <w:jc w:val="center"/>
                    <w:rPr>
                      <w:color w:val="auto"/>
                      <w:sz w:val="21"/>
                      <w:szCs w:val="21"/>
                    </w:rPr>
                  </w:pPr>
                  <w:r>
                    <w:rPr>
                      <w:rFonts w:hint="eastAsia"/>
                      <w:color w:val="auto"/>
                      <w:sz w:val="21"/>
                      <w:szCs w:val="21"/>
                    </w:rPr>
                    <w:t>建筑垃圾</w:t>
                  </w:r>
                </w:p>
              </w:tc>
            </w:tr>
            <w:tr w14:paraId="5B386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Merge w:val="continue"/>
                  <w:vAlign w:val="center"/>
                </w:tcPr>
                <w:p w14:paraId="3859A45A">
                  <w:pPr>
                    <w:spacing w:line="360" w:lineRule="exact"/>
                    <w:jc w:val="center"/>
                    <w:rPr>
                      <w:color w:val="auto"/>
                      <w:sz w:val="21"/>
                      <w:szCs w:val="21"/>
                    </w:rPr>
                  </w:pPr>
                </w:p>
              </w:tc>
              <w:tc>
                <w:tcPr>
                  <w:tcW w:w="2332" w:type="dxa"/>
                  <w:vAlign w:val="center"/>
                </w:tcPr>
                <w:p w14:paraId="7D8971A1">
                  <w:pPr>
                    <w:spacing w:line="360" w:lineRule="exact"/>
                    <w:jc w:val="center"/>
                    <w:rPr>
                      <w:color w:val="auto"/>
                      <w:sz w:val="21"/>
                      <w:szCs w:val="21"/>
                    </w:rPr>
                  </w:pPr>
                  <w:r>
                    <w:rPr>
                      <w:rFonts w:hint="eastAsia"/>
                      <w:color w:val="auto"/>
                      <w:sz w:val="21"/>
                      <w:szCs w:val="21"/>
                    </w:rPr>
                    <w:t>施工人员生活垃圾</w:t>
                  </w:r>
                </w:p>
              </w:tc>
              <w:tc>
                <w:tcPr>
                  <w:tcW w:w="2495" w:type="dxa"/>
                  <w:vAlign w:val="center"/>
                </w:tcPr>
                <w:p w14:paraId="57806D46">
                  <w:pPr>
                    <w:spacing w:line="360" w:lineRule="exact"/>
                    <w:jc w:val="center"/>
                    <w:rPr>
                      <w:color w:val="auto"/>
                      <w:sz w:val="21"/>
                      <w:szCs w:val="21"/>
                    </w:rPr>
                  </w:pPr>
                  <w:r>
                    <w:rPr>
                      <w:rFonts w:hint="eastAsia"/>
                      <w:color w:val="auto"/>
                      <w:sz w:val="21"/>
                      <w:szCs w:val="21"/>
                    </w:rPr>
                    <w:t>S2</w:t>
                  </w:r>
                </w:p>
              </w:tc>
              <w:tc>
                <w:tcPr>
                  <w:tcW w:w="2632" w:type="dxa"/>
                  <w:vAlign w:val="center"/>
                </w:tcPr>
                <w:p w14:paraId="7133054F">
                  <w:pPr>
                    <w:spacing w:line="360" w:lineRule="exact"/>
                    <w:jc w:val="center"/>
                    <w:rPr>
                      <w:color w:val="auto"/>
                      <w:sz w:val="21"/>
                      <w:szCs w:val="21"/>
                    </w:rPr>
                  </w:pPr>
                  <w:r>
                    <w:rPr>
                      <w:rFonts w:hint="eastAsia"/>
                      <w:color w:val="auto"/>
                      <w:sz w:val="21"/>
                      <w:szCs w:val="21"/>
                    </w:rPr>
                    <w:t>生活垃圾</w:t>
                  </w:r>
                </w:p>
              </w:tc>
            </w:tr>
            <w:tr w14:paraId="0360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Merge w:val="restart"/>
                  <w:vAlign w:val="center"/>
                </w:tcPr>
                <w:p w14:paraId="3684A887">
                  <w:pPr>
                    <w:spacing w:line="360" w:lineRule="exact"/>
                    <w:jc w:val="center"/>
                    <w:rPr>
                      <w:color w:val="auto"/>
                      <w:sz w:val="21"/>
                      <w:szCs w:val="21"/>
                    </w:rPr>
                  </w:pPr>
                  <w:r>
                    <w:rPr>
                      <w:rFonts w:hint="eastAsia"/>
                      <w:color w:val="auto"/>
                      <w:sz w:val="21"/>
                      <w:szCs w:val="21"/>
                    </w:rPr>
                    <w:t>噪声</w:t>
                  </w:r>
                </w:p>
              </w:tc>
              <w:tc>
                <w:tcPr>
                  <w:tcW w:w="2332" w:type="dxa"/>
                  <w:vAlign w:val="center"/>
                </w:tcPr>
                <w:p w14:paraId="09CD73FB">
                  <w:pPr>
                    <w:spacing w:line="360" w:lineRule="exact"/>
                    <w:jc w:val="center"/>
                    <w:rPr>
                      <w:color w:val="auto"/>
                      <w:sz w:val="21"/>
                      <w:szCs w:val="21"/>
                    </w:rPr>
                  </w:pPr>
                  <w:r>
                    <w:rPr>
                      <w:rFonts w:hint="eastAsia"/>
                      <w:color w:val="auto"/>
                      <w:sz w:val="21"/>
                      <w:szCs w:val="21"/>
                    </w:rPr>
                    <w:t>施工机械噪声</w:t>
                  </w:r>
                </w:p>
              </w:tc>
              <w:tc>
                <w:tcPr>
                  <w:tcW w:w="2495" w:type="dxa"/>
                  <w:vAlign w:val="center"/>
                </w:tcPr>
                <w:p w14:paraId="28E3686F">
                  <w:pPr>
                    <w:spacing w:line="360" w:lineRule="exact"/>
                    <w:jc w:val="center"/>
                    <w:rPr>
                      <w:color w:val="auto"/>
                      <w:sz w:val="21"/>
                      <w:szCs w:val="21"/>
                    </w:rPr>
                  </w:pPr>
                  <w:r>
                    <w:rPr>
                      <w:rFonts w:hint="eastAsia"/>
                      <w:color w:val="auto"/>
                      <w:sz w:val="21"/>
                      <w:szCs w:val="21"/>
                    </w:rPr>
                    <w:t>/</w:t>
                  </w:r>
                </w:p>
              </w:tc>
              <w:tc>
                <w:tcPr>
                  <w:tcW w:w="2632" w:type="dxa"/>
                  <w:vAlign w:val="center"/>
                </w:tcPr>
                <w:p w14:paraId="616E6D15">
                  <w:pPr>
                    <w:spacing w:line="360" w:lineRule="exact"/>
                    <w:jc w:val="center"/>
                    <w:rPr>
                      <w:color w:val="auto"/>
                      <w:sz w:val="21"/>
                      <w:szCs w:val="21"/>
                    </w:rPr>
                  </w:pPr>
                  <w:r>
                    <w:rPr>
                      <w:rFonts w:hint="eastAsia"/>
                      <w:color w:val="auto"/>
                      <w:sz w:val="21"/>
                      <w:szCs w:val="21"/>
                    </w:rPr>
                    <w:t>噪声</w:t>
                  </w:r>
                </w:p>
              </w:tc>
            </w:tr>
            <w:tr w14:paraId="1168C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8" w:type="dxa"/>
                  <w:vMerge w:val="continue"/>
                  <w:vAlign w:val="center"/>
                </w:tcPr>
                <w:p w14:paraId="64DC6452">
                  <w:pPr>
                    <w:spacing w:line="360" w:lineRule="exact"/>
                    <w:jc w:val="center"/>
                    <w:rPr>
                      <w:color w:val="auto"/>
                      <w:sz w:val="21"/>
                      <w:szCs w:val="21"/>
                    </w:rPr>
                  </w:pPr>
                </w:p>
              </w:tc>
              <w:tc>
                <w:tcPr>
                  <w:tcW w:w="2332" w:type="dxa"/>
                  <w:vAlign w:val="center"/>
                </w:tcPr>
                <w:p w14:paraId="7B9DB4A7">
                  <w:pPr>
                    <w:spacing w:line="360" w:lineRule="exact"/>
                    <w:jc w:val="center"/>
                    <w:rPr>
                      <w:color w:val="auto"/>
                      <w:sz w:val="21"/>
                      <w:szCs w:val="21"/>
                    </w:rPr>
                  </w:pPr>
                  <w:r>
                    <w:rPr>
                      <w:rFonts w:hint="eastAsia"/>
                      <w:color w:val="auto"/>
                      <w:sz w:val="21"/>
                      <w:szCs w:val="21"/>
                    </w:rPr>
                    <w:t>施工车辆噪声</w:t>
                  </w:r>
                </w:p>
              </w:tc>
              <w:tc>
                <w:tcPr>
                  <w:tcW w:w="2495" w:type="dxa"/>
                  <w:vAlign w:val="center"/>
                </w:tcPr>
                <w:p w14:paraId="38113D53">
                  <w:pPr>
                    <w:spacing w:line="360" w:lineRule="exact"/>
                    <w:jc w:val="center"/>
                    <w:rPr>
                      <w:color w:val="auto"/>
                      <w:sz w:val="21"/>
                      <w:szCs w:val="21"/>
                    </w:rPr>
                  </w:pPr>
                  <w:r>
                    <w:rPr>
                      <w:rFonts w:hint="eastAsia"/>
                      <w:color w:val="auto"/>
                      <w:sz w:val="21"/>
                      <w:szCs w:val="21"/>
                    </w:rPr>
                    <w:t>/</w:t>
                  </w:r>
                </w:p>
              </w:tc>
              <w:tc>
                <w:tcPr>
                  <w:tcW w:w="2632" w:type="dxa"/>
                  <w:vAlign w:val="center"/>
                </w:tcPr>
                <w:p w14:paraId="77929A22">
                  <w:pPr>
                    <w:spacing w:line="360" w:lineRule="exact"/>
                    <w:jc w:val="center"/>
                    <w:rPr>
                      <w:color w:val="auto"/>
                      <w:sz w:val="21"/>
                      <w:szCs w:val="21"/>
                    </w:rPr>
                  </w:pPr>
                  <w:r>
                    <w:rPr>
                      <w:rFonts w:hint="eastAsia"/>
                      <w:color w:val="auto"/>
                      <w:sz w:val="21"/>
                      <w:szCs w:val="21"/>
                    </w:rPr>
                    <w:t>噪声</w:t>
                  </w:r>
                </w:p>
              </w:tc>
            </w:tr>
          </w:tbl>
          <w:p w14:paraId="0D1C326D">
            <w:pPr>
              <w:pStyle w:val="24"/>
              <w:adjustRightInd w:val="0"/>
              <w:snapToGrid w:val="0"/>
              <w:spacing w:after="0" w:line="500" w:lineRule="exact"/>
              <w:ind w:left="0" w:leftChars="0" w:firstLine="482" w:firstLineChars="200"/>
              <w:rPr>
                <w:b/>
                <w:bCs/>
                <w:color w:val="auto"/>
                <w:szCs w:val="24"/>
              </w:rPr>
            </w:pPr>
            <w:r>
              <w:rPr>
                <w:rFonts w:hint="eastAsia"/>
                <w:b/>
                <w:bCs/>
                <w:color w:val="auto"/>
                <w:szCs w:val="24"/>
              </w:rPr>
              <w:t>2、</w:t>
            </w:r>
            <w:r>
              <w:rPr>
                <w:b/>
                <w:bCs/>
                <w:color w:val="auto"/>
                <w:szCs w:val="24"/>
              </w:rPr>
              <w:t>营运期</w:t>
            </w:r>
          </w:p>
          <w:p w14:paraId="22EC85E2">
            <w:pPr>
              <w:spacing w:line="500" w:lineRule="exact"/>
              <w:ind w:firstLine="482" w:firstLineChars="200"/>
              <w:rPr>
                <w:b/>
                <w:bCs/>
                <w:color w:val="auto"/>
              </w:rPr>
            </w:pPr>
            <w:r>
              <w:rPr>
                <w:rFonts w:hint="eastAsia"/>
                <w:b/>
                <w:bCs/>
                <w:color w:val="auto"/>
              </w:rPr>
              <w:t>2.1生产</w:t>
            </w:r>
            <w:r>
              <w:rPr>
                <w:b/>
                <w:bCs/>
                <w:color w:val="auto"/>
              </w:rPr>
              <w:t>工艺流程</w:t>
            </w:r>
            <w:r>
              <w:rPr>
                <w:rFonts w:hint="eastAsia"/>
                <w:b/>
                <w:bCs/>
                <w:color w:val="auto"/>
              </w:rPr>
              <w:t>及产排污节点</w:t>
            </w:r>
          </w:p>
          <w:p w14:paraId="3BA52FDF">
            <w:pPr>
              <w:pStyle w:val="6"/>
              <w:adjustRightInd w:val="0"/>
              <w:snapToGrid w:val="0"/>
              <w:spacing w:line="500" w:lineRule="exact"/>
              <w:ind w:firstLine="480" w:firstLineChars="200"/>
              <w:rPr>
                <w:rFonts w:hint="eastAsia"/>
                <w:color w:val="auto"/>
              </w:rPr>
            </w:pPr>
            <w:r>
              <w:rPr>
                <w:rFonts w:hint="eastAsia"/>
                <w:color w:val="auto"/>
              </w:rPr>
              <w:t>（1）废钢回收生产线工艺流程</w:t>
            </w:r>
          </w:p>
          <w:p w14:paraId="37E2936A">
            <w:pPr>
              <w:pStyle w:val="6"/>
              <w:ind w:firstLine="0"/>
              <w:jc w:val="center"/>
              <w:rPr>
                <w:color w:val="auto"/>
              </w:rPr>
            </w:pPr>
            <w:r>
              <w:rPr>
                <w:color w:val="auto"/>
              </w:rPr>
              <mc:AlternateContent>
                <mc:Choice Requires="wpc">
                  <w:drawing>
                    <wp:inline distT="0" distB="0" distL="114300" distR="114300">
                      <wp:extent cx="4228465" cy="4451350"/>
                      <wp:effectExtent l="0" t="0" r="0" b="0"/>
                      <wp:docPr id="108" name="画布 108"/>
                      <wp:cNvGraphicFramePr/>
                      <a:graphic xmlns:a="http://schemas.openxmlformats.org/drawingml/2006/main">
                        <a:graphicData uri="http://schemas.microsoft.com/office/word/2010/wordprocessingCanvas">
                          <wpc:wpc>
                            <wpc:bg>
                              <a:noFill/>
                            </wpc:bg>
                            <wpc:whole>
                              <a:ln>
                                <a:noFill/>
                              </a:ln>
                            </wpc:whole>
                            <wps:wsp>
                              <wps:cNvPr id="81" name="文本框 81"/>
                              <wps:cNvSpPr txBox="1"/>
                              <wps:spPr>
                                <a:xfrm>
                                  <a:off x="1170305" y="646430"/>
                                  <a:ext cx="989965"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107E777">
                                    <w:pPr>
                                      <w:spacing w:line="360" w:lineRule="exact"/>
                                      <w:jc w:val="center"/>
                                      <w:rPr>
                                        <w:rFonts w:hint="eastAsia" w:ascii="宋体" w:hAnsi="宋体" w:cs="宋体"/>
                                        <w:sz w:val="21"/>
                                        <w:szCs w:val="21"/>
                                      </w:rPr>
                                    </w:pPr>
                                    <w:r>
                                      <w:rPr>
                                        <w:rFonts w:hint="eastAsia" w:ascii="宋体" w:hAnsi="宋体" w:cs="宋体"/>
                                        <w:sz w:val="21"/>
                                        <w:szCs w:val="21"/>
                                      </w:rPr>
                                      <w:t>合格废钢</w:t>
                                    </w:r>
                                  </w:p>
                                </w:txbxContent>
                              </wps:txbx>
                              <wps:bodyPr lIns="0" tIns="0" rIns="0" bIns="0" upright="1"/>
                            </wps:wsp>
                            <wps:wsp>
                              <wps:cNvPr id="82" name="直接连接符 82"/>
                              <wps:cNvCnPr/>
                              <wps:spPr>
                                <a:xfrm rot="5400000">
                                  <a:off x="1501140" y="1094105"/>
                                  <a:ext cx="323850" cy="0"/>
                                </a:xfrm>
                                <a:prstGeom prst="line">
                                  <a:avLst/>
                                </a:prstGeom>
                                <a:ln w="9525" cap="flat" cmpd="sng">
                                  <a:solidFill>
                                    <a:srgbClr val="000000"/>
                                  </a:solidFill>
                                  <a:prstDash val="solid"/>
                                  <a:headEnd type="none" w="med" len="med"/>
                                  <a:tailEnd type="triangle" w="med" len="med"/>
                                </a:ln>
                              </wps:spPr>
                              <wps:bodyPr/>
                            </wps:wsp>
                            <wps:wsp>
                              <wps:cNvPr id="83" name="文本框 83"/>
                              <wps:cNvSpPr txBox="1"/>
                              <wps:spPr>
                                <a:xfrm>
                                  <a:off x="1170305" y="1247140"/>
                                  <a:ext cx="989965"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7548B9">
                                    <w:pPr>
                                      <w:spacing w:line="360" w:lineRule="exact"/>
                                      <w:jc w:val="center"/>
                                      <w:rPr>
                                        <w:rFonts w:hint="eastAsia" w:ascii="宋体" w:hAnsi="宋体" w:cs="宋体"/>
                                        <w:sz w:val="21"/>
                                        <w:szCs w:val="21"/>
                                      </w:rPr>
                                    </w:pPr>
                                    <w:r>
                                      <w:rPr>
                                        <w:rFonts w:hint="eastAsia" w:ascii="宋体" w:hAnsi="宋体" w:cs="宋体"/>
                                        <w:sz w:val="21"/>
                                        <w:szCs w:val="21"/>
                                      </w:rPr>
                                      <w:t>称重</w:t>
                                    </w:r>
                                  </w:p>
                                </w:txbxContent>
                              </wps:txbx>
                              <wps:bodyPr lIns="0" tIns="0" rIns="0" bIns="0" upright="1"/>
                            </wps:wsp>
                            <wps:wsp>
                              <wps:cNvPr id="84" name="文本框 84"/>
                              <wps:cNvSpPr txBox="1"/>
                              <wps:spPr>
                                <a:xfrm>
                                  <a:off x="1161415" y="1847850"/>
                                  <a:ext cx="9779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76D403">
                                    <w:pPr>
                                      <w:spacing w:line="360" w:lineRule="exact"/>
                                      <w:jc w:val="center"/>
                                      <w:rPr>
                                        <w:rFonts w:hint="eastAsia" w:ascii="宋体" w:hAnsi="宋体" w:cs="宋体"/>
                                        <w:sz w:val="21"/>
                                        <w:szCs w:val="21"/>
                                      </w:rPr>
                                    </w:pPr>
                                    <w:r>
                                      <w:rPr>
                                        <w:rFonts w:hint="eastAsia" w:ascii="宋体" w:hAnsi="宋体" w:cs="宋体"/>
                                        <w:sz w:val="21"/>
                                        <w:szCs w:val="21"/>
                                      </w:rPr>
                                      <w:t>分类</w:t>
                                    </w:r>
                                  </w:p>
                                </w:txbxContent>
                              </wps:txbx>
                              <wps:bodyPr lIns="0" tIns="0" rIns="0" bIns="0" upright="1"/>
                            </wps:wsp>
                            <wps:wsp>
                              <wps:cNvPr id="85" name="直接连接符 85"/>
                              <wps:cNvCnPr/>
                              <wps:spPr>
                                <a:xfrm rot="5400000">
                                  <a:off x="1494790" y="1691640"/>
                                  <a:ext cx="317500" cy="0"/>
                                </a:xfrm>
                                <a:prstGeom prst="line">
                                  <a:avLst/>
                                </a:prstGeom>
                                <a:ln w="9525" cap="flat" cmpd="sng">
                                  <a:solidFill>
                                    <a:srgbClr val="000000"/>
                                  </a:solidFill>
                                  <a:prstDash val="solid"/>
                                  <a:headEnd type="none" w="med" len="med"/>
                                  <a:tailEnd type="triangle" w="med" len="med"/>
                                </a:ln>
                              </wps:spPr>
                              <wps:bodyPr/>
                            </wps:wsp>
                            <wps:wsp>
                              <wps:cNvPr id="86" name="直接连接符 86"/>
                              <wps:cNvCnPr/>
                              <wps:spPr>
                                <a:xfrm rot="5400000">
                                  <a:off x="1504950" y="2291715"/>
                                  <a:ext cx="317500" cy="0"/>
                                </a:xfrm>
                                <a:prstGeom prst="line">
                                  <a:avLst/>
                                </a:prstGeom>
                                <a:ln w="9525" cap="flat" cmpd="sng">
                                  <a:solidFill>
                                    <a:srgbClr val="000000"/>
                                  </a:solidFill>
                                  <a:prstDash val="solid"/>
                                  <a:headEnd type="none" w="med" len="med"/>
                                  <a:tailEnd type="triangle" w="med" len="med"/>
                                </a:ln>
                              </wps:spPr>
                              <wps:bodyPr/>
                            </wps:wsp>
                            <wps:wsp>
                              <wps:cNvPr id="106" name="直接连接符 106"/>
                              <wps:cNvCnPr/>
                              <wps:spPr>
                                <a:xfrm rot="5400000">
                                  <a:off x="1513840" y="490855"/>
                                  <a:ext cx="317500" cy="0"/>
                                </a:xfrm>
                                <a:prstGeom prst="line">
                                  <a:avLst/>
                                </a:prstGeom>
                                <a:ln w="9525" cap="flat" cmpd="sng">
                                  <a:solidFill>
                                    <a:srgbClr val="000000"/>
                                  </a:solidFill>
                                  <a:prstDash val="solid"/>
                                  <a:headEnd type="none" w="med" len="med"/>
                                  <a:tailEnd type="triangle" w="med" len="med"/>
                                </a:ln>
                              </wps:spPr>
                              <wps:bodyPr/>
                            </wps:wsp>
                            <wps:wsp>
                              <wps:cNvPr id="107" name="文本框 107"/>
                              <wps:cNvSpPr txBox="1"/>
                              <wps:spPr>
                                <a:xfrm>
                                  <a:off x="1189355" y="46355"/>
                                  <a:ext cx="9779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278165">
                                    <w:pPr>
                                      <w:spacing w:line="360" w:lineRule="exact"/>
                                      <w:jc w:val="center"/>
                                      <w:rPr>
                                        <w:rFonts w:hint="eastAsia" w:ascii="宋体" w:hAnsi="宋体" w:cs="宋体"/>
                                        <w:sz w:val="21"/>
                                        <w:szCs w:val="21"/>
                                      </w:rPr>
                                    </w:pPr>
                                    <w:r>
                                      <w:rPr>
                                        <w:rFonts w:hint="eastAsia" w:ascii="宋体" w:hAnsi="宋体" w:cs="宋体"/>
                                        <w:sz w:val="21"/>
                                        <w:szCs w:val="21"/>
                                      </w:rPr>
                                      <w:t>废钢</w:t>
                                    </w:r>
                                  </w:p>
                                </w:txbxContent>
                              </wps:txbx>
                              <wps:bodyPr lIns="0" tIns="0" rIns="0" bIns="0" upright="1"/>
                            </wps:wsp>
                            <wps:wsp>
                              <wps:cNvPr id="173" name="文本框 173"/>
                              <wps:cNvSpPr txBox="1"/>
                              <wps:spPr>
                                <a:xfrm>
                                  <a:off x="1713865" y="351790"/>
                                  <a:ext cx="654685" cy="279400"/>
                                </a:xfrm>
                                <a:prstGeom prst="rect">
                                  <a:avLst/>
                                </a:prstGeom>
                                <a:noFill/>
                                <a:ln>
                                  <a:noFill/>
                                </a:ln>
                              </wps:spPr>
                              <wps:txbx>
                                <w:txbxContent>
                                  <w:p w14:paraId="5D0907E4">
                                    <w:pPr>
                                      <w:spacing w:line="360" w:lineRule="exact"/>
                                      <w:jc w:val="center"/>
                                      <w:rPr>
                                        <w:rFonts w:hint="eastAsia" w:ascii="宋体" w:hAnsi="宋体" w:cs="宋体"/>
                                        <w:sz w:val="21"/>
                                        <w:szCs w:val="21"/>
                                      </w:rPr>
                                    </w:pPr>
                                    <w:r>
                                      <w:rPr>
                                        <w:rFonts w:hint="eastAsia" w:ascii="宋体" w:hAnsi="宋体" w:cs="宋体"/>
                                        <w:sz w:val="21"/>
                                        <w:szCs w:val="21"/>
                                      </w:rPr>
                                      <w:t>辐射检测</w:t>
                                    </w:r>
                                  </w:p>
                                </w:txbxContent>
                              </wps:txbx>
                              <wps:bodyPr lIns="0" tIns="0" rIns="0" bIns="0" upright="1"/>
                            </wps:wsp>
                            <wps:wsp>
                              <wps:cNvPr id="174" name="直接箭头连接符 68"/>
                              <wps:cNvCnPr/>
                              <wps:spPr>
                                <a:xfrm>
                                  <a:off x="419735" y="2435225"/>
                                  <a:ext cx="2600325" cy="0"/>
                                </a:xfrm>
                                <a:prstGeom prst="straightConnector1">
                                  <a:avLst/>
                                </a:prstGeom>
                                <a:ln w="9525" cap="flat" cmpd="sng">
                                  <a:solidFill>
                                    <a:srgbClr val="000000"/>
                                  </a:solidFill>
                                  <a:prstDash val="solid"/>
                                  <a:round/>
                                  <a:headEnd type="none" w="med" len="med"/>
                                  <a:tailEnd type="none" w="med" len="med"/>
                                </a:ln>
                                <a:effectLst/>
                              </wps:spPr>
                              <wps:bodyPr/>
                            </wps:wsp>
                            <wps:wsp>
                              <wps:cNvPr id="175" name="直接连接符 175"/>
                              <wps:cNvCnPr/>
                              <wps:spPr>
                                <a:xfrm rot="5400000">
                                  <a:off x="194945" y="2668270"/>
                                  <a:ext cx="461010" cy="0"/>
                                </a:xfrm>
                                <a:prstGeom prst="line">
                                  <a:avLst/>
                                </a:prstGeom>
                                <a:ln w="9525" cap="flat" cmpd="sng">
                                  <a:solidFill>
                                    <a:srgbClr val="000000"/>
                                  </a:solidFill>
                                  <a:prstDash val="solid"/>
                                  <a:headEnd type="none" w="med" len="med"/>
                                  <a:tailEnd type="triangle" w="med" len="med"/>
                                </a:ln>
                              </wps:spPr>
                              <wps:bodyPr/>
                            </wps:wsp>
                            <wps:wsp>
                              <wps:cNvPr id="176" name="直接连接符 176"/>
                              <wps:cNvCnPr/>
                              <wps:spPr>
                                <a:xfrm rot="5400000">
                                  <a:off x="1433302" y="2677688"/>
                                  <a:ext cx="460796" cy="0"/>
                                </a:xfrm>
                                <a:prstGeom prst="line">
                                  <a:avLst/>
                                </a:prstGeom>
                                <a:ln w="9525" cap="flat" cmpd="sng">
                                  <a:solidFill>
                                    <a:srgbClr val="000000"/>
                                  </a:solidFill>
                                  <a:prstDash val="solid"/>
                                  <a:headEnd type="none" w="med" len="med"/>
                                  <a:tailEnd type="triangle" w="med" len="med"/>
                                </a:ln>
                              </wps:spPr>
                              <wps:bodyPr/>
                            </wps:wsp>
                            <wps:wsp>
                              <wps:cNvPr id="177" name="直接连接符 177"/>
                              <wps:cNvCnPr/>
                              <wps:spPr>
                                <a:xfrm rot="5400000">
                                  <a:off x="2785745" y="2677795"/>
                                  <a:ext cx="461010" cy="0"/>
                                </a:xfrm>
                                <a:prstGeom prst="line">
                                  <a:avLst/>
                                </a:prstGeom>
                                <a:ln w="9525" cap="flat" cmpd="sng">
                                  <a:solidFill>
                                    <a:srgbClr val="000000"/>
                                  </a:solidFill>
                                  <a:prstDash val="solid"/>
                                  <a:headEnd type="none" w="med" len="med"/>
                                  <a:tailEnd type="triangle" w="med" len="med"/>
                                </a:ln>
                              </wps:spPr>
                              <wps:bodyPr/>
                            </wps:wsp>
                            <wps:wsp>
                              <wps:cNvPr id="178" name="文本框 178"/>
                              <wps:cNvSpPr txBox="1"/>
                              <wps:spPr>
                                <a:xfrm>
                                  <a:off x="75565" y="2895600"/>
                                  <a:ext cx="68326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A1DF29">
                                    <w:pPr>
                                      <w:spacing w:line="360" w:lineRule="exact"/>
                                      <w:jc w:val="center"/>
                                      <w:rPr>
                                        <w:rFonts w:hint="eastAsia" w:ascii="宋体" w:hAnsi="宋体" w:cs="宋体"/>
                                        <w:sz w:val="21"/>
                                        <w:szCs w:val="21"/>
                                      </w:rPr>
                                    </w:pPr>
                                    <w:r>
                                      <w:rPr>
                                        <w:rFonts w:hint="eastAsia" w:ascii="宋体" w:hAnsi="宋体" w:cs="宋体"/>
                                        <w:sz w:val="21"/>
                                        <w:szCs w:val="21"/>
                                      </w:rPr>
                                      <w:t>剪切</w:t>
                                    </w:r>
                                  </w:p>
                                </w:txbxContent>
                              </wps:txbx>
                              <wps:bodyPr lIns="0" tIns="0" rIns="0" bIns="0" upright="1"/>
                            </wps:wsp>
                            <wps:wsp>
                              <wps:cNvPr id="180" name="文本框 180"/>
                              <wps:cNvSpPr txBox="1"/>
                              <wps:spPr>
                                <a:xfrm>
                                  <a:off x="56515" y="2523490"/>
                                  <a:ext cx="398780" cy="279400"/>
                                </a:xfrm>
                                <a:prstGeom prst="rect">
                                  <a:avLst/>
                                </a:prstGeom>
                                <a:noFill/>
                                <a:ln>
                                  <a:noFill/>
                                </a:ln>
                              </wps:spPr>
                              <wps:txbx>
                                <w:txbxContent>
                                  <w:p w14:paraId="405B3780">
                                    <w:pPr>
                                      <w:spacing w:line="360" w:lineRule="exact"/>
                                      <w:jc w:val="center"/>
                                      <w:rPr>
                                        <w:rFonts w:hint="eastAsia" w:ascii="宋体" w:hAnsi="宋体" w:cs="宋体"/>
                                        <w:sz w:val="21"/>
                                        <w:szCs w:val="21"/>
                                      </w:rPr>
                                    </w:pPr>
                                    <w:r>
                                      <w:rPr>
                                        <w:rFonts w:hint="eastAsia" w:ascii="宋体" w:hAnsi="宋体" w:cs="宋体"/>
                                        <w:sz w:val="21"/>
                                        <w:szCs w:val="21"/>
                                      </w:rPr>
                                      <w:t>大件</w:t>
                                    </w:r>
                                  </w:p>
                                </w:txbxContent>
                              </wps:txbx>
                              <wps:bodyPr lIns="0" tIns="0" rIns="0" bIns="0" upright="1"/>
                            </wps:wsp>
                            <wps:wsp>
                              <wps:cNvPr id="181" name="文本框 181"/>
                              <wps:cNvSpPr txBox="1"/>
                              <wps:spPr>
                                <a:xfrm>
                                  <a:off x="1313815" y="2905125"/>
                                  <a:ext cx="68326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5E88F5">
                                    <w:pPr>
                                      <w:spacing w:line="360" w:lineRule="exact"/>
                                      <w:jc w:val="center"/>
                                      <w:rPr>
                                        <w:rFonts w:hint="eastAsia" w:ascii="宋体" w:hAnsi="宋体" w:cs="宋体"/>
                                        <w:sz w:val="21"/>
                                        <w:szCs w:val="21"/>
                                      </w:rPr>
                                    </w:pPr>
                                    <w:r>
                                      <w:rPr>
                                        <w:rFonts w:hint="eastAsia" w:ascii="宋体" w:hAnsi="宋体" w:cs="宋体"/>
                                        <w:sz w:val="21"/>
                                        <w:szCs w:val="21"/>
                                      </w:rPr>
                                      <w:t>破碎</w:t>
                                    </w:r>
                                  </w:p>
                                </w:txbxContent>
                              </wps:txbx>
                              <wps:bodyPr lIns="0" tIns="0" rIns="0" bIns="0" upright="1"/>
                            </wps:wsp>
                            <wps:wsp>
                              <wps:cNvPr id="182" name="文本框 182"/>
                              <wps:cNvSpPr txBox="1"/>
                              <wps:spPr>
                                <a:xfrm>
                                  <a:off x="2666365" y="2905125"/>
                                  <a:ext cx="68326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FA53C1">
                                    <w:pPr>
                                      <w:spacing w:line="360" w:lineRule="exact"/>
                                      <w:jc w:val="center"/>
                                      <w:rPr>
                                        <w:rFonts w:hint="eastAsia" w:ascii="宋体" w:hAnsi="宋体" w:cs="宋体"/>
                                        <w:sz w:val="21"/>
                                        <w:szCs w:val="21"/>
                                      </w:rPr>
                                    </w:pPr>
                                    <w:r>
                                      <w:rPr>
                                        <w:rFonts w:hint="eastAsia" w:ascii="宋体" w:hAnsi="宋体" w:cs="宋体"/>
                                        <w:sz w:val="21"/>
                                        <w:szCs w:val="21"/>
                                      </w:rPr>
                                      <w:t>打包</w:t>
                                    </w:r>
                                  </w:p>
                                </w:txbxContent>
                              </wps:txbx>
                              <wps:bodyPr lIns="0" tIns="0" rIns="0" bIns="0" upright="1"/>
                            </wps:wsp>
                            <wps:wsp>
                              <wps:cNvPr id="183" name="文本框 183"/>
                              <wps:cNvSpPr txBox="1"/>
                              <wps:spPr>
                                <a:xfrm>
                                  <a:off x="2266315" y="2542540"/>
                                  <a:ext cx="759460" cy="279400"/>
                                </a:xfrm>
                                <a:prstGeom prst="rect">
                                  <a:avLst/>
                                </a:prstGeom>
                                <a:noFill/>
                                <a:ln>
                                  <a:noFill/>
                                </a:ln>
                              </wps:spPr>
                              <wps:txbx>
                                <w:txbxContent>
                                  <w:p w14:paraId="03E4646E">
                                    <w:pPr>
                                      <w:spacing w:line="360" w:lineRule="exact"/>
                                      <w:jc w:val="center"/>
                                      <w:rPr>
                                        <w:rFonts w:hint="eastAsia" w:ascii="宋体" w:hAnsi="宋体" w:cs="宋体"/>
                                        <w:sz w:val="21"/>
                                        <w:szCs w:val="21"/>
                                      </w:rPr>
                                    </w:pPr>
                                    <w:r>
                                      <w:rPr>
                                        <w:rFonts w:hint="eastAsia" w:ascii="宋体" w:hAnsi="宋体" w:cs="宋体"/>
                                        <w:sz w:val="21"/>
                                        <w:szCs w:val="21"/>
                                      </w:rPr>
                                      <w:t>余料等废钢</w:t>
                                    </w:r>
                                  </w:p>
                                </w:txbxContent>
                              </wps:txbx>
                              <wps:bodyPr lIns="0" tIns="0" rIns="0" bIns="0" upright="1"/>
                            </wps:wsp>
                            <wps:wsp>
                              <wps:cNvPr id="184" name="文本框 184"/>
                              <wps:cNvSpPr txBox="1"/>
                              <wps:spPr>
                                <a:xfrm>
                                  <a:off x="1228090" y="2513965"/>
                                  <a:ext cx="417195" cy="279400"/>
                                </a:xfrm>
                                <a:prstGeom prst="rect">
                                  <a:avLst/>
                                </a:prstGeom>
                                <a:noFill/>
                                <a:ln>
                                  <a:noFill/>
                                </a:ln>
                              </wps:spPr>
                              <wps:txbx>
                                <w:txbxContent>
                                  <w:p w14:paraId="3405BD6D">
                                    <w:pPr>
                                      <w:spacing w:line="360" w:lineRule="exact"/>
                                      <w:jc w:val="center"/>
                                      <w:rPr>
                                        <w:rFonts w:hint="eastAsia" w:ascii="宋体" w:hAnsi="宋体" w:cs="宋体"/>
                                        <w:sz w:val="21"/>
                                        <w:szCs w:val="21"/>
                                      </w:rPr>
                                    </w:pPr>
                                    <w:r>
                                      <w:rPr>
                                        <w:rFonts w:hint="eastAsia" w:ascii="宋体" w:hAnsi="宋体" w:cs="宋体"/>
                                        <w:sz w:val="21"/>
                                        <w:szCs w:val="21"/>
                                      </w:rPr>
                                      <w:t>小件</w:t>
                                    </w:r>
                                  </w:p>
                                </w:txbxContent>
                              </wps:txbx>
                              <wps:bodyPr lIns="0" tIns="0" rIns="0" bIns="0" upright="1"/>
                            </wps:wsp>
                            <wps:wsp>
                              <wps:cNvPr id="185" name="任意多边形 185"/>
                              <wps:cNvSpPr/>
                              <wps:spPr>
                                <a:xfrm>
                                  <a:off x="598805" y="2741930"/>
                                  <a:ext cx="279400" cy="165100"/>
                                </a:xfrm>
                                <a:custGeom>
                                  <a:avLst/>
                                  <a:gdLst/>
                                  <a:ahLst/>
                                  <a:cxnLst/>
                                  <a:rect l="0" t="0" r="0" b="0"/>
                                  <a:pathLst>
                                    <a:path w="630" h="468">
                                      <a:moveTo>
                                        <a:pt x="0" y="468"/>
                                      </a:moveTo>
                                      <a:cubicBezTo>
                                        <a:pt x="78" y="338"/>
                                        <a:pt x="157" y="208"/>
                                        <a:pt x="210" y="156"/>
                                      </a:cubicBezTo>
                                      <a:cubicBezTo>
                                        <a:pt x="263" y="104"/>
                                        <a:pt x="298" y="130"/>
                                        <a:pt x="315" y="156"/>
                                      </a:cubicBezTo>
                                      <a:cubicBezTo>
                                        <a:pt x="332" y="182"/>
                                        <a:pt x="262" y="338"/>
                                        <a:pt x="315" y="312"/>
                                      </a:cubicBezTo>
                                      <a:cubicBezTo>
                                        <a:pt x="368" y="286"/>
                                        <a:pt x="577" y="52"/>
                                        <a:pt x="630" y="0"/>
                                      </a:cubicBezTo>
                                    </a:path>
                                  </a:pathLst>
                                </a:custGeom>
                                <a:noFill/>
                                <a:ln w="9525" cap="flat" cmpd="sng">
                                  <a:solidFill>
                                    <a:srgbClr val="000000"/>
                                  </a:solidFill>
                                  <a:prstDash val="solid"/>
                                  <a:headEnd type="none" w="med" len="med"/>
                                  <a:tailEnd type="triangle" w="med" len="med"/>
                                </a:ln>
                              </wps:spPr>
                              <wps:bodyPr upright="1"/>
                            </wps:wsp>
                            <wps:wsp>
                              <wps:cNvPr id="186" name="文本框 186"/>
                              <wps:cNvSpPr txBox="1"/>
                              <wps:spPr>
                                <a:xfrm>
                                  <a:off x="570865" y="2494915"/>
                                  <a:ext cx="568960" cy="279400"/>
                                </a:xfrm>
                                <a:prstGeom prst="rect">
                                  <a:avLst/>
                                </a:prstGeom>
                                <a:noFill/>
                                <a:ln>
                                  <a:noFill/>
                                </a:ln>
                              </wps:spPr>
                              <wps:txbx>
                                <w:txbxContent>
                                  <w:p w14:paraId="7BB15019">
                                    <w:pPr>
                                      <w:spacing w:line="360" w:lineRule="exact"/>
                                      <w:jc w:val="center"/>
                                      <w:rPr>
                                        <w:sz w:val="21"/>
                                        <w:szCs w:val="21"/>
                                      </w:rPr>
                                    </w:pPr>
                                    <w:r>
                                      <w:rPr>
                                        <w:sz w:val="21"/>
                                        <w:szCs w:val="21"/>
                                      </w:rPr>
                                      <w:t>G、</w:t>
                                    </w:r>
                                    <w:r>
                                      <w:rPr>
                                        <w:rFonts w:hint="eastAsia"/>
                                        <w:sz w:val="21"/>
                                        <w:szCs w:val="21"/>
                                      </w:rPr>
                                      <w:t>S、</w:t>
                                    </w:r>
                                    <w:r>
                                      <w:rPr>
                                        <w:sz w:val="21"/>
                                        <w:szCs w:val="21"/>
                                      </w:rPr>
                                      <w:t>N</w:t>
                                    </w:r>
                                  </w:p>
                                </w:txbxContent>
                              </wps:txbx>
                              <wps:bodyPr lIns="0" tIns="0" rIns="0" bIns="0" upright="1"/>
                            </wps:wsp>
                            <wps:wsp>
                              <wps:cNvPr id="187" name="任意多边形 187"/>
                              <wps:cNvSpPr/>
                              <wps:spPr>
                                <a:xfrm>
                                  <a:off x="1779905" y="2741930"/>
                                  <a:ext cx="279400" cy="165100"/>
                                </a:xfrm>
                                <a:custGeom>
                                  <a:avLst/>
                                  <a:gdLst/>
                                  <a:ahLst/>
                                  <a:cxnLst/>
                                  <a:rect l="0" t="0" r="0" b="0"/>
                                  <a:pathLst>
                                    <a:path w="630" h="468">
                                      <a:moveTo>
                                        <a:pt x="0" y="468"/>
                                      </a:moveTo>
                                      <a:cubicBezTo>
                                        <a:pt x="78" y="338"/>
                                        <a:pt x="157" y="208"/>
                                        <a:pt x="210" y="156"/>
                                      </a:cubicBezTo>
                                      <a:cubicBezTo>
                                        <a:pt x="263" y="104"/>
                                        <a:pt x="298" y="130"/>
                                        <a:pt x="315" y="156"/>
                                      </a:cubicBezTo>
                                      <a:cubicBezTo>
                                        <a:pt x="332" y="182"/>
                                        <a:pt x="262" y="338"/>
                                        <a:pt x="315" y="312"/>
                                      </a:cubicBezTo>
                                      <a:cubicBezTo>
                                        <a:pt x="368" y="286"/>
                                        <a:pt x="577" y="52"/>
                                        <a:pt x="630" y="0"/>
                                      </a:cubicBezTo>
                                    </a:path>
                                  </a:pathLst>
                                </a:custGeom>
                                <a:noFill/>
                                <a:ln w="9525" cap="flat" cmpd="sng">
                                  <a:solidFill>
                                    <a:srgbClr val="000000"/>
                                  </a:solidFill>
                                  <a:prstDash val="solid"/>
                                  <a:headEnd type="none" w="med" len="med"/>
                                  <a:tailEnd type="triangle" w="med" len="med"/>
                                </a:ln>
                              </wps:spPr>
                              <wps:bodyPr upright="1"/>
                            </wps:wsp>
                            <wps:wsp>
                              <wps:cNvPr id="188" name="文本框 188"/>
                              <wps:cNvSpPr txBox="1"/>
                              <wps:spPr>
                                <a:xfrm>
                                  <a:off x="1713865" y="2513965"/>
                                  <a:ext cx="568960" cy="279400"/>
                                </a:xfrm>
                                <a:prstGeom prst="rect">
                                  <a:avLst/>
                                </a:prstGeom>
                                <a:noFill/>
                                <a:ln>
                                  <a:noFill/>
                                </a:ln>
                              </wps:spPr>
                              <wps:txbx>
                                <w:txbxContent>
                                  <w:p w14:paraId="4233E0BD">
                                    <w:pPr>
                                      <w:spacing w:line="360" w:lineRule="exact"/>
                                      <w:jc w:val="center"/>
                                      <w:rPr>
                                        <w:sz w:val="21"/>
                                        <w:szCs w:val="21"/>
                                      </w:rPr>
                                    </w:pPr>
                                    <w:r>
                                      <w:rPr>
                                        <w:sz w:val="21"/>
                                        <w:szCs w:val="21"/>
                                      </w:rPr>
                                      <w:t>G、</w:t>
                                    </w:r>
                                    <w:r>
                                      <w:rPr>
                                        <w:rFonts w:hint="eastAsia"/>
                                        <w:sz w:val="21"/>
                                        <w:szCs w:val="21"/>
                                      </w:rPr>
                                      <w:t>S、</w:t>
                                    </w:r>
                                    <w:r>
                                      <w:rPr>
                                        <w:sz w:val="21"/>
                                        <w:szCs w:val="21"/>
                                      </w:rPr>
                                      <w:t>N</w:t>
                                    </w:r>
                                  </w:p>
                                </w:txbxContent>
                              </wps:txbx>
                              <wps:bodyPr lIns="0" tIns="0" rIns="0" bIns="0" upright="1"/>
                            </wps:wsp>
                            <wps:wsp>
                              <wps:cNvPr id="189" name="任意多边形 189"/>
                              <wps:cNvSpPr/>
                              <wps:spPr>
                                <a:xfrm>
                                  <a:off x="3122930" y="2741930"/>
                                  <a:ext cx="279400" cy="165100"/>
                                </a:xfrm>
                                <a:custGeom>
                                  <a:avLst/>
                                  <a:gdLst/>
                                  <a:ahLst/>
                                  <a:cxnLst/>
                                  <a:rect l="0" t="0" r="0" b="0"/>
                                  <a:pathLst>
                                    <a:path w="630" h="468">
                                      <a:moveTo>
                                        <a:pt x="0" y="468"/>
                                      </a:moveTo>
                                      <a:cubicBezTo>
                                        <a:pt x="78" y="338"/>
                                        <a:pt x="157" y="208"/>
                                        <a:pt x="210" y="156"/>
                                      </a:cubicBezTo>
                                      <a:cubicBezTo>
                                        <a:pt x="263" y="104"/>
                                        <a:pt x="298" y="130"/>
                                        <a:pt x="315" y="156"/>
                                      </a:cubicBezTo>
                                      <a:cubicBezTo>
                                        <a:pt x="332" y="182"/>
                                        <a:pt x="262" y="338"/>
                                        <a:pt x="315" y="312"/>
                                      </a:cubicBezTo>
                                      <a:cubicBezTo>
                                        <a:pt x="368" y="286"/>
                                        <a:pt x="577" y="52"/>
                                        <a:pt x="630" y="0"/>
                                      </a:cubicBezTo>
                                    </a:path>
                                  </a:pathLst>
                                </a:custGeom>
                                <a:noFill/>
                                <a:ln w="9525" cap="flat" cmpd="sng">
                                  <a:solidFill>
                                    <a:srgbClr val="000000"/>
                                  </a:solidFill>
                                  <a:prstDash val="solid"/>
                                  <a:headEnd type="none" w="med" len="med"/>
                                  <a:tailEnd type="triangle" w="med" len="med"/>
                                </a:ln>
                              </wps:spPr>
                              <wps:bodyPr upright="1"/>
                            </wps:wsp>
                            <wps:wsp>
                              <wps:cNvPr id="190" name="文本框 190"/>
                              <wps:cNvSpPr txBox="1"/>
                              <wps:spPr>
                                <a:xfrm>
                                  <a:off x="3209290" y="2504440"/>
                                  <a:ext cx="379095" cy="279400"/>
                                </a:xfrm>
                                <a:prstGeom prst="rect">
                                  <a:avLst/>
                                </a:prstGeom>
                                <a:noFill/>
                                <a:ln>
                                  <a:noFill/>
                                </a:ln>
                              </wps:spPr>
                              <wps:txbx>
                                <w:txbxContent>
                                  <w:p w14:paraId="27AACE6D">
                                    <w:pPr>
                                      <w:spacing w:line="360" w:lineRule="exact"/>
                                      <w:jc w:val="center"/>
                                      <w:rPr>
                                        <w:sz w:val="21"/>
                                        <w:szCs w:val="21"/>
                                      </w:rPr>
                                    </w:pPr>
                                    <w:r>
                                      <w:rPr>
                                        <w:sz w:val="21"/>
                                        <w:szCs w:val="21"/>
                                      </w:rPr>
                                      <w:t>N</w:t>
                                    </w:r>
                                  </w:p>
                                </w:txbxContent>
                              </wps:txbx>
                              <wps:bodyPr lIns="0" tIns="0" rIns="0" bIns="0" upright="1"/>
                            </wps:wsp>
                            <wps:wsp>
                              <wps:cNvPr id="191" name="直接连接符 191"/>
                              <wps:cNvCnPr/>
                              <wps:spPr>
                                <a:xfrm rot="5400000">
                                  <a:off x="1495425" y="3348990"/>
                                  <a:ext cx="317500" cy="0"/>
                                </a:xfrm>
                                <a:prstGeom prst="line">
                                  <a:avLst/>
                                </a:prstGeom>
                                <a:ln w="9525" cap="flat" cmpd="sng">
                                  <a:solidFill>
                                    <a:srgbClr val="000000"/>
                                  </a:solidFill>
                                  <a:prstDash val="solid"/>
                                  <a:headEnd type="none" w="med" len="med"/>
                                  <a:tailEnd type="triangle" w="med" len="med"/>
                                </a:ln>
                              </wps:spPr>
                              <wps:bodyPr/>
                            </wps:wsp>
                            <wps:wsp>
                              <wps:cNvPr id="192" name="文本框 192"/>
                              <wps:cNvSpPr txBox="1"/>
                              <wps:spPr>
                                <a:xfrm>
                                  <a:off x="1304290" y="3505200"/>
                                  <a:ext cx="68326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815FD50">
                                    <w:pPr>
                                      <w:spacing w:line="360" w:lineRule="exact"/>
                                      <w:jc w:val="center"/>
                                      <w:rPr>
                                        <w:rFonts w:hint="eastAsia" w:ascii="宋体" w:hAnsi="宋体" w:cs="宋体"/>
                                        <w:sz w:val="21"/>
                                        <w:szCs w:val="21"/>
                                      </w:rPr>
                                    </w:pPr>
                                    <w:r>
                                      <w:rPr>
                                        <w:rFonts w:hint="eastAsia" w:ascii="宋体" w:hAnsi="宋体" w:cs="宋体"/>
                                        <w:sz w:val="21"/>
                                        <w:szCs w:val="21"/>
                                      </w:rPr>
                                      <w:t>磁选</w:t>
                                    </w:r>
                                  </w:p>
                                </w:txbxContent>
                              </wps:txbx>
                              <wps:bodyPr lIns="0" tIns="0" rIns="0" bIns="0" upright="1"/>
                            </wps:wsp>
                            <wps:wsp>
                              <wps:cNvPr id="193" name="直接连接符 193"/>
                              <wps:cNvCnPr/>
                              <wps:spPr>
                                <a:xfrm rot="5400000">
                                  <a:off x="1476375" y="3949065"/>
                                  <a:ext cx="317500" cy="0"/>
                                </a:xfrm>
                                <a:prstGeom prst="line">
                                  <a:avLst/>
                                </a:prstGeom>
                                <a:ln w="9525" cap="flat" cmpd="sng">
                                  <a:solidFill>
                                    <a:srgbClr val="000000"/>
                                  </a:solidFill>
                                  <a:prstDash val="solid"/>
                                  <a:headEnd type="none" w="med" len="med"/>
                                  <a:tailEnd type="triangle" w="med" len="med"/>
                                </a:ln>
                              </wps:spPr>
                              <wps:bodyPr/>
                            </wps:wsp>
                            <wps:wsp>
                              <wps:cNvPr id="194" name="文本框 194"/>
                              <wps:cNvSpPr txBox="1"/>
                              <wps:spPr>
                                <a:xfrm>
                                  <a:off x="1285240" y="4105910"/>
                                  <a:ext cx="68326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1366F8">
                                    <w:pPr>
                                      <w:spacing w:line="360" w:lineRule="exact"/>
                                      <w:jc w:val="center"/>
                                      <w:rPr>
                                        <w:rFonts w:hint="eastAsia" w:ascii="宋体" w:hAnsi="宋体" w:cs="宋体"/>
                                        <w:sz w:val="21"/>
                                        <w:szCs w:val="21"/>
                                      </w:rPr>
                                    </w:pPr>
                                    <w:r>
                                      <w:rPr>
                                        <w:rFonts w:hint="eastAsia" w:ascii="宋体" w:hAnsi="宋体" w:cs="宋体"/>
                                        <w:sz w:val="21"/>
                                        <w:szCs w:val="21"/>
                                      </w:rPr>
                                      <w:t>成品入库</w:t>
                                    </w:r>
                                  </w:p>
                                </w:txbxContent>
                              </wps:txbx>
                              <wps:bodyPr lIns="0" tIns="0" rIns="0" bIns="0" upright="1"/>
                            </wps:wsp>
                            <wps:wsp>
                              <wps:cNvPr id="195" name="直接连接符 195"/>
                              <wps:cNvCnPr/>
                              <wps:spPr>
                                <a:xfrm rot="5400000">
                                  <a:off x="2847975" y="3348990"/>
                                  <a:ext cx="317500" cy="0"/>
                                </a:xfrm>
                                <a:prstGeom prst="line">
                                  <a:avLst/>
                                </a:prstGeom>
                                <a:ln w="9525" cap="flat" cmpd="sng">
                                  <a:solidFill>
                                    <a:srgbClr val="000000"/>
                                  </a:solidFill>
                                  <a:prstDash val="solid"/>
                                  <a:headEnd type="none" w="med" len="med"/>
                                  <a:tailEnd type="triangle" w="med" len="med"/>
                                </a:ln>
                              </wps:spPr>
                              <wps:bodyPr/>
                            </wps:wsp>
                            <wps:wsp>
                              <wps:cNvPr id="196" name="文本框 196"/>
                              <wps:cNvSpPr txBox="1"/>
                              <wps:spPr>
                                <a:xfrm>
                                  <a:off x="2666365" y="3505835"/>
                                  <a:ext cx="68326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1C48B5C">
                                    <w:pPr>
                                      <w:spacing w:line="360" w:lineRule="exact"/>
                                      <w:jc w:val="center"/>
                                      <w:rPr>
                                        <w:rFonts w:hint="eastAsia" w:ascii="宋体" w:hAnsi="宋体" w:cs="宋体"/>
                                        <w:sz w:val="21"/>
                                        <w:szCs w:val="21"/>
                                      </w:rPr>
                                    </w:pPr>
                                    <w:r>
                                      <w:rPr>
                                        <w:rFonts w:hint="eastAsia" w:ascii="宋体" w:hAnsi="宋体" w:cs="宋体"/>
                                        <w:sz w:val="21"/>
                                        <w:szCs w:val="21"/>
                                      </w:rPr>
                                      <w:t>成品入库</w:t>
                                    </w:r>
                                  </w:p>
                                </w:txbxContent>
                              </wps:txbx>
                              <wps:bodyPr lIns="0" tIns="0" rIns="0" bIns="0" upright="1"/>
                            </wps:wsp>
                            <wps:wsp>
                              <wps:cNvPr id="197" name="直接连接符 197"/>
                              <wps:cNvCnPr/>
                              <wps:spPr>
                                <a:xfrm rot="5400000">
                                  <a:off x="266700" y="3329940"/>
                                  <a:ext cx="317500" cy="0"/>
                                </a:xfrm>
                                <a:prstGeom prst="line">
                                  <a:avLst/>
                                </a:prstGeom>
                                <a:ln w="9525" cap="flat" cmpd="sng">
                                  <a:solidFill>
                                    <a:srgbClr val="000000"/>
                                  </a:solidFill>
                                  <a:prstDash val="solid"/>
                                  <a:headEnd type="none" w="med" len="med"/>
                                  <a:tailEnd type="triangle" w="med" len="med"/>
                                </a:ln>
                              </wps:spPr>
                              <wps:bodyPr/>
                            </wps:wsp>
                            <wps:wsp>
                              <wps:cNvPr id="198" name="文本框 198"/>
                              <wps:cNvSpPr txBox="1"/>
                              <wps:spPr>
                                <a:xfrm>
                                  <a:off x="85090" y="3486785"/>
                                  <a:ext cx="68326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D9A781">
                                    <w:pPr>
                                      <w:spacing w:line="360" w:lineRule="exact"/>
                                      <w:jc w:val="center"/>
                                      <w:rPr>
                                        <w:rFonts w:hint="eastAsia" w:ascii="宋体" w:hAnsi="宋体" w:cs="宋体"/>
                                        <w:sz w:val="21"/>
                                        <w:szCs w:val="21"/>
                                      </w:rPr>
                                    </w:pPr>
                                    <w:r>
                                      <w:rPr>
                                        <w:rFonts w:hint="eastAsia" w:ascii="宋体" w:hAnsi="宋体" w:cs="宋体"/>
                                        <w:sz w:val="21"/>
                                        <w:szCs w:val="21"/>
                                      </w:rPr>
                                      <w:t>成品入库</w:t>
                                    </w:r>
                                  </w:p>
                                </w:txbxContent>
                              </wps:txbx>
                              <wps:bodyPr lIns="0" tIns="0" rIns="0" bIns="0" upright="1"/>
                            </wps:wsp>
                            <wps:wsp>
                              <wps:cNvPr id="251" name="文本框 251"/>
                              <wps:cNvSpPr txBox="1"/>
                              <wps:spPr>
                                <a:xfrm>
                                  <a:off x="3180080" y="84455"/>
                                  <a:ext cx="915035" cy="78105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69F16AB">
                                    <w:pPr>
                                      <w:jc w:val="center"/>
                                      <w:rPr>
                                        <w:sz w:val="21"/>
                                        <w:szCs w:val="21"/>
                                      </w:rPr>
                                    </w:pPr>
                                    <w:r>
                                      <w:rPr>
                                        <w:rFonts w:hint="eastAsia"/>
                                        <w:sz w:val="21"/>
                                        <w:szCs w:val="21"/>
                                      </w:rPr>
                                      <w:t xml:space="preserve">图例 </w:t>
                                    </w:r>
                                  </w:p>
                                  <w:p w14:paraId="7EAED4DA">
                                    <w:pPr>
                                      <w:pStyle w:val="24"/>
                                      <w:spacing w:after="0"/>
                                      <w:ind w:left="0" w:leftChars="0" w:firstLine="0"/>
                                      <w:rPr>
                                        <w:sz w:val="21"/>
                                        <w:szCs w:val="21"/>
                                      </w:rPr>
                                    </w:pPr>
                                    <w:r>
                                      <w:rPr>
                                        <w:rFonts w:hint="eastAsia"/>
                                        <w:sz w:val="21"/>
                                        <w:szCs w:val="21"/>
                                      </w:rPr>
                                      <w:t>G   废气</w:t>
                                    </w:r>
                                  </w:p>
                                  <w:p w14:paraId="58AFFBB4">
                                    <w:pPr>
                                      <w:pStyle w:val="24"/>
                                      <w:spacing w:after="0"/>
                                      <w:ind w:left="0" w:leftChars="0" w:firstLine="0"/>
                                      <w:rPr>
                                        <w:sz w:val="21"/>
                                        <w:szCs w:val="21"/>
                                      </w:rPr>
                                    </w:pPr>
                                    <w:r>
                                      <w:rPr>
                                        <w:rFonts w:hint="eastAsia"/>
                                        <w:sz w:val="21"/>
                                        <w:szCs w:val="21"/>
                                      </w:rPr>
                                      <w:t>S   固废</w:t>
                                    </w:r>
                                  </w:p>
                                  <w:p w14:paraId="11F27E5B">
                                    <w:r>
                                      <w:rPr>
                                        <w:rFonts w:hint="eastAsia"/>
                                        <w:sz w:val="21"/>
                                        <w:szCs w:val="21"/>
                                      </w:rPr>
                                      <w:t>N   噪声</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9" name="文本框 199"/>
                              <wps:cNvSpPr txBox="1"/>
                              <wps:spPr>
                                <a:xfrm>
                                  <a:off x="1942465" y="3142615"/>
                                  <a:ext cx="464820" cy="279400"/>
                                </a:xfrm>
                                <a:prstGeom prst="rect">
                                  <a:avLst/>
                                </a:prstGeom>
                                <a:noFill/>
                                <a:ln>
                                  <a:noFill/>
                                </a:ln>
                              </wps:spPr>
                              <wps:txbx>
                                <w:txbxContent>
                                  <w:p w14:paraId="7E4198E3">
                                    <w:pPr>
                                      <w:spacing w:line="360" w:lineRule="exact"/>
                                      <w:jc w:val="center"/>
                                      <w:rPr>
                                        <w:sz w:val="21"/>
                                        <w:szCs w:val="21"/>
                                      </w:rPr>
                                    </w:pPr>
                                    <w:r>
                                      <w:rPr>
                                        <w:rFonts w:hint="eastAsia"/>
                                        <w:sz w:val="21"/>
                                        <w:szCs w:val="21"/>
                                      </w:rPr>
                                      <w:t>S</w:t>
                                    </w:r>
                                    <w:r>
                                      <w:rPr>
                                        <w:sz w:val="21"/>
                                        <w:szCs w:val="21"/>
                                      </w:rPr>
                                      <w:t>、N</w:t>
                                    </w:r>
                                  </w:p>
                                </w:txbxContent>
                              </wps:txbx>
                              <wps:bodyPr lIns="0" tIns="0" rIns="0" bIns="0" upright="1"/>
                            </wps:wsp>
                            <wps:wsp>
                              <wps:cNvPr id="200" name="任意多边形 200"/>
                              <wps:cNvSpPr/>
                              <wps:spPr>
                                <a:xfrm>
                                  <a:off x="1779905" y="3351530"/>
                                  <a:ext cx="279400" cy="165100"/>
                                </a:xfrm>
                                <a:custGeom>
                                  <a:avLst/>
                                  <a:gdLst/>
                                  <a:ahLst/>
                                  <a:cxnLst/>
                                  <a:rect l="0" t="0" r="0" b="0"/>
                                  <a:pathLst>
                                    <a:path w="630" h="468">
                                      <a:moveTo>
                                        <a:pt x="0" y="468"/>
                                      </a:moveTo>
                                      <a:cubicBezTo>
                                        <a:pt x="78" y="338"/>
                                        <a:pt x="157" y="208"/>
                                        <a:pt x="210" y="156"/>
                                      </a:cubicBezTo>
                                      <a:cubicBezTo>
                                        <a:pt x="263" y="104"/>
                                        <a:pt x="298" y="130"/>
                                        <a:pt x="315" y="156"/>
                                      </a:cubicBezTo>
                                      <a:cubicBezTo>
                                        <a:pt x="332" y="182"/>
                                        <a:pt x="262" y="338"/>
                                        <a:pt x="315" y="312"/>
                                      </a:cubicBezTo>
                                      <a:cubicBezTo>
                                        <a:pt x="368" y="286"/>
                                        <a:pt x="577" y="52"/>
                                        <a:pt x="630" y="0"/>
                                      </a:cubicBezTo>
                                    </a:path>
                                  </a:pathLst>
                                </a:custGeom>
                                <a:noFill/>
                                <a:ln w="9525" cap="flat" cmpd="sng">
                                  <a:solidFill>
                                    <a:srgbClr val="000000"/>
                                  </a:solidFill>
                                  <a:prstDash val="solid"/>
                                  <a:headEnd type="none" w="med" len="med"/>
                                  <a:tailEnd type="triangle" w="med" len="med"/>
                                </a:ln>
                              </wps:spPr>
                              <wps:bodyPr upright="1"/>
                            </wps:wsp>
                          </wpc:wpc>
                        </a:graphicData>
                      </a:graphic>
                    </wp:inline>
                  </w:drawing>
                </mc:Choice>
                <mc:Fallback>
                  <w:pict>
                    <v:group id="_x0000_s1026" o:spid="_x0000_s1026" o:spt="203" style="height:350.5pt;width:332.95pt;" coordsize="4228465,4451350" editas="canvas" o:gfxdata="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">
                      <o:lock v:ext="edit" aspectratio="f"/>
                      <v:shape id="_x0000_s1026" o:spid="_x0000_s1026" style="position:absolute;left:0;top:0;height:4451350;width:4228465;" filled="f" stroked="f" coordsize="21600,21600" o:gfxdata="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">
                        <v:fill on="f" focussize="0,0"/>
                        <v:stroke on="f"/>
                        <v:imagedata o:title=""/>
                        <o:lock v:ext="edit" aspectratio="f"/>
                      </v:shape>
                      <v:shape id="_x0000_s1026" o:spid="_x0000_s1026" o:spt="202" type="#_x0000_t202" style="position:absolute;left:1170305;top:646430;height:279400;width:989965;" fillcolor="#FFFFFF" filled="t" stroked="t" coordsize="21600,21600" o:gfxdata="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4V&#10;aXHVAAAABQEAAA8AAAAAAAAAAQAgAAAAIgAAAGRycy9kb3ducmV2LnhtbFBLAQIUABQAAAAIAIdO&#10;4kBZMQVFJgIAAGYEAAAOAAAAAAAAAAEAIAAAACQBAABkcnMvZTJvRG9jLnhtbFBLBQYAAAAABgAG&#10;AFkBAAC8BQAAAAA=&#10;">
                        <v:fill on="t" focussize="0,0"/>
                        <v:stroke color="#000000" joinstyle="miter"/>
                        <v:imagedata o:title=""/>
                        <o:lock v:ext="edit" aspectratio="f"/>
                        <v:textbox inset="0mm,0mm,0mm,0mm">
                          <w:txbxContent>
                            <w:p w14:paraId="6107E777">
                              <w:pPr>
                                <w:spacing w:line="360" w:lineRule="exact"/>
                                <w:jc w:val="center"/>
                                <w:rPr>
                                  <w:rFonts w:hint="eastAsia" w:ascii="宋体" w:hAnsi="宋体" w:cs="宋体"/>
                                  <w:sz w:val="21"/>
                                  <w:szCs w:val="21"/>
                                </w:rPr>
                              </w:pPr>
                              <w:r>
                                <w:rPr>
                                  <w:rFonts w:hint="eastAsia" w:ascii="宋体" w:hAnsi="宋体" w:cs="宋体"/>
                                  <w:sz w:val="21"/>
                                  <w:szCs w:val="21"/>
                                </w:rPr>
                                <w:t>合格废钢</w:t>
                              </w:r>
                            </w:p>
                          </w:txbxContent>
                        </v:textbox>
                      </v:shape>
                      <v:line id="_x0000_s1026" o:spid="_x0000_s1026" o:spt="20" style="position:absolute;left:1501140;top:1094105;height:0;width:323850;rotation:5898240f;" filled="f" stroked="t" coordsize="21600,21600" o:gfxdata="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20FPr9UAAAAFAQAADwAAAAAAAAABACAAAAAiAAAA&#10;ZHJzL2Rvd25yZXYueG1sUEsBAhQAFAAAAAgAh07iQHflDwIKAgAA9wMAAA4AAAAAAAAAAQAgAAAA&#10;JAEAAGRycy9lMm9Eb2MueG1sUEsFBgAAAAAGAAYAWQEAAKAFAAAAAA==&#10;">
                        <v:fill on="f" focussize="0,0"/>
                        <v:stroke color="#000000" joinstyle="round" endarrow="block"/>
                        <v:imagedata o:title=""/>
                        <o:lock v:ext="edit" aspectratio="f"/>
                      </v:line>
                      <v:shape id="_x0000_s1026" o:spid="_x0000_s1026" o:spt="202" type="#_x0000_t202" style="position:absolute;left:1170305;top:1247140;height:279400;width:989965;" fillcolor="#FFFFFF" filled="t" stroked="t" coordsize="21600,21600" o:gfxdata="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4V&#10;aXHVAAAABQEAAA8AAAAAAAAAAQAgAAAAIgAAAGRycy9kb3ducmV2LnhtbFBLAQIUABQAAAAIAIdO&#10;4kBfObkSJgIAAGcEAAAOAAAAAAAAAAEAIAAAACQBAABkcnMvZTJvRG9jLnhtbFBLBQYAAAAABgAG&#10;AFkBAAC8BQAAAAA=&#10;">
                        <v:fill on="t" focussize="0,0"/>
                        <v:stroke color="#000000" joinstyle="miter"/>
                        <v:imagedata o:title=""/>
                        <o:lock v:ext="edit" aspectratio="f"/>
                        <v:textbox inset="0mm,0mm,0mm,0mm">
                          <w:txbxContent>
                            <w:p w14:paraId="0C7548B9">
                              <w:pPr>
                                <w:spacing w:line="360" w:lineRule="exact"/>
                                <w:jc w:val="center"/>
                                <w:rPr>
                                  <w:rFonts w:hint="eastAsia" w:ascii="宋体" w:hAnsi="宋体" w:cs="宋体"/>
                                  <w:sz w:val="21"/>
                                  <w:szCs w:val="21"/>
                                </w:rPr>
                              </w:pPr>
                              <w:r>
                                <w:rPr>
                                  <w:rFonts w:hint="eastAsia" w:ascii="宋体" w:hAnsi="宋体" w:cs="宋体"/>
                                  <w:sz w:val="21"/>
                                  <w:szCs w:val="21"/>
                                </w:rPr>
                                <w:t>称重</w:t>
                              </w:r>
                            </w:p>
                          </w:txbxContent>
                        </v:textbox>
                      </v:shape>
                      <v:shape id="_x0000_s1026" o:spid="_x0000_s1026" o:spt="202" type="#_x0000_t202" style="position:absolute;left:1161415;top:1847850;height:279400;width:977900;" fillcolor="#FFFFFF" filled="t" stroked="t" coordsize="21600,21600" o:gfxdata="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G4VaXHV&#10;AAAABQEAAA8AAAAAAAAAAQAgAAAAIgAAAGRycy9kb3ducmV2LnhtbFBLAQIUABQAAAAIAIdO4kBl&#10;09HQIwIAAGcEAAAOAAAAAAAAAAEAIAAAACQBAABkcnMvZTJvRG9jLnhtbFBLBQYAAAAABgAGAFkB&#10;AAC5BQAAAAA=&#10;">
                        <v:fill on="t" focussize="0,0"/>
                        <v:stroke color="#000000" joinstyle="miter"/>
                        <v:imagedata o:title=""/>
                        <o:lock v:ext="edit" aspectratio="f"/>
                        <v:textbox inset="0mm,0mm,0mm,0mm">
                          <w:txbxContent>
                            <w:p w14:paraId="6076D403">
                              <w:pPr>
                                <w:spacing w:line="360" w:lineRule="exact"/>
                                <w:jc w:val="center"/>
                                <w:rPr>
                                  <w:rFonts w:hint="eastAsia" w:ascii="宋体" w:hAnsi="宋体" w:cs="宋体"/>
                                  <w:sz w:val="21"/>
                                  <w:szCs w:val="21"/>
                                </w:rPr>
                              </w:pPr>
                              <w:r>
                                <w:rPr>
                                  <w:rFonts w:hint="eastAsia" w:ascii="宋体" w:hAnsi="宋体" w:cs="宋体"/>
                                  <w:sz w:val="21"/>
                                  <w:szCs w:val="21"/>
                                </w:rPr>
                                <w:t>分类</w:t>
                              </w:r>
                            </w:p>
                          </w:txbxContent>
                        </v:textbox>
                      </v:shape>
                      <v:line id="_x0000_s1026" o:spid="_x0000_s1026" o:spt="20" style="position:absolute;left:1494790;top:1691640;height:0;width:317500;rotation:5898240f;" filled="f" stroked="t" coordsize="21600,21600" o:gfxdata="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20FPr9UAAAAFAQAADwAAAAAAAAABACAAAAAiAAAA&#10;ZHJzL2Rvd25yZXYueG1sUEsBAhQAFAAAAAgAh07iQCcP+uIKAgAA9wMAAA4AAAAAAAAAAQAgAAAA&#10;JAEAAGRycy9lMm9Eb2MueG1sUEsFBgAAAAAGAAYAWQEAAKAFAAAAAA==&#10;">
                        <v:fill on="f" focussize="0,0"/>
                        <v:stroke color="#000000" joinstyle="round" endarrow="block"/>
                        <v:imagedata o:title=""/>
                        <o:lock v:ext="edit" aspectratio="f"/>
                      </v:line>
                      <v:line id="_x0000_s1026" o:spid="_x0000_s1026" o:spt="20" style="position:absolute;left:1504950;top:2291715;height:0;width:317500;rotation:5898240f;" filled="f" stroked="t" coordsize="21600,21600" o:gfxdata="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bQU+v1QAAAAUBAAAPAAAAAAAAAAEAIAAAACIA&#10;AABkcnMvZG93bnJldi54bWxQSwECFAAUAAAACACHTuJA26BzpAwCAAD3AwAADgAAAAAAAAABACAA&#10;AAAkAQAAZHJzL2Uyb0RvYy54bWxQSwUGAAAAAAYABgBZAQAAogUAAAAA&#10;">
                        <v:fill on="f" focussize="0,0"/>
                        <v:stroke color="#000000" joinstyle="round" endarrow="block"/>
                        <v:imagedata o:title=""/>
                        <o:lock v:ext="edit" aspectratio="f"/>
                      </v:line>
                      <v:line id="_x0000_s1026" o:spid="_x0000_s1026" o:spt="20" style="position:absolute;left:1513840;top:490855;height:0;width:317500;rotation:5898240f;" filled="f" stroked="t" coordsize="21600,21600" o:gfxdata="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tBT6/VAAAABQEAAA8AAAAAAAAAAQAgAAAAIgAA&#10;AGRycy9kb3ducmV2LnhtbFBLAQIUABQAAAAIAIdO4kBFugZTCwIAAPgDAAAOAAAAAAAAAAEAIAAA&#10;ACQBAABkcnMvZTJvRG9jLnhtbFBLBQYAAAAABgAGAFkBAAChBQAAAAA=&#10;">
                        <v:fill on="f" focussize="0,0"/>
                        <v:stroke color="#000000" joinstyle="round" endarrow="block"/>
                        <v:imagedata o:title=""/>
                        <o:lock v:ext="edit" aspectratio="f"/>
                      </v:line>
                      <v:shape id="_x0000_s1026" o:spid="_x0000_s1026" o:spt="202" type="#_x0000_t202" style="position:absolute;left:1189355;top:46355;height:279400;width:977900;" fillcolor="#FFFFFF" filled="t" stroked="t" coordsize="21600,21600" o:gfxdata="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bhVpcdUA&#10;AAAFAQAADwAAAAAAAAABACAAAAAiAAAAZHJzL2Rvd25yZXYueG1sUEsBAhQAFAAAAAgAh07iQJS3&#10;n1ciAgAAZwQAAA4AAAAAAAAAAQAgAAAAJAEAAGRycy9lMm9Eb2MueG1sUEsFBgAAAAAGAAYAWQEA&#10;ALgFAAAAAA==&#10;">
                        <v:fill on="t" focussize="0,0"/>
                        <v:stroke color="#000000" joinstyle="miter"/>
                        <v:imagedata o:title=""/>
                        <o:lock v:ext="edit" aspectratio="f"/>
                        <v:textbox inset="0mm,0mm,0mm,0mm">
                          <w:txbxContent>
                            <w:p w14:paraId="64278165">
                              <w:pPr>
                                <w:spacing w:line="360" w:lineRule="exact"/>
                                <w:jc w:val="center"/>
                                <w:rPr>
                                  <w:rFonts w:hint="eastAsia" w:ascii="宋体" w:hAnsi="宋体" w:cs="宋体"/>
                                  <w:sz w:val="21"/>
                                  <w:szCs w:val="21"/>
                                </w:rPr>
                              </w:pPr>
                              <w:r>
                                <w:rPr>
                                  <w:rFonts w:hint="eastAsia" w:ascii="宋体" w:hAnsi="宋体" w:cs="宋体"/>
                                  <w:sz w:val="21"/>
                                  <w:szCs w:val="21"/>
                                </w:rPr>
                                <w:t>废钢</w:t>
                              </w:r>
                            </w:p>
                          </w:txbxContent>
                        </v:textbox>
                      </v:shape>
                      <v:shape id="_x0000_s1026" o:spid="_x0000_s1026" o:spt="202" type="#_x0000_t202" style="position:absolute;left:1713865;top:351790;height:279400;width:654685;" filled="f" stroked="f" coordsize="21600,21600" o:gfxdata="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MKzXK1QAAAAUBAAAPAAAAAAAAAAEAIAAAACIAAABkcnMvZG93bnJl&#10;di54bWxQSwECFAAUAAAACACHTuJA0hs/GscBAACAAwAADgAAAAAAAAABACAAAAAkAQAAZHJzL2Uy&#10;b0RvYy54bWxQSwUGAAAAAAYABgBZAQAAXQUAAAAA&#10;">
                        <v:fill on="f" focussize="0,0"/>
                        <v:stroke on="f"/>
                        <v:imagedata o:title=""/>
                        <o:lock v:ext="edit" aspectratio="f"/>
                        <v:textbox inset="0mm,0mm,0mm,0mm">
                          <w:txbxContent>
                            <w:p w14:paraId="5D0907E4">
                              <w:pPr>
                                <w:spacing w:line="360" w:lineRule="exact"/>
                                <w:jc w:val="center"/>
                                <w:rPr>
                                  <w:rFonts w:hint="eastAsia" w:ascii="宋体" w:hAnsi="宋体" w:cs="宋体"/>
                                  <w:sz w:val="21"/>
                                  <w:szCs w:val="21"/>
                                </w:rPr>
                              </w:pPr>
                              <w:r>
                                <w:rPr>
                                  <w:rFonts w:hint="eastAsia" w:ascii="宋体" w:hAnsi="宋体" w:cs="宋体"/>
                                  <w:sz w:val="21"/>
                                  <w:szCs w:val="21"/>
                                </w:rPr>
                                <w:t>辐射检测</w:t>
                              </w:r>
                            </w:p>
                          </w:txbxContent>
                        </v:textbox>
                      </v:shape>
                      <v:shape id="直接箭头连接符 68" o:spid="_x0000_s1026" o:spt="32" type="#_x0000_t32" style="position:absolute;left:419735;top:2435225;height:0;width:2600325;" filled="f" stroked="t" coordsize="21600,21600" o:gfxdata="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ukYEn1AAAAAUBAAAPAAAA&#10;AAAAAAEAIAAAACIAAABkcnMvZG93bnJldi54bWxQSwECFAAUAAAACACHTuJAenp1+RkCAAASBAAA&#10;DgAAAAAAAAABACAAAAAjAQAAZHJzL2Uyb0RvYy54bWxQSwUGAAAAAAYABgBZAQAArgUAAAAA&#10;">
                        <v:fill on="f" focussize="0,0"/>
                        <v:stroke color="#000000" joinstyle="round"/>
                        <v:imagedata o:title=""/>
                        <o:lock v:ext="edit" aspectratio="f"/>
                      </v:shape>
                      <v:line id="_x0000_s1026" o:spid="_x0000_s1026" o:spt="20" style="position:absolute;left:194945;top:2668270;height:0;width:461010;rotation:5898240f;" filled="f" stroked="t" coordsize="21600,21600" o:gfxdata="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&#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bQU+v1QAAAAUBAAAPAAAAAAAAAAEAIAAAACIAAABk&#10;cnMvZG93bnJldi54bWxQSwECFAAUAAAACACHTuJA+bxTgwkCAAD4AwAADgAAAAAAAAABACAAAAAk&#10;AQAAZHJzL2Uyb0RvYy54bWxQSwUGAAAAAAYABgBZAQAAnwUAAAAA&#10;">
                        <v:fill on="f" focussize="0,0"/>
                        <v:stroke color="#000000" joinstyle="round" endarrow="block"/>
                        <v:imagedata o:title=""/>
                        <o:lock v:ext="edit" aspectratio="f"/>
                      </v:line>
                      <v:line id="_x0000_s1026" o:spid="_x0000_s1026" o:spt="20" style="position:absolute;left:1433302;top:2677688;height:0;width:460796;rotation:5898240f;" filled="f" stroked="t" coordsize="21600,21600" o:gfxdata="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bQU+v1QAAAAUBAAAPAAAAAAAAAAEAIAAAACIA&#10;AABkcnMvZG93bnJldi54bWxQSwECFAAUAAAACACHTuJAw4imcgwCAAD5AwAADgAAAAAAAAABACAA&#10;AAAkAQAAZHJzL2Uyb0RvYy54bWxQSwUGAAAAAAYABgBZAQAAogUAAAAA&#10;">
                        <v:fill on="f" focussize="0,0"/>
                        <v:stroke color="#000000" joinstyle="round" endarrow="block"/>
                        <v:imagedata o:title=""/>
                        <o:lock v:ext="edit" aspectratio="f"/>
                      </v:line>
                      <v:line id="_x0000_s1026" o:spid="_x0000_s1026" o:spt="20" style="position:absolute;left:2785745;top:2677795;height:0;width:461010;rotation:5898240f;" filled="f" stroked="t" coordsize="21600,21600" o:gfxdata="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bQU+v1QAAAAUBAAAPAAAAAAAAAAEAIAAAACIA&#10;AABkcnMvZG93bnJldi54bWxQSwECFAAUAAAACACHTuJANdL2GQwCAAD5AwAADgAAAAAAAAABACAA&#10;AAAkAQAAZHJzL2Uyb0RvYy54bWxQSwUGAAAAAAYABgBZAQAAogUAAAAA&#10;">
                        <v:fill on="f" focussize="0,0"/>
                        <v:stroke color="#000000" joinstyle="round" endarrow="block"/>
                        <v:imagedata o:title=""/>
                        <o:lock v:ext="edit" aspectratio="f"/>
                      </v:line>
                      <v:shape id="_x0000_s1026" o:spid="_x0000_s1026" o:spt="202" type="#_x0000_t202" style="position:absolute;left:75565;top:2895600;height:279400;width:683260;" fillcolor="#FFFFFF" filled="t" stroked="t" coordsize="21600,21600" o:gfxdata="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uFWlx&#10;1QAAAAUBAAAPAAAAAAAAAAEAIAAAACIAAABkcnMvZG93bnJldi54bWxQSwECFAAUAAAACACHTuJA&#10;+dF7yiQCAABnBAAADgAAAAAAAAABACAAAAAkAQAAZHJzL2Uyb0RvYy54bWxQSwUGAAAAAAYABgBZ&#10;AQAAugUAAAAA&#10;">
                        <v:fill on="t" focussize="0,0"/>
                        <v:stroke color="#000000" joinstyle="miter"/>
                        <v:imagedata o:title=""/>
                        <o:lock v:ext="edit" aspectratio="f"/>
                        <v:textbox inset="0mm,0mm,0mm,0mm">
                          <w:txbxContent>
                            <w:p w14:paraId="29A1DF29">
                              <w:pPr>
                                <w:spacing w:line="360" w:lineRule="exact"/>
                                <w:jc w:val="center"/>
                                <w:rPr>
                                  <w:rFonts w:hint="eastAsia" w:ascii="宋体" w:hAnsi="宋体" w:cs="宋体"/>
                                  <w:sz w:val="21"/>
                                  <w:szCs w:val="21"/>
                                </w:rPr>
                              </w:pPr>
                              <w:r>
                                <w:rPr>
                                  <w:rFonts w:hint="eastAsia" w:ascii="宋体" w:hAnsi="宋体" w:cs="宋体"/>
                                  <w:sz w:val="21"/>
                                  <w:szCs w:val="21"/>
                                </w:rPr>
                                <w:t>剪切</w:t>
                              </w:r>
                            </w:p>
                          </w:txbxContent>
                        </v:textbox>
                      </v:shape>
                      <v:shape id="_x0000_s1026" o:spid="_x0000_s1026" o:spt="202" type="#_x0000_t202" style="position:absolute;left:56515;top:2523490;height:279400;width:398780;" filled="f" stroked="f" coordsize="21600,21600" o:gfxdata="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Cs1ytUAAAAFAQAADwAAAAAAAAABACAAAAAiAAAAZHJzL2Rvd25yZXYu&#10;eG1sUEsBAhQAFAAAAAgAh07iQLvGNmjFAQAAfwMAAA4AAAAAAAAAAQAgAAAAJAEAAGRycy9lMm9E&#10;b2MueG1sUEsFBgAAAAAGAAYAWQEAAFsFAAAAAA==&#10;">
                        <v:fill on="f" focussize="0,0"/>
                        <v:stroke on="f"/>
                        <v:imagedata o:title=""/>
                        <o:lock v:ext="edit" aspectratio="f"/>
                        <v:textbox inset="0mm,0mm,0mm,0mm">
                          <w:txbxContent>
                            <w:p w14:paraId="405B3780">
                              <w:pPr>
                                <w:spacing w:line="360" w:lineRule="exact"/>
                                <w:jc w:val="center"/>
                                <w:rPr>
                                  <w:rFonts w:hint="eastAsia" w:ascii="宋体" w:hAnsi="宋体" w:cs="宋体"/>
                                  <w:sz w:val="21"/>
                                  <w:szCs w:val="21"/>
                                </w:rPr>
                              </w:pPr>
                              <w:r>
                                <w:rPr>
                                  <w:rFonts w:hint="eastAsia" w:ascii="宋体" w:hAnsi="宋体" w:cs="宋体"/>
                                  <w:sz w:val="21"/>
                                  <w:szCs w:val="21"/>
                                </w:rPr>
                                <w:t>大件</w:t>
                              </w:r>
                            </w:p>
                          </w:txbxContent>
                        </v:textbox>
                      </v:shape>
                      <v:shape id="_x0000_s1026" o:spid="_x0000_s1026" o:spt="202" type="#_x0000_t202" style="position:absolute;left:1313815;top:2905125;height:279400;width:683260;" fillcolor="#FFFFFF" filled="t" stroked="t" coordsize="21600,21600" o:gfxdata="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u&#10;FWlx1QAAAAUBAAAPAAAAAAAAAAEAIAAAACIAAABkcnMvZG93bnJldi54bWxQSwECFAAUAAAACACH&#10;TuJAvBvSpScCAABpBAAADgAAAAAAAAABACAAAAAkAQAAZHJzL2Uyb0RvYy54bWxQSwUGAAAAAAYA&#10;BgBZAQAAvQUAAAAA&#10;">
                        <v:fill on="t" focussize="0,0"/>
                        <v:stroke color="#000000" joinstyle="miter"/>
                        <v:imagedata o:title=""/>
                        <o:lock v:ext="edit" aspectratio="f"/>
                        <v:textbox inset="0mm,0mm,0mm,0mm">
                          <w:txbxContent>
                            <w:p w14:paraId="5E5E88F5">
                              <w:pPr>
                                <w:spacing w:line="360" w:lineRule="exact"/>
                                <w:jc w:val="center"/>
                                <w:rPr>
                                  <w:rFonts w:hint="eastAsia" w:ascii="宋体" w:hAnsi="宋体" w:cs="宋体"/>
                                  <w:sz w:val="21"/>
                                  <w:szCs w:val="21"/>
                                </w:rPr>
                              </w:pPr>
                              <w:r>
                                <w:rPr>
                                  <w:rFonts w:hint="eastAsia" w:ascii="宋体" w:hAnsi="宋体" w:cs="宋体"/>
                                  <w:sz w:val="21"/>
                                  <w:szCs w:val="21"/>
                                </w:rPr>
                                <w:t>破碎</w:t>
                              </w:r>
                            </w:p>
                          </w:txbxContent>
                        </v:textbox>
                      </v:shape>
                      <v:shape id="_x0000_s1026" o:spid="_x0000_s1026" o:spt="202" type="#_x0000_t202" style="position:absolute;left:2666365;top:2905125;height:279400;width:683260;" fillcolor="#FFFFFF" filled="t" stroked="t" coordsize="21600,21600" o:gfxdata="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u&#10;FWlx1QAAAAUBAAAPAAAAAAAAAAEAIAAAACIAAABkcnMvZG93bnJldi54bWxQSwECFAAUAAAACACH&#10;TuJAo2ZLfCcCAABpBAAADgAAAAAAAAABACAAAAAkAQAAZHJzL2Uyb0RvYy54bWxQSwUGAAAAAAYA&#10;BgBZAQAAvQUAAAAA&#10;">
                        <v:fill on="t" focussize="0,0"/>
                        <v:stroke color="#000000" joinstyle="miter"/>
                        <v:imagedata o:title=""/>
                        <o:lock v:ext="edit" aspectratio="f"/>
                        <v:textbox inset="0mm,0mm,0mm,0mm">
                          <w:txbxContent>
                            <w:p w14:paraId="39FA53C1">
                              <w:pPr>
                                <w:spacing w:line="360" w:lineRule="exact"/>
                                <w:jc w:val="center"/>
                                <w:rPr>
                                  <w:rFonts w:hint="eastAsia" w:ascii="宋体" w:hAnsi="宋体" w:cs="宋体"/>
                                  <w:sz w:val="21"/>
                                  <w:szCs w:val="21"/>
                                </w:rPr>
                              </w:pPr>
                              <w:r>
                                <w:rPr>
                                  <w:rFonts w:hint="eastAsia" w:ascii="宋体" w:hAnsi="宋体" w:cs="宋体"/>
                                  <w:sz w:val="21"/>
                                  <w:szCs w:val="21"/>
                                </w:rPr>
                                <w:t>打包</w:t>
                              </w:r>
                            </w:p>
                          </w:txbxContent>
                        </v:textbox>
                      </v:shape>
                      <v:shape id="_x0000_s1026" o:spid="_x0000_s1026" o:spt="202" type="#_x0000_t202" style="position:absolute;left:2266315;top:2542540;height:279400;width:759460;" filled="f" stroked="f" coordsize="21600,21600" o:gfxdata="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MKzXK1QAAAAUBAAAPAAAAAAAAAAEAIAAAACIAAABkcnMvZG93bnJl&#10;di54bWxQSwECFAAUAAAACACHTuJASiK50ccBAACBAwAADgAAAAAAAAABACAAAAAkAQAAZHJzL2Uy&#10;b0RvYy54bWxQSwUGAAAAAAYABgBZAQAAXQUAAAAA&#10;">
                        <v:fill on="f" focussize="0,0"/>
                        <v:stroke on="f"/>
                        <v:imagedata o:title=""/>
                        <o:lock v:ext="edit" aspectratio="f"/>
                        <v:textbox inset="0mm,0mm,0mm,0mm">
                          <w:txbxContent>
                            <w:p w14:paraId="03E4646E">
                              <w:pPr>
                                <w:spacing w:line="360" w:lineRule="exact"/>
                                <w:jc w:val="center"/>
                                <w:rPr>
                                  <w:rFonts w:hint="eastAsia" w:ascii="宋体" w:hAnsi="宋体" w:cs="宋体"/>
                                  <w:sz w:val="21"/>
                                  <w:szCs w:val="21"/>
                                </w:rPr>
                              </w:pPr>
                              <w:r>
                                <w:rPr>
                                  <w:rFonts w:hint="eastAsia" w:ascii="宋体" w:hAnsi="宋体" w:cs="宋体"/>
                                  <w:sz w:val="21"/>
                                  <w:szCs w:val="21"/>
                                </w:rPr>
                                <w:t>余料等废钢</w:t>
                              </w:r>
                            </w:p>
                          </w:txbxContent>
                        </v:textbox>
                      </v:shape>
                      <v:shape id="_x0000_s1026" o:spid="_x0000_s1026" o:spt="202" type="#_x0000_t202" style="position:absolute;left:1228090;top:2513965;height:279400;width:417195;" filled="f" stroked="f" coordsize="21600,21600" o:gfxdata="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Cs1ytUAAAAFAQAADwAAAAAAAAABACAAAAAiAAAAZHJzL2Rvd25y&#10;ZXYueG1sUEsBAhQAFAAAAAgAh07iQHI9CmnIAQAAgQMAAA4AAAAAAAAAAQAgAAAAJAEAAGRycy9l&#10;Mm9Eb2MueG1sUEsFBgAAAAAGAAYAWQEAAF4FAAAAAA==&#10;">
                        <v:fill on="f" focussize="0,0"/>
                        <v:stroke on="f"/>
                        <v:imagedata o:title=""/>
                        <o:lock v:ext="edit" aspectratio="f"/>
                        <v:textbox inset="0mm,0mm,0mm,0mm">
                          <w:txbxContent>
                            <w:p w14:paraId="3405BD6D">
                              <w:pPr>
                                <w:spacing w:line="360" w:lineRule="exact"/>
                                <w:jc w:val="center"/>
                                <w:rPr>
                                  <w:rFonts w:hint="eastAsia" w:ascii="宋体" w:hAnsi="宋体" w:cs="宋体"/>
                                  <w:sz w:val="21"/>
                                  <w:szCs w:val="21"/>
                                </w:rPr>
                              </w:pPr>
                              <w:r>
                                <w:rPr>
                                  <w:rFonts w:hint="eastAsia" w:ascii="宋体" w:hAnsi="宋体" w:cs="宋体"/>
                                  <w:sz w:val="21"/>
                                  <w:szCs w:val="21"/>
                                </w:rPr>
                                <w:t>小件</w:t>
                              </w:r>
                            </w:p>
                          </w:txbxContent>
                        </v:textbox>
                      </v:shape>
                      <v:shape id="_x0000_s1026" o:spid="_x0000_s1026" o:spt="100" style="position:absolute;left:598805;top:2741930;height:165100;width:279400;" filled="f" stroked="t" coordsize="630,468" o:gfxdata="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cwaI2tYAAAAFAQAADwAAAAAA&#10;AAABACAAAAAiAAAAZHJzL2Rvd25yZXYueG1sUEsBAhQAFAAAAAgAh07iQBCeIqzAAgAAIAYAAA4A&#10;AAAAAAAAAQAgAAAAJQEAAGRycy9lMm9Eb2MueG1sUEsFBgAAAAAGAAYAWQEAAFcGAAAAAA==&#10;" path="m0,468c78,338,157,208,210,156c263,104,298,130,315,156c332,182,262,338,315,312c368,286,577,52,630,0e">
                        <v:fill on="f" focussize="0,0"/>
                        <v:stroke color="#000000" joinstyle="round" endarrow="block"/>
                        <v:imagedata o:title=""/>
                        <o:lock v:ext="edit" aspectratio="f"/>
                      </v:shape>
                      <v:shape id="_x0000_s1026" o:spid="_x0000_s1026" o:spt="202" type="#_x0000_t202" style="position:absolute;left:570865;top:2494915;height:279400;width:568960;" filled="f" stroked="f" coordsize="21600,21600" o:gfxdata="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MKzXK1QAAAAUBAAAPAAAAAAAAAAEAIAAAACIAAABkcnMvZG93bnJl&#10;di54bWxQSwECFAAUAAAACACHTuJAuMn9zMcBAACAAwAADgAAAAAAAAABACAAAAAkAQAAZHJzL2Uy&#10;b0RvYy54bWxQSwUGAAAAAAYABgBZAQAAXQUAAAAA&#10;">
                        <v:fill on="f" focussize="0,0"/>
                        <v:stroke on="f"/>
                        <v:imagedata o:title=""/>
                        <o:lock v:ext="edit" aspectratio="f"/>
                        <v:textbox inset="0mm,0mm,0mm,0mm">
                          <w:txbxContent>
                            <w:p w14:paraId="7BB15019">
                              <w:pPr>
                                <w:spacing w:line="360" w:lineRule="exact"/>
                                <w:jc w:val="center"/>
                                <w:rPr>
                                  <w:sz w:val="21"/>
                                  <w:szCs w:val="21"/>
                                </w:rPr>
                              </w:pPr>
                              <w:r>
                                <w:rPr>
                                  <w:sz w:val="21"/>
                                  <w:szCs w:val="21"/>
                                </w:rPr>
                                <w:t>G、</w:t>
                              </w:r>
                              <w:r>
                                <w:rPr>
                                  <w:rFonts w:hint="eastAsia"/>
                                  <w:sz w:val="21"/>
                                  <w:szCs w:val="21"/>
                                </w:rPr>
                                <w:t>S、</w:t>
                              </w:r>
                              <w:r>
                                <w:rPr>
                                  <w:sz w:val="21"/>
                                  <w:szCs w:val="21"/>
                                </w:rPr>
                                <w:t>N</w:t>
                              </w:r>
                            </w:p>
                          </w:txbxContent>
                        </v:textbox>
                      </v:shape>
                      <v:shape id="_x0000_s1026" o:spid="_x0000_s1026" o:spt="100" style="position:absolute;left:1779905;top:2741930;height:165100;width:279400;" filled="f" stroked="t" coordsize="630,468" o:gfxdata="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cwaI2tYAAAAFAQAADwAAAAAA&#10;AAABACAAAAAiAAAAZHJzL2Rvd25yZXYueG1sUEsBAhQAFAAAAAgAh07iQH1jbA7AAgAAIQYAAA4A&#10;AAAAAAAAAQAgAAAAJQEAAGRycy9lMm9Eb2MueG1sUEsFBgAAAAAGAAYAWQEAAFcGAAAAAA==&#10;" path="m0,468c78,338,157,208,210,156c263,104,298,130,315,156c332,182,262,338,315,312c368,286,577,52,630,0e">
                        <v:fill on="f" focussize="0,0"/>
                        <v:stroke color="#000000" joinstyle="round" endarrow="block"/>
                        <v:imagedata o:title=""/>
                        <o:lock v:ext="edit" aspectratio="f"/>
                      </v:shape>
                      <v:shape id="_x0000_s1026" o:spid="_x0000_s1026" o:spt="202" type="#_x0000_t202" style="position:absolute;left:1713865;top:2513965;height:279400;width:568960;" filled="f" stroked="f" coordsize="21600,21600" o:gfxdata="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MKzXK1QAAAAUBAAAPAAAAAAAAAAEAIAAAACIAAABkcnMvZG93bnJl&#10;di54bWxQSwECFAAUAAAACACHTuJAukvaSccBAACBAwAADgAAAAAAAAABACAAAAAkAQAAZHJzL2Uy&#10;b0RvYy54bWxQSwUGAAAAAAYABgBZAQAAXQUAAAAA&#10;">
                        <v:fill on="f" focussize="0,0"/>
                        <v:stroke on="f"/>
                        <v:imagedata o:title=""/>
                        <o:lock v:ext="edit" aspectratio="f"/>
                        <v:textbox inset="0mm,0mm,0mm,0mm">
                          <w:txbxContent>
                            <w:p w14:paraId="4233E0BD">
                              <w:pPr>
                                <w:spacing w:line="360" w:lineRule="exact"/>
                                <w:jc w:val="center"/>
                                <w:rPr>
                                  <w:sz w:val="21"/>
                                  <w:szCs w:val="21"/>
                                </w:rPr>
                              </w:pPr>
                              <w:r>
                                <w:rPr>
                                  <w:sz w:val="21"/>
                                  <w:szCs w:val="21"/>
                                </w:rPr>
                                <w:t>G、</w:t>
                              </w:r>
                              <w:r>
                                <w:rPr>
                                  <w:rFonts w:hint="eastAsia"/>
                                  <w:sz w:val="21"/>
                                  <w:szCs w:val="21"/>
                                </w:rPr>
                                <w:t>S、</w:t>
                              </w:r>
                              <w:r>
                                <w:rPr>
                                  <w:sz w:val="21"/>
                                  <w:szCs w:val="21"/>
                                </w:rPr>
                                <w:t>N</w:t>
                              </w:r>
                            </w:p>
                          </w:txbxContent>
                        </v:textbox>
                      </v:shape>
                      <v:shape id="_x0000_s1026" o:spid="_x0000_s1026" o:spt="100" style="position:absolute;left:3122930;top:2741930;height:165100;width:279400;" filled="f" stroked="t" coordsize="630,468" o:gfxdata="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cwaI2tYAAAAFAQAADwAAAAAAAAABACAA&#10;AAAiAAAAZHJzL2Rvd25yZXYueG1sUEsBAhQAFAAAAAgAh07iQO1k9+S6AgAAIQYAAA4AAAAAAAAA&#10;AQAgAAAAJQEAAGRycy9lMm9Eb2MueG1sUEsFBgAAAAAGAAYAWQEAAFEGAAAAAA==&#10;" path="m0,468c78,338,157,208,210,156c263,104,298,130,315,156c332,182,262,338,315,312c368,286,577,52,630,0e">
                        <v:fill on="f" focussize="0,0"/>
                        <v:stroke color="#000000" joinstyle="round" endarrow="block"/>
                        <v:imagedata o:title=""/>
                        <o:lock v:ext="edit" aspectratio="f"/>
                      </v:shape>
                      <v:shape id="_x0000_s1026" o:spid="_x0000_s1026" o:spt="202" type="#_x0000_t202" style="position:absolute;left:3209290;top:2504440;height:279400;width:379095;" filled="f" stroked="f" coordsize="21600,21600" o:gfxdata="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MKzXK1QAAAAUBAAAPAAAAAAAAAAEAIAAAACIAAABkcnMvZG93bnJldi54&#10;bWxQSwECFAAUAAAACACHTuJAN5uZVcQBAACBAwAADgAAAAAAAAABACAAAAAkAQAAZHJzL2Uyb0Rv&#10;Yy54bWxQSwUGAAAAAAYABgBZAQAAWgUAAAAA&#10;">
                        <v:fill on="f" focussize="0,0"/>
                        <v:stroke on="f"/>
                        <v:imagedata o:title=""/>
                        <o:lock v:ext="edit" aspectratio="f"/>
                        <v:textbox inset="0mm,0mm,0mm,0mm">
                          <w:txbxContent>
                            <w:p w14:paraId="27AACE6D">
                              <w:pPr>
                                <w:spacing w:line="360" w:lineRule="exact"/>
                                <w:jc w:val="center"/>
                                <w:rPr>
                                  <w:sz w:val="21"/>
                                  <w:szCs w:val="21"/>
                                </w:rPr>
                              </w:pPr>
                              <w:r>
                                <w:rPr>
                                  <w:sz w:val="21"/>
                                  <w:szCs w:val="21"/>
                                </w:rPr>
                                <w:t>N</w:t>
                              </w:r>
                            </w:p>
                          </w:txbxContent>
                        </v:textbox>
                      </v:shape>
                      <v:line id="_x0000_s1026" o:spid="_x0000_s1026" o:spt="20" style="position:absolute;left:1495425;top:3348990;height:0;width:317500;rotation:5898240f;" filled="f" stroked="t" coordsize="21600,21600" o:gfxdata="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20FPr9UAAAAFAQAADwAAAAAAAAABACAAAAAiAAAA&#10;ZHJzL2Rvd25yZXYueG1sUEsBAhQAFAAAAAgAh07iQDLZx6UKAgAA+QMAAA4AAAAAAAAAAQAgAAAA&#10;JAEAAGRycy9lMm9Eb2MueG1sUEsFBgAAAAAGAAYAWQEAAKAFAAAAAA==&#10;">
                        <v:fill on="f" focussize="0,0"/>
                        <v:stroke color="#000000" joinstyle="round" endarrow="block"/>
                        <v:imagedata o:title=""/>
                        <o:lock v:ext="edit" aspectratio="f"/>
                      </v:line>
                      <v:shape id="_x0000_s1026" o:spid="_x0000_s1026" o:spt="202" type="#_x0000_t202" style="position:absolute;left:1304290;top:3505200;height:279400;width:683260;" fillcolor="#FFFFFF" filled="t" stroked="t" coordsize="21600,21600" o:gfxdata="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4V&#10;aXHVAAAABQEAAA8AAAAAAAAAAQAgAAAAIgAAAGRycy9kb3ducmV2LnhtbFBLAQIUABQAAAAIAIdO&#10;4kCAXpcXJgIAAGkEAAAOAAAAAAAAAAEAIAAAACQBAABkcnMvZTJvRG9jLnhtbFBLBQYAAAAABgAG&#10;AFkBAAC8BQAAAAA=&#10;">
                        <v:fill on="t" focussize="0,0"/>
                        <v:stroke color="#000000" joinstyle="miter"/>
                        <v:imagedata o:title=""/>
                        <o:lock v:ext="edit" aspectratio="f"/>
                        <v:textbox inset="0mm,0mm,0mm,0mm">
                          <w:txbxContent>
                            <w:p w14:paraId="5815FD50">
                              <w:pPr>
                                <w:spacing w:line="360" w:lineRule="exact"/>
                                <w:jc w:val="center"/>
                                <w:rPr>
                                  <w:rFonts w:hint="eastAsia" w:ascii="宋体" w:hAnsi="宋体" w:cs="宋体"/>
                                  <w:sz w:val="21"/>
                                  <w:szCs w:val="21"/>
                                </w:rPr>
                              </w:pPr>
                              <w:r>
                                <w:rPr>
                                  <w:rFonts w:hint="eastAsia" w:ascii="宋体" w:hAnsi="宋体" w:cs="宋体"/>
                                  <w:sz w:val="21"/>
                                  <w:szCs w:val="21"/>
                                </w:rPr>
                                <w:t>磁选</w:t>
                              </w:r>
                            </w:p>
                          </w:txbxContent>
                        </v:textbox>
                      </v:shape>
                      <v:line id="_x0000_s1026" o:spid="_x0000_s1026" o:spt="20" style="position:absolute;left:1476375;top:3949065;height:0;width:317500;rotation:5898240f;" filled="f" stroked="t" coordsize="21600,21600" o:gfxdata="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tBT6/VAAAABQEAAA8AAAAAAAAAAQAgAAAAIgAA&#10;AGRycy9kb3ducmV2LnhtbFBLAQIUABQAAAAIAIdO4kAmRaxVCwIAAPkDAAAOAAAAAAAAAAEAIAAA&#10;ACQBAABkcnMvZTJvRG9jLnhtbFBLBQYAAAAABgAGAFkBAAChBQAAAAA=&#10;">
                        <v:fill on="f" focussize="0,0"/>
                        <v:stroke color="#000000" joinstyle="round" endarrow="block"/>
                        <v:imagedata o:title=""/>
                        <o:lock v:ext="edit" aspectratio="f"/>
                      </v:line>
                      <v:shape id="_x0000_s1026" o:spid="_x0000_s1026" o:spt="202" type="#_x0000_t202" style="position:absolute;left:1285240;top:4105910;height:279400;width:683260;" fillcolor="#FFFFFF" filled="t" stroked="t" coordsize="21600,21600" o:gfxdata="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4V&#10;aXHVAAAABQEAAA8AAAAAAAAAAQAgAAAAIgAAAGRycy9kb3ducmV2LnhtbFBLAQIUABQAAAAIAIdO&#10;4kB39qQEJgIAAGkEAAAOAAAAAAAAAAEAIAAAACQBAABkcnMvZTJvRG9jLnhtbFBLBQYAAAAABgAG&#10;AFkBAAC8BQAAAAA=&#10;">
                        <v:fill on="t" focussize="0,0"/>
                        <v:stroke color="#000000" joinstyle="miter"/>
                        <v:imagedata o:title=""/>
                        <o:lock v:ext="edit" aspectratio="f"/>
                        <v:textbox inset="0mm,0mm,0mm,0mm">
                          <w:txbxContent>
                            <w:p w14:paraId="5E1366F8">
                              <w:pPr>
                                <w:spacing w:line="360" w:lineRule="exact"/>
                                <w:jc w:val="center"/>
                                <w:rPr>
                                  <w:rFonts w:hint="eastAsia" w:ascii="宋体" w:hAnsi="宋体" w:cs="宋体"/>
                                  <w:sz w:val="21"/>
                                  <w:szCs w:val="21"/>
                                </w:rPr>
                              </w:pPr>
                              <w:r>
                                <w:rPr>
                                  <w:rFonts w:hint="eastAsia" w:ascii="宋体" w:hAnsi="宋体" w:cs="宋体"/>
                                  <w:sz w:val="21"/>
                                  <w:szCs w:val="21"/>
                                </w:rPr>
                                <w:t>成品入库</w:t>
                              </w:r>
                            </w:p>
                          </w:txbxContent>
                        </v:textbox>
                      </v:shape>
                      <v:line id="_x0000_s1026" o:spid="_x0000_s1026" o:spt="20" style="position:absolute;left:2847975;top:3348990;height:0;width:317500;rotation:5898240f;" filled="f" stroked="t" coordsize="21600,21600" o:gfxdata="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tBT6/VAAAABQEAAA8AAAAAAAAAAQAgAAAAIgAA&#10;AGRycy9kb3ducmV2LnhtbFBLAQIUABQAAAAIAIdO4kAAiRFFCwIAAPkDAAAOAAAAAAAAAAEAIAAA&#10;ACQBAABkcnMvZTJvRG9jLnhtbFBLBQYAAAAABgAGAFkBAAChBQAAAAA=&#10;">
                        <v:fill on="f" focussize="0,0"/>
                        <v:stroke color="#000000" joinstyle="round" endarrow="block"/>
                        <v:imagedata o:title=""/>
                        <o:lock v:ext="edit" aspectratio="f"/>
                      </v:line>
                      <v:shape id="_x0000_s1026" o:spid="_x0000_s1026" o:spt="202" type="#_x0000_t202" style="position:absolute;left:2666365;top:3505835;height:279400;width:683260;" fillcolor="#FFFFFF" filled="t" stroked="t" coordsize="21600,21600" o:gfxdata="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4VaXHVAAAABQEAAA8AAAAAAAAAAQAgAAAAIgAAAGRycy9kb3ducmV2LnhtbFBLAQIUABQAAAAI&#10;AIdO4kAg5E/mKQIAAGkEAAAOAAAAAAAAAAEAIAAAACQBAABkcnMvZTJvRG9jLnhtbFBLBQYAAAAA&#10;BgAGAFkBAAC/BQAAAAA=&#10;">
                        <v:fill on="t" focussize="0,0"/>
                        <v:stroke color="#000000" joinstyle="miter"/>
                        <v:imagedata o:title=""/>
                        <o:lock v:ext="edit" aspectratio="f"/>
                        <v:textbox inset="0mm,0mm,0mm,0mm">
                          <w:txbxContent>
                            <w:p w14:paraId="51C48B5C">
                              <w:pPr>
                                <w:spacing w:line="360" w:lineRule="exact"/>
                                <w:jc w:val="center"/>
                                <w:rPr>
                                  <w:rFonts w:hint="eastAsia" w:ascii="宋体" w:hAnsi="宋体" w:cs="宋体"/>
                                  <w:sz w:val="21"/>
                                  <w:szCs w:val="21"/>
                                </w:rPr>
                              </w:pPr>
                              <w:r>
                                <w:rPr>
                                  <w:rFonts w:hint="eastAsia" w:ascii="宋体" w:hAnsi="宋体" w:cs="宋体"/>
                                  <w:sz w:val="21"/>
                                  <w:szCs w:val="21"/>
                                </w:rPr>
                                <w:t>成品入库</w:t>
                              </w:r>
                            </w:p>
                          </w:txbxContent>
                        </v:textbox>
                      </v:shape>
                      <v:line id="_x0000_s1026" o:spid="_x0000_s1026" o:spt="20" style="position:absolute;left:266700;top:3329940;height:0;width:317500;rotation:5898240f;" filled="f" stroked="t" coordsize="21600,21600" o:gfxdata="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20FPr9UAAAAFAQAADwAAAAAAAAABACAAAAAiAAAA&#10;ZHJzL2Rvd25yZXYueG1sUEsBAhQAFAAAAAgAh07iQHd+/UkKAgAA+AMAAA4AAAAAAAAAAQAgAAAA&#10;JAEAAGRycy9lMm9Eb2MueG1sUEsFBgAAAAAGAAYAWQEAAKAFAAAAAA==&#10;">
                        <v:fill on="f" focussize="0,0"/>
                        <v:stroke color="#000000" joinstyle="round" endarrow="block"/>
                        <v:imagedata o:title=""/>
                        <o:lock v:ext="edit" aspectratio="f"/>
                      </v:line>
                      <v:shape id="_x0000_s1026" o:spid="_x0000_s1026" o:spt="202" type="#_x0000_t202" style="position:absolute;left:85090;top:3486785;height:279400;width:683260;" fillcolor="#FFFFFF" filled="t" stroked="t" coordsize="21600,21600" o:gfxdata="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u&#10;FWlx1QAAAAUBAAAPAAAAAAAAAAEAIAAAACIAAABkcnMvZG93bnJldi54bWxQSwECFAAUAAAACACH&#10;TuJADaquzycCAABnBAAADgAAAAAAAAABACAAAAAkAQAAZHJzL2Uyb0RvYy54bWxQSwUGAAAAAAYA&#10;BgBZAQAAvQUAAAAA&#10;">
                        <v:fill on="t" focussize="0,0"/>
                        <v:stroke color="#000000" joinstyle="miter"/>
                        <v:imagedata o:title=""/>
                        <o:lock v:ext="edit" aspectratio="f"/>
                        <v:textbox inset="0mm,0mm,0mm,0mm">
                          <w:txbxContent>
                            <w:p w14:paraId="56D9A781">
                              <w:pPr>
                                <w:spacing w:line="360" w:lineRule="exact"/>
                                <w:jc w:val="center"/>
                                <w:rPr>
                                  <w:rFonts w:hint="eastAsia" w:ascii="宋体" w:hAnsi="宋体" w:cs="宋体"/>
                                  <w:sz w:val="21"/>
                                  <w:szCs w:val="21"/>
                                </w:rPr>
                              </w:pPr>
                              <w:r>
                                <w:rPr>
                                  <w:rFonts w:hint="eastAsia" w:ascii="宋体" w:hAnsi="宋体" w:cs="宋体"/>
                                  <w:sz w:val="21"/>
                                  <w:szCs w:val="21"/>
                                </w:rPr>
                                <w:t>成品入库</w:t>
                              </w:r>
                            </w:p>
                          </w:txbxContent>
                        </v:textbox>
                      </v:shape>
                      <v:shape id="_x0000_s1026" o:spid="_x0000_s1026" o:spt="202" type="#_x0000_t202" style="position:absolute;left:3180080;top:84455;height:781050;width:915035;" filled="f" stroked="t" coordsize="21600,21600" o:gfxdata="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L&#10;wHHM1wAAAAUBAAAPAAAAAAAAAAEAIAAAACIAAABkcnMvZG93bnJldi54bWxQSwECFAAUAAAACACH&#10;TuJA/IQQqF4CAACbBAAADgAAAAAAAAABACAAAAAmAQAAZHJzL2Uyb0RvYy54bWxQSwUGAAAAAAYA&#10;BgBZAQAA9gUAAAAA&#10;">
                        <v:fill on="f" focussize="0,0"/>
                        <v:stroke weight="0.5pt" color="#000000 [3204]" joinstyle="round"/>
                        <v:imagedata o:title=""/>
                        <o:lock v:ext="edit" aspectratio="f"/>
                        <v:textbox>
                          <w:txbxContent>
                            <w:p w14:paraId="469F16AB">
                              <w:pPr>
                                <w:jc w:val="center"/>
                                <w:rPr>
                                  <w:sz w:val="21"/>
                                  <w:szCs w:val="21"/>
                                </w:rPr>
                              </w:pPr>
                              <w:r>
                                <w:rPr>
                                  <w:rFonts w:hint="eastAsia"/>
                                  <w:sz w:val="21"/>
                                  <w:szCs w:val="21"/>
                                </w:rPr>
                                <w:t xml:space="preserve">图例 </w:t>
                              </w:r>
                            </w:p>
                            <w:p w14:paraId="7EAED4DA">
                              <w:pPr>
                                <w:pStyle w:val="24"/>
                                <w:spacing w:after="0"/>
                                <w:ind w:left="0" w:leftChars="0" w:firstLine="0"/>
                                <w:rPr>
                                  <w:sz w:val="21"/>
                                  <w:szCs w:val="21"/>
                                </w:rPr>
                              </w:pPr>
                              <w:r>
                                <w:rPr>
                                  <w:rFonts w:hint="eastAsia"/>
                                  <w:sz w:val="21"/>
                                  <w:szCs w:val="21"/>
                                </w:rPr>
                                <w:t>G   废气</w:t>
                              </w:r>
                            </w:p>
                            <w:p w14:paraId="58AFFBB4">
                              <w:pPr>
                                <w:pStyle w:val="24"/>
                                <w:spacing w:after="0"/>
                                <w:ind w:left="0" w:leftChars="0" w:firstLine="0"/>
                                <w:rPr>
                                  <w:sz w:val="21"/>
                                  <w:szCs w:val="21"/>
                                </w:rPr>
                              </w:pPr>
                              <w:r>
                                <w:rPr>
                                  <w:rFonts w:hint="eastAsia"/>
                                  <w:sz w:val="21"/>
                                  <w:szCs w:val="21"/>
                                </w:rPr>
                                <w:t>S   固废</w:t>
                              </w:r>
                            </w:p>
                            <w:p w14:paraId="11F27E5B">
                              <w:r>
                                <w:rPr>
                                  <w:rFonts w:hint="eastAsia"/>
                                  <w:sz w:val="21"/>
                                  <w:szCs w:val="21"/>
                                </w:rPr>
                                <w:t>N   噪声</w:t>
                              </w:r>
                            </w:p>
                          </w:txbxContent>
                        </v:textbox>
                      </v:shape>
                      <v:shape id="_x0000_s1026" o:spid="_x0000_s1026" o:spt="202" type="#_x0000_t202" style="position:absolute;left:1942465;top:3142615;height:279400;width:464820;" filled="f" stroked="f" coordsize="21600,21600" o:gfxdata="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wrNcrVAAAABQEAAA8AAAAAAAAAAQAgAAAAIgAAAGRycy9kb3du&#10;cmV2LnhtbFBLAQIUABQAAAAIAIdO4kCCQxhWyQEAAIEDAAAOAAAAAAAAAAEAIAAAACQBAABkcnMv&#10;ZTJvRG9jLnhtbFBLBQYAAAAABgAGAFkBAABfBQAAAAA=&#10;">
                        <v:fill on="f" focussize="0,0"/>
                        <v:stroke on="f"/>
                        <v:imagedata o:title=""/>
                        <o:lock v:ext="edit" aspectratio="f"/>
                        <v:textbox inset="0mm,0mm,0mm,0mm">
                          <w:txbxContent>
                            <w:p w14:paraId="7E4198E3">
                              <w:pPr>
                                <w:spacing w:line="360" w:lineRule="exact"/>
                                <w:jc w:val="center"/>
                                <w:rPr>
                                  <w:sz w:val="21"/>
                                  <w:szCs w:val="21"/>
                                </w:rPr>
                              </w:pPr>
                              <w:r>
                                <w:rPr>
                                  <w:rFonts w:hint="eastAsia"/>
                                  <w:sz w:val="21"/>
                                  <w:szCs w:val="21"/>
                                </w:rPr>
                                <w:t>S</w:t>
                              </w:r>
                              <w:r>
                                <w:rPr>
                                  <w:sz w:val="21"/>
                                  <w:szCs w:val="21"/>
                                </w:rPr>
                                <w:t>、N</w:t>
                              </w:r>
                            </w:p>
                          </w:txbxContent>
                        </v:textbox>
                      </v:shape>
                      <v:shape id="_x0000_s1026" o:spid="_x0000_s1026" o:spt="100" style="position:absolute;left:1779905;top:3351530;height:165100;width:279400;" filled="f" stroked="t" coordsize="630,468" o:gfxdata="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cwaI2tYAAAAFAQAADwAAAAAA&#10;AAABACAAAAAiAAAAZHJzL2Rvd25yZXYueG1sUEsBAhQAFAAAAAgAh07iQGkcYL7AAgAAIQYAAA4A&#10;AAAAAAAAAQAgAAAAJQEAAGRycy9lMm9Eb2MueG1sUEsFBgAAAAAGAAYAWQEAAFcGAAAAAA==&#10;" path="m0,468c78,338,157,208,210,156c263,104,298,130,315,156c332,182,262,338,315,312c368,286,577,52,630,0e">
                        <v:fill on="f" focussize="0,0"/>
                        <v:stroke color="#000000" joinstyle="round" endarrow="block"/>
                        <v:imagedata o:title=""/>
                        <o:lock v:ext="edit" aspectratio="f"/>
                      </v:shape>
                      <w10:wrap type="none"/>
                      <w10:anchorlock/>
                    </v:group>
                  </w:pict>
                </mc:Fallback>
              </mc:AlternateContent>
            </w:r>
          </w:p>
          <w:p w14:paraId="1D05987E">
            <w:pPr>
              <w:pStyle w:val="23"/>
              <w:spacing w:before="0" w:after="0" w:line="400" w:lineRule="exact"/>
              <w:ind w:firstLine="1446" w:firstLineChars="600"/>
              <w:rPr>
                <w:b/>
                <w:bCs/>
                <w:color w:val="auto"/>
                <w:sz w:val="24"/>
                <w:szCs w:val="24"/>
              </w:rPr>
            </w:pPr>
            <w:r>
              <w:rPr>
                <w:rFonts w:hint="eastAsia"/>
                <w:b/>
                <w:bCs/>
                <w:color w:val="auto"/>
                <w:sz w:val="24"/>
                <w:szCs w:val="24"/>
              </w:rPr>
              <w:t>图2-3    废钢回收</w:t>
            </w:r>
            <w:r>
              <w:rPr>
                <w:b/>
                <w:bCs/>
                <w:color w:val="auto"/>
                <w:sz w:val="24"/>
                <w:szCs w:val="24"/>
              </w:rPr>
              <w:t>工艺流程及产污环节图</w:t>
            </w:r>
          </w:p>
          <w:p w14:paraId="0C132E68">
            <w:pPr>
              <w:tabs>
                <w:tab w:val="left" w:pos="1500"/>
              </w:tabs>
              <w:adjustRightInd w:val="0"/>
              <w:snapToGrid w:val="0"/>
              <w:spacing w:line="500" w:lineRule="exact"/>
              <w:ind w:firstLine="482"/>
              <w:rPr>
                <w:b/>
                <w:bCs/>
                <w:color w:val="auto"/>
              </w:rPr>
            </w:pPr>
            <w:r>
              <w:rPr>
                <w:b/>
                <w:bCs/>
                <w:color w:val="auto"/>
              </w:rPr>
              <w:t>工艺流程简述：</w:t>
            </w:r>
          </w:p>
          <w:p w14:paraId="7009ACAD">
            <w:pPr>
              <w:adjustRightInd w:val="0"/>
              <w:snapToGrid w:val="0"/>
              <w:spacing w:line="500" w:lineRule="exact"/>
              <w:ind w:firstLine="480"/>
              <w:jc w:val="left"/>
              <w:rPr>
                <w:color w:val="auto"/>
              </w:rPr>
            </w:pPr>
            <w:r>
              <w:rPr>
                <w:rFonts w:hint="eastAsia"/>
                <w:color w:val="auto"/>
              </w:rPr>
              <w:t>①辐射检测：运输车辆进入厂区后，用辐射检测仪进行辐射检测。</w:t>
            </w:r>
            <w:commentRangeStart w:id="21"/>
            <w:r>
              <w:rPr>
                <w:rFonts w:hint="eastAsia"/>
                <w:color w:val="auto"/>
              </w:rPr>
              <w:t>检测合格</w:t>
            </w:r>
            <w:commentRangeEnd w:id="21"/>
            <w:r>
              <w:rPr>
                <w:color w:val="auto"/>
              </w:rPr>
              <w:commentReference w:id="21"/>
            </w:r>
            <w:r>
              <w:rPr>
                <w:rFonts w:hint="eastAsia"/>
                <w:color w:val="0000FF"/>
                <w:lang w:eastAsia="zh-CN"/>
              </w:rPr>
              <w:t>（无放射性污染，放射性水平不超过当地环境本底辐射水平）</w:t>
            </w:r>
            <w:r>
              <w:rPr>
                <w:rFonts w:hint="eastAsia"/>
                <w:color w:val="auto"/>
              </w:rPr>
              <w:t>后的废钢铁送至废钢储存库等待处理，检测未合格品禁止进入原料库内，直接原路退回，返回原单位。</w:t>
            </w:r>
          </w:p>
          <w:p w14:paraId="339EF5DD">
            <w:pPr>
              <w:adjustRightInd w:val="0"/>
              <w:snapToGrid w:val="0"/>
              <w:spacing w:line="500" w:lineRule="exact"/>
              <w:ind w:firstLine="480"/>
              <w:jc w:val="left"/>
              <w:rPr>
                <w:color w:val="auto"/>
              </w:rPr>
            </w:pPr>
            <w:r>
              <w:rPr>
                <w:color w:val="auto"/>
              </w:rPr>
              <w:t>②</w:t>
            </w:r>
            <w:r>
              <w:rPr>
                <w:rFonts w:hint="eastAsia"/>
                <w:color w:val="auto"/>
              </w:rPr>
              <w:t>称重：废钢铁辐射检测合格后的废钢铁装载车辆依次通过全电子汽车衡进行称重，经称重后再进入下一道工序</w:t>
            </w:r>
            <w:r>
              <w:rPr>
                <w:color w:val="auto"/>
              </w:rPr>
              <w:t>。</w:t>
            </w:r>
          </w:p>
          <w:p w14:paraId="762C74FF">
            <w:pPr>
              <w:adjustRightInd w:val="0"/>
              <w:snapToGrid w:val="0"/>
              <w:spacing w:line="500" w:lineRule="exact"/>
              <w:ind w:firstLine="480"/>
              <w:jc w:val="left"/>
              <w:rPr>
                <w:color w:val="auto"/>
              </w:rPr>
            </w:pPr>
            <w:r>
              <w:rPr>
                <w:color w:val="auto"/>
              </w:rPr>
              <w:t>③</w:t>
            </w:r>
            <w:r>
              <w:rPr>
                <w:rFonts w:hint="eastAsia"/>
                <w:color w:val="auto"/>
              </w:rPr>
              <w:t>分类</w:t>
            </w:r>
            <w:r>
              <w:rPr>
                <w:color w:val="auto"/>
              </w:rPr>
              <w:t>：回收废钢原料根据</w:t>
            </w:r>
            <w:r>
              <w:rPr>
                <w:rFonts w:hint="eastAsia"/>
                <w:color w:val="auto"/>
              </w:rPr>
              <w:t>其</w:t>
            </w:r>
            <w:r>
              <w:rPr>
                <w:color w:val="auto"/>
              </w:rPr>
              <w:t>外形、厚度、成分不同，</w:t>
            </w:r>
            <w:r>
              <w:rPr>
                <w:rFonts w:hint="eastAsia"/>
                <w:color w:val="auto"/>
              </w:rPr>
              <w:t>由人工进行区分，重型废钢和大型构件</w:t>
            </w:r>
            <w:r>
              <w:rPr>
                <w:color w:val="auto"/>
              </w:rPr>
              <w:t>送往剪切区；未分类混杂的低质废钢（轻薄料）送往破碎区；汽车板、家电板、边丝卷、切边段等钢材加工生产过程中产生的加工余料送往打包区进行加工。</w:t>
            </w:r>
          </w:p>
          <w:p w14:paraId="5B38C78D">
            <w:pPr>
              <w:keepNext w:val="0"/>
              <w:keepLines w:val="0"/>
              <w:pageBreakBefore w:val="0"/>
              <w:kinsoku/>
              <w:wordWrap/>
              <w:overflowPunct/>
              <w:topLinePunct w:val="0"/>
              <w:bidi w:val="0"/>
              <w:adjustRightInd w:val="0"/>
              <w:snapToGrid w:val="0"/>
              <w:spacing w:line="520" w:lineRule="exact"/>
              <w:ind w:firstLine="480"/>
              <w:jc w:val="left"/>
              <w:textAlignment w:val="auto"/>
              <w:rPr>
                <w:color w:val="auto"/>
              </w:rPr>
            </w:pPr>
            <w:r>
              <w:rPr>
                <w:rFonts w:hint="eastAsia"/>
                <w:color w:val="auto"/>
              </w:rPr>
              <w:t>④破碎生产线</w:t>
            </w:r>
            <w:r>
              <w:rPr>
                <w:color w:val="auto"/>
              </w:rPr>
              <w:t>：破碎原料通过抓钢机被送入上料输送机，物料在上料输送机作用下被送至破碎机，</w:t>
            </w:r>
            <w:r>
              <w:rPr>
                <w:rFonts w:hint="eastAsia"/>
                <w:color w:val="auto"/>
              </w:rPr>
              <w:t>物料经破碎后进入磁选机，磁性物质（含铁废钢）作为产品入库，非磁性物质（非金属杂质、非铁金属）作为固废处置</w:t>
            </w:r>
            <w:r>
              <w:rPr>
                <w:color w:val="auto"/>
              </w:rPr>
              <w:t>。</w:t>
            </w:r>
          </w:p>
          <w:p w14:paraId="75AE68AB">
            <w:pPr>
              <w:pStyle w:val="34"/>
              <w:keepNext w:val="0"/>
              <w:keepLines w:val="0"/>
              <w:pageBreakBefore w:val="0"/>
              <w:kinsoku/>
              <w:wordWrap/>
              <w:overflowPunct/>
              <w:topLinePunct w:val="0"/>
              <w:bidi w:val="0"/>
              <w:spacing w:line="520" w:lineRule="exact"/>
              <w:ind w:firstLineChars="200"/>
              <w:textAlignment w:val="auto"/>
              <w:rPr>
                <w:rFonts w:ascii="Times New Roman" w:hAnsi="Times New Roman" w:eastAsia="宋体"/>
                <w:color w:val="auto"/>
                <w:szCs w:val="24"/>
              </w:rPr>
            </w:pPr>
            <w:r>
              <w:rPr>
                <w:rFonts w:hint="eastAsia" w:ascii="Times New Roman" w:hAnsi="Times New Roman" w:eastAsia="宋体"/>
                <w:color w:val="auto"/>
                <w:szCs w:val="24"/>
              </w:rPr>
              <w:t>⑤剪切生产线：剪切原料</w:t>
            </w:r>
            <w:r>
              <w:rPr>
                <w:rFonts w:ascii="Times New Roman" w:hAnsi="Times New Roman" w:eastAsia="宋体"/>
                <w:color w:val="auto"/>
                <w:szCs w:val="24"/>
              </w:rPr>
              <w:t>通过抓钢机被送入上料输送机，物料在上料输送机作用下被送至</w:t>
            </w:r>
            <w:r>
              <w:rPr>
                <w:rFonts w:hint="eastAsia" w:ascii="Times New Roman" w:hAnsi="Times New Roman" w:eastAsia="宋体"/>
                <w:color w:val="auto"/>
                <w:szCs w:val="24"/>
              </w:rPr>
              <w:t>剪切</w:t>
            </w:r>
            <w:r>
              <w:rPr>
                <w:rFonts w:ascii="Times New Roman" w:hAnsi="Times New Roman" w:eastAsia="宋体"/>
                <w:color w:val="auto"/>
                <w:szCs w:val="24"/>
              </w:rPr>
              <w:t>机，</w:t>
            </w:r>
            <w:r>
              <w:rPr>
                <w:rFonts w:hint="eastAsia" w:ascii="Times New Roman" w:hAnsi="Times New Roman" w:eastAsia="宋体"/>
                <w:color w:val="auto"/>
                <w:szCs w:val="24"/>
              </w:rPr>
              <w:t>剪切后的物料作为产品入库。</w:t>
            </w:r>
          </w:p>
          <w:p w14:paraId="782EB90D">
            <w:pPr>
              <w:pStyle w:val="34"/>
              <w:keepNext w:val="0"/>
              <w:keepLines w:val="0"/>
              <w:pageBreakBefore w:val="0"/>
              <w:kinsoku/>
              <w:wordWrap/>
              <w:overflowPunct/>
              <w:topLinePunct w:val="0"/>
              <w:bidi w:val="0"/>
              <w:spacing w:line="520" w:lineRule="exact"/>
              <w:ind w:firstLineChars="200"/>
              <w:textAlignment w:val="auto"/>
              <w:rPr>
                <w:rFonts w:ascii="Times New Roman" w:hAnsi="Times New Roman" w:eastAsia="宋体"/>
                <w:color w:val="auto"/>
                <w:szCs w:val="24"/>
              </w:rPr>
            </w:pPr>
            <w:r>
              <w:rPr>
                <w:rFonts w:hint="eastAsia" w:ascii="Times New Roman" w:hAnsi="Times New Roman" w:eastAsia="宋体"/>
                <w:color w:val="auto"/>
                <w:szCs w:val="24"/>
              </w:rPr>
              <w:t>⑥打包生产线：</w:t>
            </w:r>
            <w:r>
              <w:rPr>
                <w:rFonts w:ascii="Times New Roman" w:hAnsi="Times New Roman" w:eastAsia="宋体"/>
                <w:color w:val="auto"/>
                <w:szCs w:val="24"/>
              </w:rPr>
              <w:t>包块型原料通过抓钢机被送入上料输送机，物料在上料输送机作用下被送至</w:t>
            </w:r>
            <w:r>
              <w:rPr>
                <w:rFonts w:hint="eastAsia" w:ascii="Times New Roman" w:hAnsi="Times New Roman" w:eastAsia="宋体"/>
                <w:color w:val="auto"/>
                <w:szCs w:val="24"/>
              </w:rPr>
              <w:t>打包</w:t>
            </w:r>
            <w:r>
              <w:rPr>
                <w:rFonts w:ascii="Times New Roman" w:hAnsi="Times New Roman" w:eastAsia="宋体"/>
                <w:color w:val="auto"/>
                <w:szCs w:val="24"/>
              </w:rPr>
              <w:t>机，</w:t>
            </w:r>
            <w:r>
              <w:rPr>
                <w:rFonts w:hint="eastAsia" w:ascii="Times New Roman" w:hAnsi="Times New Roman" w:eastAsia="宋体"/>
                <w:color w:val="auto"/>
                <w:szCs w:val="24"/>
              </w:rPr>
              <w:t>打包后的物料作为产品入库。</w:t>
            </w:r>
          </w:p>
          <w:p w14:paraId="409D430C">
            <w:pPr>
              <w:pStyle w:val="36"/>
              <w:keepNext w:val="0"/>
              <w:keepLines w:val="0"/>
              <w:pageBreakBefore w:val="0"/>
              <w:kinsoku/>
              <w:wordWrap/>
              <w:overflowPunct/>
              <w:topLinePunct w:val="0"/>
              <w:bidi w:val="0"/>
              <w:spacing w:before="0" w:after="0" w:line="520" w:lineRule="exact"/>
              <w:ind w:right="0" w:firstLine="480" w:firstLineChars="200"/>
              <w:jc w:val="both"/>
              <w:textAlignment w:val="auto"/>
              <w:rPr>
                <w:color w:val="auto"/>
                <w:sz w:val="24"/>
                <w:szCs w:val="24"/>
              </w:rPr>
            </w:pPr>
            <w:r>
              <w:rPr>
                <w:rFonts w:hint="eastAsia"/>
                <w:color w:val="auto"/>
                <w:sz w:val="24"/>
                <w:szCs w:val="24"/>
              </w:rPr>
              <w:t>（2）卡车维修生产线工艺流程</w:t>
            </w:r>
          </w:p>
          <w:p w14:paraId="0525F7AA">
            <w:pPr>
              <w:pStyle w:val="36"/>
              <w:keepNext w:val="0"/>
              <w:keepLines w:val="0"/>
              <w:pageBreakBefore w:val="0"/>
              <w:kinsoku/>
              <w:wordWrap/>
              <w:overflowPunct/>
              <w:topLinePunct w:val="0"/>
              <w:bidi w:val="0"/>
              <w:spacing w:before="0" w:after="0" w:line="520" w:lineRule="exact"/>
              <w:ind w:right="0" w:firstLine="480" w:firstLineChars="200"/>
              <w:jc w:val="both"/>
              <w:textAlignment w:val="auto"/>
              <w:rPr>
                <w:rFonts w:hint="eastAsia"/>
                <w:color w:val="auto"/>
                <w:sz w:val="24"/>
                <w:szCs w:val="24"/>
              </w:rPr>
            </w:pPr>
            <w:r>
              <w:rPr>
                <w:rFonts w:hint="eastAsia"/>
                <w:color w:val="auto"/>
                <w:sz w:val="24"/>
                <w:szCs w:val="24"/>
              </w:rPr>
              <w:t>卡车维修工艺流程如下图：</w:t>
            </w:r>
          </w:p>
          <w:p w14:paraId="13D8BF60">
            <w:pPr>
              <w:pStyle w:val="36"/>
              <w:keepNext w:val="0"/>
              <w:keepLines w:val="0"/>
              <w:pageBreakBefore w:val="0"/>
              <w:kinsoku/>
              <w:wordWrap/>
              <w:overflowPunct/>
              <w:topLinePunct w:val="0"/>
              <w:bidi w:val="0"/>
              <w:spacing w:before="0" w:after="0" w:line="520" w:lineRule="exact"/>
              <w:ind w:right="0" w:firstLine="480" w:firstLineChars="200"/>
              <w:jc w:val="both"/>
              <w:textAlignment w:val="auto"/>
              <w:rPr>
                <w:rFonts w:hint="eastAsia"/>
                <w:color w:val="auto"/>
                <w:sz w:val="24"/>
                <w:szCs w:val="24"/>
              </w:rPr>
            </w:pPr>
          </w:p>
          <w:p w14:paraId="4C8719A7">
            <w:pPr>
              <w:pStyle w:val="36"/>
              <w:keepNext w:val="0"/>
              <w:keepLines w:val="0"/>
              <w:pageBreakBefore w:val="0"/>
              <w:kinsoku/>
              <w:wordWrap/>
              <w:overflowPunct/>
              <w:topLinePunct w:val="0"/>
              <w:bidi w:val="0"/>
              <w:spacing w:before="0" w:after="0" w:line="520" w:lineRule="exact"/>
              <w:ind w:right="0" w:firstLine="480" w:firstLineChars="200"/>
              <w:jc w:val="both"/>
              <w:textAlignment w:val="auto"/>
              <w:rPr>
                <w:rFonts w:hint="eastAsia"/>
                <w:color w:val="auto"/>
                <w:sz w:val="24"/>
                <w:szCs w:val="24"/>
              </w:rPr>
            </w:pPr>
          </w:p>
          <w:p w14:paraId="5A98C3B0">
            <w:pPr>
              <w:pStyle w:val="36"/>
              <w:keepNext w:val="0"/>
              <w:keepLines w:val="0"/>
              <w:pageBreakBefore w:val="0"/>
              <w:kinsoku/>
              <w:wordWrap/>
              <w:overflowPunct/>
              <w:topLinePunct w:val="0"/>
              <w:bidi w:val="0"/>
              <w:spacing w:before="0" w:after="0" w:line="520" w:lineRule="exact"/>
              <w:ind w:right="0" w:firstLine="480" w:firstLineChars="200"/>
              <w:jc w:val="both"/>
              <w:textAlignment w:val="auto"/>
              <w:rPr>
                <w:rFonts w:hint="eastAsia"/>
                <w:color w:val="auto"/>
                <w:sz w:val="24"/>
                <w:szCs w:val="24"/>
              </w:rPr>
            </w:pPr>
          </w:p>
          <w:p w14:paraId="490088A6">
            <w:pPr>
              <w:pStyle w:val="36"/>
              <w:keepNext w:val="0"/>
              <w:keepLines w:val="0"/>
              <w:pageBreakBefore w:val="0"/>
              <w:kinsoku/>
              <w:wordWrap/>
              <w:overflowPunct/>
              <w:topLinePunct w:val="0"/>
              <w:bidi w:val="0"/>
              <w:spacing w:before="0" w:after="0" w:line="520" w:lineRule="exact"/>
              <w:ind w:right="0" w:firstLine="480" w:firstLineChars="200"/>
              <w:jc w:val="both"/>
              <w:textAlignment w:val="auto"/>
              <w:rPr>
                <w:rFonts w:hint="eastAsia"/>
                <w:color w:val="auto"/>
                <w:sz w:val="24"/>
                <w:szCs w:val="24"/>
              </w:rPr>
            </w:pPr>
          </w:p>
          <w:p w14:paraId="1945FEA0">
            <w:pPr>
              <w:pStyle w:val="36"/>
              <w:keepNext w:val="0"/>
              <w:keepLines w:val="0"/>
              <w:pageBreakBefore w:val="0"/>
              <w:kinsoku/>
              <w:wordWrap/>
              <w:overflowPunct/>
              <w:topLinePunct w:val="0"/>
              <w:bidi w:val="0"/>
              <w:spacing w:before="0" w:after="0" w:line="520" w:lineRule="exact"/>
              <w:ind w:right="0" w:firstLine="480" w:firstLineChars="200"/>
              <w:jc w:val="both"/>
              <w:textAlignment w:val="auto"/>
              <w:rPr>
                <w:rFonts w:hint="eastAsia"/>
                <w:color w:val="auto"/>
                <w:sz w:val="24"/>
                <w:szCs w:val="24"/>
              </w:rPr>
            </w:pPr>
          </w:p>
          <w:p w14:paraId="59D6FA33">
            <w:pPr>
              <w:pStyle w:val="36"/>
              <w:keepNext w:val="0"/>
              <w:keepLines w:val="0"/>
              <w:pageBreakBefore w:val="0"/>
              <w:kinsoku/>
              <w:wordWrap/>
              <w:overflowPunct/>
              <w:topLinePunct w:val="0"/>
              <w:bidi w:val="0"/>
              <w:spacing w:before="0" w:after="0" w:line="520" w:lineRule="exact"/>
              <w:ind w:right="0" w:firstLine="480" w:firstLineChars="200"/>
              <w:jc w:val="both"/>
              <w:textAlignment w:val="auto"/>
              <w:rPr>
                <w:rFonts w:hint="eastAsia"/>
                <w:color w:val="auto"/>
                <w:sz w:val="24"/>
                <w:szCs w:val="24"/>
              </w:rPr>
            </w:pPr>
          </w:p>
          <w:p w14:paraId="037EFA5C">
            <w:pPr>
              <w:pStyle w:val="36"/>
              <w:keepNext w:val="0"/>
              <w:keepLines w:val="0"/>
              <w:pageBreakBefore w:val="0"/>
              <w:kinsoku/>
              <w:wordWrap/>
              <w:overflowPunct/>
              <w:topLinePunct w:val="0"/>
              <w:bidi w:val="0"/>
              <w:spacing w:before="0" w:after="0" w:line="520" w:lineRule="exact"/>
              <w:ind w:right="0" w:firstLine="480" w:firstLineChars="200"/>
              <w:jc w:val="both"/>
              <w:textAlignment w:val="auto"/>
              <w:rPr>
                <w:rFonts w:hint="eastAsia"/>
                <w:color w:val="auto"/>
                <w:sz w:val="24"/>
                <w:szCs w:val="24"/>
              </w:rPr>
            </w:pPr>
          </w:p>
          <w:p w14:paraId="54C5D8BC">
            <w:pPr>
              <w:pStyle w:val="36"/>
              <w:keepNext w:val="0"/>
              <w:keepLines w:val="0"/>
              <w:pageBreakBefore w:val="0"/>
              <w:widowControl/>
              <w:kinsoku/>
              <w:wordWrap/>
              <w:overflowPunct/>
              <w:topLinePunct w:val="0"/>
              <w:autoSpaceDE/>
              <w:autoSpaceDN/>
              <w:bidi w:val="0"/>
              <w:adjustRightInd/>
              <w:snapToGrid w:val="0"/>
              <w:spacing w:before="0" w:after="0" w:line="240" w:lineRule="auto"/>
              <w:ind w:right="0" w:firstLine="0" w:firstLineChars="0"/>
              <w:jc w:val="center"/>
              <w:textAlignment w:val="auto"/>
              <w:rPr>
                <w:rFonts w:hint="eastAsia"/>
                <w:color w:val="auto"/>
                <w:sz w:val="24"/>
                <w:szCs w:val="24"/>
              </w:rPr>
            </w:pPr>
            <w:r>
              <w:rPr>
                <w:color w:val="auto"/>
              </w:rPr>
              <mc:AlternateContent>
                <mc:Choice Requires="wpc">
                  <w:drawing>
                    <wp:inline distT="0" distB="0" distL="114300" distR="114300">
                      <wp:extent cx="4228465" cy="3442335"/>
                      <wp:effectExtent l="0" t="0" r="0" b="0"/>
                      <wp:docPr id="66" name="画布 66"/>
                      <wp:cNvGraphicFramePr/>
                      <a:graphic xmlns:a="http://schemas.openxmlformats.org/drawingml/2006/main">
                        <a:graphicData uri="http://schemas.microsoft.com/office/word/2010/wordprocessingCanvas">
                          <wpc:wpc>
                            <wpc:bg>
                              <a:noFill/>
                            </wpc:bg>
                            <wpc:whole>
                              <a:ln>
                                <a:noFill/>
                              </a:ln>
                            </wpc:whole>
                            <wps:wsp>
                              <wps:cNvPr id="119" name="文本框 81"/>
                              <wps:cNvSpPr txBox="1"/>
                              <wps:spPr>
                                <a:xfrm>
                                  <a:off x="1170305" y="646430"/>
                                  <a:ext cx="989965"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5BED55F">
                                    <w:pPr>
                                      <w:spacing w:line="36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拆解与分类</w:t>
                                    </w:r>
                                  </w:p>
                                </w:txbxContent>
                              </wps:txbx>
                              <wps:bodyPr lIns="0" tIns="0" rIns="0" bIns="0" upright="1"/>
                            </wps:wsp>
                            <wps:wsp>
                              <wps:cNvPr id="124" name="直接连接符 82"/>
                              <wps:cNvCnPr/>
                              <wps:spPr>
                                <a:xfrm rot="5400000">
                                  <a:off x="1501140" y="1094105"/>
                                  <a:ext cx="323850" cy="0"/>
                                </a:xfrm>
                                <a:prstGeom prst="line">
                                  <a:avLst/>
                                </a:prstGeom>
                                <a:ln w="9525" cap="flat" cmpd="sng">
                                  <a:solidFill>
                                    <a:srgbClr val="000000"/>
                                  </a:solidFill>
                                  <a:prstDash val="solid"/>
                                  <a:headEnd type="none" w="med" len="med"/>
                                  <a:tailEnd type="triangle" w="med" len="med"/>
                                </a:ln>
                              </wps:spPr>
                              <wps:bodyPr/>
                            </wps:wsp>
                            <wps:wsp>
                              <wps:cNvPr id="125" name="文本框 83"/>
                              <wps:cNvSpPr txBox="1"/>
                              <wps:spPr>
                                <a:xfrm>
                                  <a:off x="1170305" y="1247140"/>
                                  <a:ext cx="989965"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20C2D67">
                                    <w:pPr>
                                      <w:spacing w:line="36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零部件清洗</w:t>
                                    </w:r>
                                  </w:p>
                                </w:txbxContent>
                              </wps:txbx>
                              <wps:bodyPr lIns="0" tIns="0" rIns="0" bIns="0" upright="1"/>
                            </wps:wsp>
                            <wps:wsp>
                              <wps:cNvPr id="126" name="文本框 84"/>
                              <wps:cNvSpPr txBox="1"/>
                              <wps:spPr>
                                <a:xfrm>
                                  <a:off x="1161415" y="1847850"/>
                                  <a:ext cx="9779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BEB3AB9">
                                    <w:pPr>
                                      <w:spacing w:line="36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分系统维修</w:t>
                                    </w:r>
                                  </w:p>
                                </w:txbxContent>
                              </wps:txbx>
                              <wps:bodyPr lIns="0" tIns="0" rIns="0" bIns="0" upright="1"/>
                            </wps:wsp>
                            <wps:wsp>
                              <wps:cNvPr id="130" name="直接连接符 85"/>
                              <wps:cNvCnPr/>
                              <wps:spPr>
                                <a:xfrm rot="5400000">
                                  <a:off x="1494790" y="1691640"/>
                                  <a:ext cx="317500" cy="0"/>
                                </a:xfrm>
                                <a:prstGeom prst="line">
                                  <a:avLst/>
                                </a:prstGeom>
                                <a:ln w="9525" cap="flat" cmpd="sng">
                                  <a:solidFill>
                                    <a:srgbClr val="000000"/>
                                  </a:solidFill>
                                  <a:prstDash val="solid"/>
                                  <a:headEnd type="none" w="med" len="med"/>
                                  <a:tailEnd type="triangle" w="med" len="med"/>
                                </a:ln>
                              </wps:spPr>
                              <wps:bodyPr/>
                            </wps:wsp>
                            <wps:wsp>
                              <wps:cNvPr id="131" name="直接连接符 86"/>
                              <wps:cNvCnPr/>
                              <wps:spPr>
                                <a:xfrm rot="5400000">
                                  <a:off x="1504950" y="2291715"/>
                                  <a:ext cx="317500" cy="0"/>
                                </a:xfrm>
                                <a:prstGeom prst="line">
                                  <a:avLst/>
                                </a:prstGeom>
                                <a:ln w="9525" cap="flat" cmpd="sng">
                                  <a:solidFill>
                                    <a:srgbClr val="000000"/>
                                  </a:solidFill>
                                  <a:prstDash val="solid"/>
                                  <a:headEnd type="none" w="med" len="med"/>
                                  <a:tailEnd type="triangle" w="med" len="med"/>
                                </a:ln>
                              </wps:spPr>
                              <wps:bodyPr/>
                            </wps:wsp>
                            <wps:wsp>
                              <wps:cNvPr id="206" name="直接连接符 106"/>
                              <wps:cNvCnPr/>
                              <wps:spPr>
                                <a:xfrm rot="5400000">
                                  <a:off x="1513840" y="490855"/>
                                  <a:ext cx="317500" cy="0"/>
                                </a:xfrm>
                                <a:prstGeom prst="line">
                                  <a:avLst/>
                                </a:prstGeom>
                                <a:ln w="9525" cap="flat" cmpd="sng">
                                  <a:solidFill>
                                    <a:srgbClr val="000000"/>
                                  </a:solidFill>
                                  <a:prstDash val="solid"/>
                                  <a:headEnd type="none" w="med" len="med"/>
                                  <a:tailEnd type="triangle" w="med" len="med"/>
                                </a:ln>
                              </wps:spPr>
                              <wps:bodyPr/>
                            </wps:wsp>
                            <wps:wsp>
                              <wps:cNvPr id="207" name="文本框 107"/>
                              <wps:cNvSpPr txBox="1"/>
                              <wps:spPr>
                                <a:xfrm>
                                  <a:off x="1189355" y="46355"/>
                                  <a:ext cx="9779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1A8292">
                                    <w:pPr>
                                      <w:spacing w:line="36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进厂初步检查</w:t>
                                    </w:r>
                                  </w:p>
                                </w:txbxContent>
                              </wps:txbx>
                              <wps:bodyPr lIns="0" tIns="0" rIns="0" bIns="0" upright="1"/>
                            </wps:wsp>
                            <wps:wsp>
                              <wps:cNvPr id="255" name="文本框 190"/>
                              <wps:cNvSpPr txBox="1"/>
                              <wps:spPr>
                                <a:xfrm>
                                  <a:off x="2123440" y="885190"/>
                                  <a:ext cx="303530" cy="222885"/>
                                </a:xfrm>
                                <a:prstGeom prst="rect">
                                  <a:avLst/>
                                </a:prstGeom>
                                <a:noFill/>
                                <a:ln>
                                  <a:noFill/>
                                </a:ln>
                              </wps:spPr>
                              <wps:txbx>
                                <w:txbxContent>
                                  <w:p w14:paraId="479CE582">
                                    <w:pPr>
                                      <w:spacing w:line="360" w:lineRule="exact"/>
                                      <w:jc w:val="center"/>
                                      <w:rPr>
                                        <w:rFonts w:hint="eastAsia" w:eastAsia="宋体"/>
                                        <w:sz w:val="21"/>
                                        <w:szCs w:val="21"/>
                                        <w:lang w:val="en-US" w:eastAsia="zh-CN"/>
                                      </w:rPr>
                                    </w:pPr>
                                    <w:r>
                                      <w:rPr>
                                        <w:rFonts w:hint="eastAsia"/>
                                        <w:sz w:val="21"/>
                                        <w:szCs w:val="21"/>
                                        <w:lang w:val="en-US" w:eastAsia="zh-CN"/>
                                      </w:rPr>
                                      <w:t>W</w:t>
                                    </w:r>
                                  </w:p>
                                </w:txbxContent>
                              </wps:txbx>
                              <wps:bodyPr lIns="0" tIns="0" rIns="0" bIns="0" upright="1"/>
                            </wps:wsp>
                            <wps:wsp>
                              <wps:cNvPr id="264" name="文本框 251"/>
                              <wps:cNvSpPr txBox="1"/>
                              <wps:spPr>
                                <a:xfrm>
                                  <a:off x="2713355" y="2370455"/>
                                  <a:ext cx="915035" cy="97155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35D3D45">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图例 </w:t>
                                    </w:r>
                                  </w:p>
                                  <w:p w14:paraId="3CC4D5EC">
                                    <w:pPr>
                                      <w:pStyle w:val="24"/>
                                      <w:spacing w:after="0"/>
                                      <w:ind w:left="0" w:leftChars="0" w:firstLine="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G</w:t>
                                    </w:r>
                                    <w:r>
                                      <w:rPr>
                                        <w:rFonts w:hint="default" w:ascii="Times New Roman" w:hAnsi="Times New Roman" w:eastAsia="宋体" w:cs="Times New Roman"/>
                                        <w:sz w:val="21"/>
                                        <w:szCs w:val="21"/>
                                      </w:rPr>
                                      <w:t xml:space="preserve">  </w:t>
                                    </w:r>
                                    <w:r>
                                      <w:rPr>
                                        <w:rFonts w:hint="default" w:ascii="Times New Roman" w:hAnsi="Times New Roman" w:eastAsia="宋体" w:cs="Times New Roman"/>
                                        <w:sz w:val="21"/>
                                        <w:szCs w:val="21"/>
                                        <w:lang w:val="en-US" w:eastAsia="zh-CN"/>
                                      </w:rPr>
                                      <w:t>废气</w:t>
                                    </w:r>
                                  </w:p>
                                  <w:p w14:paraId="6193127D">
                                    <w:pPr>
                                      <w:pStyle w:val="24"/>
                                      <w:spacing w:after="0"/>
                                      <w:ind w:left="0" w:leftChars="0" w:firstLine="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W</w:t>
                                    </w:r>
                                    <w:r>
                                      <w:rPr>
                                        <w:rFonts w:hint="default" w:ascii="Times New Roman" w:hAnsi="Times New Roman" w:eastAsia="宋体" w:cs="Times New Roman"/>
                                        <w:sz w:val="21"/>
                                        <w:szCs w:val="21"/>
                                      </w:rPr>
                                      <w:t xml:space="preserve">  </w:t>
                                    </w:r>
                                    <w:r>
                                      <w:rPr>
                                        <w:rFonts w:hint="default" w:ascii="Times New Roman" w:hAnsi="Times New Roman" w:eastAsia="宋体" w:cs="Times New Roman"/>
                                        <w:sz w:val="21"/>
                                        <w:szCs w:val="21"/>
                                        <w:lang w:val="en-US" w:eastAsia="zh-CN"/>
                                      </w:rPr>
                                      <w:t>废水</w:t>
                                    </w:r>
                                  </w:p>
                                  <w:p w14:paraId="6FD47E5C">
                                    <w:pPr>
                                      <w:pStyle w:val="24"/>
                                      <w:spacing w:after="0"/>
                                      <w:ind w:left="0" w:leftChars="0" w:firstLine="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S  </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固废</w:t>
                                    </w:r>
                                  </w:p>
                                  <w:p w14:paraId="2409A6E5">
                                    <w:pPr>
                                      <w:rPr>
                                        <w:rFonts w:hint="eastAsia" w:ascii="宋体" w:hAnsi="宋体" w:eastAsia="宋体" w:cs="宋体"/>
                                      </w:rPr>
                                    </w:pPr>
                                    <w:r>
                                      <w:rPr>
                                        <w:rFonts w:hint="default" w:ascii="Times New Roman" w:hAnsi="Times New Roman" w:eastAsia="宋体" w:cs="Times New Roman"/>
                                        <w:sz w:val="21"/>
                                        <w:szCs w:val="21"/>
                                      </w:rPr>
                                      <w:t>N</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噪声</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67" name="文本框 84"/>
                              <wps:cNvSpPr txBox="1"/>
                              <wps:spPr>
                                <a:xfrm>
                                  <a:off x="1170940" y="2447925"/>
                                  <a:ext cx="9779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AC55FE3">
                                    <w:pPr>
                                      <w:spacing w:line="36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总装与调试</w:t>
                                    </w:r>
                                  </w:p>
                                </w:txbxContent>
                              </wps:txbx>
                              <wps:bodyPr lIns="0" tIns="0" rIns="0" bIns="0" upright="1"/>
                            </wps:wsp>
                            <wps:wsp>
                              <wps:cNvPr id="268" name="直接连接符 86"/>
                              <wps:cNvCnPr/>
                              <wps:spPr>
                                <a:xfrm rot="5400000">
                                  <a:off x="1514475" y="2891790"/>
                                  <a:ext cx="317500" cy="0"/>
                                </a:xfrm>
                                <a:prstGeom prst="line">
                                  <a:avLst/>
                                </a:prstGeom>
                                <a:ln w="9525" cap="flat" cmpd="sng">
                                  <a:solidFill>
                                    <a:srgbClr val="000000"/>
                                  </a:solidFill>
                                  <a:prstDash val="solid"/>
                                  <a:headEnd type="none" w="med" len="med"/>
                                  <a:tailEnd type="triangle" w="med" len="med"/>
                                </a:ln>
                              </wps:spPr>
                              <wps:bodyPr/>
                            </wps:wsp>
                            <wps:wsp>
                              <wps:cNvPr id="269" name="文本框 84"/>
                              <wps:cNvSpPr txBox="1"/>
                              <wps:spPr>
                                <a:xfrm>
                                  <a:off x="1180465" y="3048000"/>
                                  <a:ext cx="9779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790B2D">
                                    <w:pPr>
                                      <w:spacing w:line="36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出厂检测与交付</w:t>
                                    </w:r>
                                  </w:p>
                                </w:txbxContent>
                              </wps:txbx>
                              <wps:bodyPr lIns="0" tIns="0" rIns="0" bIns="0" upright="1"/>
                            </wps:wsp>
                            <wps:wsp>
                              <wps:cNvPr id="208" name="任意多边形 189"/>
                              <wps:cNvSpPr/>
                              <wps:spPr>
                                <a:xfrm>
                                  <a:off x="1951355" y="1075055"/>
                                  <a:ext cx="279400" cy="165100"/>
                                </a:xfrm>
                                <a:custGeom>
                                  <a:avLst/>
                                  <a:gdLst/>
                                  <a:ahLst/>
                                  <a:cxnLst/>
                                  <a:rect l="0" t="0" r="0" b="0"/>
                                  <a:pathLst>
                                    <a:path w="630" h="468">
                                      <a:moveTo>
                                        <a:pt x="0" y="468"/>
                                      </a:moveTo>
                                      <a:cubicBezTo>
                                        <a:pt x="78" y="338"/>
                                        <a:pt x="157" y="208"/>
                                        <a:pt x="210" y="156"/>
                                      </a:cubicBezTo>
                                      <a:cubicBezTo>
                                        <a:pt x="263" y="104"/>
                                        <a:pt x="298" y="130"/>
                                        <a:pt x="315" y="156"/>
                                      </a:cubicBezTo>
                                      <a:cubicBezTo>
                                        <a:pt x="332" y="182"/>
                                        <a:pt x="262" y="338"/>
                                        <a:pt x="315" y="312"/>
                                      </a:cubicBezTo>
                                      <a:cubicBezTo>
                                        <a:pt x="368" y="286"/>
                                        <a:pt x="577" y="52"/>
                                        <a:pt x="630" y="0"/>
                                      </a:cubicBezTo>
                                    </a:path>
                                  </a:pathLst>
                                </a:custGeom>
                                <a:noFill/>
                                <a:ln w="9525" cap="flat" cmpd="sng">
                                  <a:solidFill>
                                    <a:srgbClr val="000000"/>
                                  </a:solidFill>
                                  <a:prstDash val="solid"/>
                                  <a:headEnd type="none" w="med" len="med"/>
                                  <a:tailEnd type="triangle" w="med" len="med"/>
                                </a:ln>
                              </wps:spPr>
                              <wps:bodyPr upright="1"/>
                            </wps:wsp>
                            <wps:wsp>
                              <wps:cNvPr id="217" name="文本框 190"/>
                              <wps:cNvSpPr txBox="1"/>
                              <wps:spPr>
                                <a:xfrm>
                                  <a:off x="2161540" y="266065"/>
                                  <a:ext cx="303530" cy="222885"/>
                                </a:xfrm>
                                <a:prstGeom prst="rect">
                                  <a:avLst/>
                                </a:prstGeom>
                                <a:noFill/>
                                <a:ln>
                                  <a:noFill/>
                                </a:ln>
                              </wps:spPr>
                              <wps:txbx>
                                <w:txbxContent>
                                  <w:p w14:paraId="7768A86F">
                                    <w:pPr>
                                      <w:spacing w:line="360" w:lineRule="exact"/>
                                      <w:jc w:val="center"/>
                                      <w:rPr>
                                        <w:rFonts w:hint="default" w:eastAsia="宋体"/>
                                        <w:sz w:val="21"/>
                                        <w:szCs w:val="21"/>
                                        <w:lang w:val="en-US" w:eastAsia="zh-CN"/>
                                      </w:rPr>
                                    </w:pPr>
                                    <w:r>
                                      <w:rPr>
                                        <w:rFonts w:hint="eastAsia"/>
                                        <w:sz w:val="21"/>
                                        <w:szCs w:val="21"/>
                                        <w:lang w:val="en-US" w:eastAsia="zh-CN"/>
                                      </w:rPr>
                                      <w:t>N</w:t>
                                    </w:r>
                                  </w:p>
                                </w:txbxContent>
                              </wps:txbx>
                              <wps:bodyPr lIns="0" tIns="0" rIns="0" bIns="0" upright="1"/>
                            </wps:wsp>
                            <wps:wsp>
                              <wps:cNvPr id="218" name="任意多边形 189"/>
                              <wps:cNvSpPr/>
                              <wps:spPr>
                                <a:xfrm>
                                  <a:off x="1989455" y="474980"/>
                                  <a:ext cx="279400" cy="165100"/>
                                </a:xfrm>
                                <a:custGeom>
                                  <a:avLst/>
                                  <a:gdLst/>
                                  <a:ahLst/>
                                  <a:cxnLst/>
                                  <a:rect l="0" t="0" r="0" b="0"/>
                                  <a:pathLst>
                                    <a:path w="630" h="468">
                                      <a:moveTo>
                                        <a:pt x="0" y="468"/>
                                      </a:moveTo>
                                      <a:cubicBezTo>
                                        <a:pt x="78" y="338"/>
                                        <a:pt x="157" y="208"/>
                                        <a:pt x="210" y="156"/>
                                      </a:cubicBezTo>
                                      <a:cubicBezTo>
                                        <a:pt x="263" y="104"/>
                                        <a:pt x="298" y="130"/>
                                        <a:pt x="315" y="156"/>
                                      </a:cubicBezTo>
                                      <a:cubicBezTo>
                                        <a:pt x="332" y="182"/>
                                        <a:pt x="262" y="338"/>
                                        <a:pt x="315" y="312"/>
                                      </a:cubicBezTo>
                                      <a:cubicBezTo>
                                        <a:pt x="368" y="286"/>
                                        <a:pt x="577" y="52"/>
                                        <a:pt x="630" y="0"/>
                                      </a:cubicBezTo>
                                    </a:path>
                                  </a:pathLst>
                                </a:custGeom>
                                <a:noFill/>
                                <a:ln w="9525" cap="flat" cmpd="sng">
                                  <a:solidFill>
                                    <a:srgbClr val="000000"/>
                                  </a:solidFill>
                                  <a:prstDash val="solid"/>
                                  <a:headEnd type="none" w="med" len="med"/>
                                  <a:tailEnd type="triangle" w="med" len="med"/>
                                </a:ln>
                              </wps:spPr>
                              <wps:bodyPr upright="1"/>
                            </wps:wsp>
                            <wps:wsp>
                              <wps:cNvPr id="239" name="任意多边形 189"/>
                              <wps:cNvSpPr/>
                              <wps:spPr>
                                <a:xfrm>
                                  <a:off x="1894205" y="1694180"/>
                                  <a:ext cx="279400" cy="165100"/>
                                </a:xfrm>
                                <a:custGeom>
                                  <a:avLst/>
                                  <a:gdLst/>
                                  <a:ahLst/>
                                  <a:cxnLst/>
                                  <a:rect l="0" t="0" r="0" b="0"/>
                                  <a:pathLst>
                                    <a:path w="630" h="468">
                                      <a:moveTo>
                                        <a:pt x="0" y="468"/>
                                      </a:moveTo>
                                      <a:cubicBezTo>
                                        <a:pt x="78" y="338"/>
                                        <a:pt x="157" y="208"/>
                                        <a:pt x="210" y="156"/>
                                      </a:cubicBezTo>
                                      <a:cubicBezTo>
                                        <a:pt x="263" y="104"/>
                                        <a:pt x="298" y="130"/>
                                        <a:pt x="315" y="156"/>
                                      </a:cubicBezTo>
                                      <a:cubicBezTo>
                                        <a:pt x="332" y="182"/>
                                        <a:pt x="262" y="338"/>
                                        <a:pt x="315" y="312"/>
                                      </a:cubicBezTo>
                                      <a:cubicBezTo>
                                        <a:pt x="368" y="286"/>
                                        <a:pt x="577" y="52"/>
                                        <a:pt x="630" y="0"/>
                                      </a:cubicBezTo>
                                    </a:path>
                                  </a:pathLst>
                                </a:custGeom>
                                <a:noFill/>
                                <a:ln w="9525" cap="flat" cmpd="sng">
                                  <a:solidFill>
                                    <a:srgbClr val="000000"/>
                                  </a:solidFill>
                                  <a:prstDash val="solid"/>
                                  <a:headEnd type="none" w="med" len="med"/>
                                  <a:tailEnd type="triangle" w="med" len="med"/>
                                </a:ln>
                              </wps:spPr>
                              <wps:bodyPr upright="1"/>
                            </wps:wsp>
                            <wps:wsp>
                              <wps:cNvPr id="240" name="文本框 190"/>
                              <wps:cNvSpPr txBox="1"/>
                              <wps:spPr>
                                <a:xfrm>
                                  <a:off x="2132965" y="1504315"/>
                                  <a:ext cx="597535" cy="222885"/>
                                </a:xfrm>
                                <a:prstGeom prst="rect">
                                  <a:avLst/>
                                </a:prstGeom>
                                <a:noFill/>
                                <a:ln>
                                  <a:noFill/>
                                </a:ln>
                              </wps:spPr>
                              <wps:txbx>
                                <w:txbxContent>
                                  <w:p w14:paraId="014137B3">
                                    <w:pPr>
                                      <w:spacing w:line="360" w:lineRule="exact"/>
                                      <w:jc w:val="center"/>
                                      <w:rPr>
                                        <w:rFonts w:hint="default" w:eastAsia="宋体"/>
                                        <w:sz w:val="21"/>
                                        <w:szCs w:val="21"/>
                                        <w:lang w:val="en-US" w:eastAsia="zh-CN"/>
                                      </w:rPr>
                                    </w:pPr>
                                    <w:r>
                                      <w:rPr>
                                        <w:rFonts w:hint="eastAsia"/>
                                        <w:sz w:val="21"/>
                                        <w:szCs w:val="21"/>
                                        <w:lang w:val="en-US" w:eastAsia="zh-CN"/>
                                      </w:rPr>
                                      <w:t>G、S、N</w:t>
                                    </w:r>
                                  </w:p>
                                </w:txbxContent>
                              </wps:txbx>
                              <wps:bodyPr lIns="0" tIns="0" rIns="0" bIns="0" upright="1"/>
                            </wps:wsp>
                          </wpc:wpc>
                        </a:graphicData>
                      </a:graphic>
                    </wp:inline>
                  </w:drawing>
                </mc:Choice>
                <mc:Fallback>
                  <w:pict>
                    <v:group id="_x0000_s1026" o:spid="_x0000_s1026" o:spt="203" style="height:271.05pt;width:332.95pt;" coordsize="4228465,3442335" editas="canvas" o:gfxdata="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">
                      <o:lock v:ext="edit" aspectratio="f"/>
                      <v:shape id="_x0000_s1026" o:spid="_x0000_s1026" style="position:absolute;left:0;top:0;height:3442335;width:4228465;" filled="f" stroked="f" coordsize="21600,21600" o:gfxdata="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">
                        <v:fill on="f" focussize="0,0"/>
                        <v:stroke on="f"/>
                        <v:imagedata o:title=""/>
                        <o:lock v:ext="edit" aspectratio="f"/>
                      </v:shape>
                      <v:shape id="文本框 81" o:spid="_x0000_s1026" o:spt="202" type="#_x0000_t202" style="position:absolute;left:1170305;top:646430;height:279400;width:989965;" fillcolor="#FFFFFF" filled="t" stroked="t" coordsize="21600,21600" o:gfxdata="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H&#10;FYs11gAAAAUBAAAPAAAAAAAAAAEAIAAAACIAAABkcnMvZG93bnJldi54bWxQSwECFAAUAAAACACH&#10;TuJA8A5d5iYCAABnBAAADgAAAAAAAAABACAAAAAlAQAAZHJzL2Uyb0RvYy54bWxQSwUGAAAAAAYA&#10;BgBZAQAAvQUAAAAA&#10;">
                        <v:fill on="t" focussize="0,0"/>
                        <v:stroke color="#000000" joinstyle="miter"/>
                        <v:imagedata o:title=""/>
                        <o:lock v:ext="edit" aspectratio="f"/>
                        <v:textbox inset="0mm,0mm,0mm,0mm">
                          <w:txbxContent>
                            <w:p w14:paraId="55BED55F">
                              <w:pPr>
                                <w:spacing w:line="36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拆解与分类</w:t>
                              </w:r>
                            </w:p>
                          </w:txbxContent>
                        </v:textbox>
                      </v:shape>
                      <v:line id="直接连接符 82" o:spid="_x0000_s1026" o:spt="20" style="position:absolute;left:1501140;top:1094105;height:0;width:323850;rotation:5898240f;" filled="f" stroked="t" coordsize="21600,21600" o:gfxdata="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JBrevWAAAABQEAAA8AAAAAAAAAAQAgAAAAIgAA&#10;AGRycy9kb3ducmV2LnhtbFBLAQIUABQAAAAIAIdO4kA06dllCgIAAPgDAAAOAAAAAAAAAAEAIAAA&#10;ACUBAABkcnMvZTJvRG9jLnhtbFBLBQYAAAAABgAGAFkBAAChBQAAAAA=&#10;">
                        <v:fill on="f" focussize="0,0"/>
                        <v:stroke color="#000000" joinstyle="round" endarrow="block"/>
                        <v:imagedata o:title=""/>
                        <o:lock v:ext="edit" aspectratio="f"/>
                      </v:line>
                      <v:shape id="文本框 83" o:spid="_x0000_s1026" o:spt="202" type="#_x0000_t202" style="position:absolute;left:1170305;top:1247140;height:279400;width:989965;" fillcolor="#FFFFFF" filled="t" stroked="t" coordsize="21600,21600" o:gfxdata="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cV&#10;izXWAAAABQEAAA8AAAAAAAAAAQAgAAAAIgAAAGRycy9kb3ducmV2LnhtbFBLAQIUABQAAAAIAIdO&#10;4kCJfVXYJQIAAGgEAAAOAAAAAAAAAAEAIAAAACUBAABkcnMvZTJvRG9jLnhtbFBLBQYAAAAABgAG&#10;AFkBAAC8BQAAAAA=&#10;">
                        <v:fill on="t" focussize="0,0"/>
                        <v:stroke color="#000000" joinstyle="miter"/>
                        <v:imagedata o:title=""/>
                        <o:lock v:ext="edit" aspectratio="f"/>
                        <v:textbox inset="0mm,0mm,0mm,0mm">
                          <w:txbxContent>
                            <w:p w14:paraId="620C2D67">
                              <w:pPr>
                                <w:spacing w:line="36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零部件清洗</w:t>
                              </w:r>
                            </w:p>
                          </w:txbxContent>
                        </v:textbox>
                      </v:shape>
                      <v:shape id="文本框 84" o:spid="_x0000_s1026" o:spt="202" type="#_x0000_t202" style="position:absolute;left:1161415;top:1847850;height:279400;width:977900;" fillcolor="#FFFFFF" filled="t" stroked="t" coordsize="21600,21600" o:gfxdata="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McVizXW&#10;AAAABQEAAA8AAAAAAAAAAQAgAAAAIgAAAGRycy9kb3ducmV2LnhtbFBLAQIUABQAAAAIAIdO4kCD&#10;1YDxIgIAAGgEAAAOAAAAAAAAAAEAIAAAACUBAABkcnMvZTJvRG9jLnhtbFBLBQYAAAAABgAGAFkB&#10;AAC5BQAAAAA=&#10;">
                        <v:fill on="t" focussize="0,0"/>
                        <v:stroke color="#000000" joinstyle="miter"/>
                        <v:imagedata o:title=""/>
                        <o:lock v:ext="edit" aspectratio="f"/>
                        <v:textbox inset="0mm,0mm,0mm,0mm">
                          <w:txbxContent>
                            <w:p w14:paraId="1BEB3AB9">
                              <w:pPr>
                                <w:spacing w:line="36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分系统维修</w:t>
                              </w:r>
                            </w:p>
                          </w:txbxContent>
                        </v:textbox>
                      </v:shape>
                      <v:line id="直接连接符 85" o:spid="_x0000_s1026" o:spt="20" style="position:absolute;left:1494790;top:1691640;height:0;width:317500;rotation:5898240f;" filled="f" stroked="t" coordsize="21600,21600" o:gfxdata="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JBrevWAAAABQEAAA8AAAAAAAAAAQAgAAAAIgAA&#10;AGRycy9kb3ducmV2LnhtbFBLAQIUABQAAAAIAIdO4kD069/gCgIAAPgDAAAOAAAAAAAAAAEAIAAA&#10;ACUBAABkcnMvZTJvRG9jLnhtbFBLBQYAAAAABgAGAFkBAAChBQAAAAA=&#10;">
                        <v:fill on="f" focussize="0,0"/>
                        <v:stroke color="#000000" joinstyle="round" endarrow="block"/>
                        <v:imagedata o:title=""/>
                        <o:lock v:ext="edit" aspectratio="f"/>
                      </v:line>
                      <v:line id="直接连接符 86" o:spid="_x0000_s1026" o:spt="20" style="position:absolute;left:1504950;top:2291715;height:0;width:317500;rotation:5898240f;" filled="f" stroked="t" coordsize="21600,21600" o:gfxdata="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kGt69YAAAAFAQAADwAAAAAAAAABACAAAAAi&#10;AAAAZHJzL2Rvd25yZXYueG1sUEsBAhQAFAAAAAgAh07iQF3gzukMAgAA+AMAAA4AAAAAAAAAAQAg&#10;AAAAJQEAAGRycy9lMm9Eb2MueG1sUEsFBgAAAAAGAAYAWQEAAKMFAAAAAA==&#10;">
                        <v:fill on="f" focussize="0,0"/>
                        <v:stroke color="#000000" joinstyle="round" endarrow="block"/>
                        <v:imagedata o:title=""/>
                        <o:lock v:ext="edit" aspectratio="f"/>
                      </v:line>
                      <v:line id="直接连接符 106" o:spid="_x0000_s1026" o:spt="20" style="position:absolute;left:1513840;top:490855;height:0;width:317500;rotation:5898240f;" filled="f" stroked="t" coordsize="21600,21600" o:gfxdata="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HJBrevWAAAABQEAAA8AAAAAAAAAAQAgAAAA&#10;IgAAAGRycy9kb3ducmV2LnhtbFBLAQIUABQAAAAIAIdO4kCB+0pODQIAAPgDAAAOAAAAAAAAAAEA&#10;IAAAACUBAABkcnMvZTJvRG9jLnhtbFBLBQYAAAAABgAGAFkBAACkBQAAAAA=&#10;">
                        <v:fill on="f" focussize="0,0"/>
                        <v:stroke color="#000000" joinstyle="round" endarrow="block"/>
                        <v:imagedata o:title=""/>
                        <o:lock v:ext="edit" aspectratio="f"/>
                      </v:line>
                      <v:shape id="文本框 107" o:spid="_x0000_s1026" o:spt="202" type="#_x0000_t202" style="position:absolute;left:1189355;top:46355;height:279400;width:977900;" fillcolor="#FFFFFF" filled="t" stroked="t" coordsize="21600,21600" o:gfxdata="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HFYs1&#10;1gAAAAUBAAAPAAAAAAAAAAEAIAAAACIAAABkcnMvZG93bnJldi54bWxQSwECFAAUAAAACACHTuJA&#10;ONGyoCMCAABnBAAADgAAAAAAAAABACAAAAAlAQAAZHJzL2Uyb0RvYy54bWxQSwUGAAAAAAYABgBZ&#10;AQAAugUAAAAA&#10;">
                        <v:fill on="t" focussize="0,0"/>
                        <v:stroke color="#000000" joinstyle="miter"/>
                        <v:imagedata o:title=""/>
                        <o:lock v:ext="edit" aspectratio="f"/>
                        <v:textbox inset="0mm,0mm,0mm,0mm">
                          <w:txbxContent>
                            <w:p w14:paraId="711A8292">
                              <w:pPr>
                                <w:spacing w:line="36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进厂初步检查</w:t>
                              </w:r>
                            </w:p>
                          </w:txbxContent>
                        </v:textbox>
                      </v:shape>
                      <v:shape id="文本框 190" o:spid="_x0000_s1026" o:spt="202" type="#_x0000_t202" style="position:absolute;left:2123440;top:885190;height:222885;width:303530;" filled="f" stroked="f" coordsize="21600,21600" o:gfxdata="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SvXjtUAAAAFAQAADwAAAAAAAAABACAAAAAiAAAAZHJzL2Rvd25yZXYu&#10;eG1sUEsBAhQAFAAAAAgAh07iQEcXq1TFAQAAgAMAAA4AAAAAAAAAAQAgAAAAJAEAAGRycy9lMm9E&#10;b2MueG1sUEsFBgAAAAAGAAYAWQEAAFsFAAAAAA==&#10;">
                        <v:fill on="f" focussize="0,0"/>
                        <v:stroke on="f"/>
                        <v:imagedata o:title=""/>
                        <o:lock v:ext="edit" aspectratio="f"/>
                        <v:textbox inset="0mm,0mm,0mm,0mm">
                          <w:txbxContent>
                            <w:p w14:paraId="479CE582">
                              <w:pPr>
                                <w:spacing w:line="360" w:lineRule="exact"/>
                                <w:jc w:val="center"/>
                                <w:rPr>
                                  <w:rFonts w:hint="eastAsia" w:eastAsia="宋体"/>
                                  <w:sz w:val="21"/>
                                  <w:szCs w:val="21"/>
                                  <w:lang w:val="en-US" w:eastAsia="zh-CN"/>
                                </w:rPr>
                              </w:pPr>
                              <w:r>
                                <w:rPr>
                                  <w:rFonts w:hint="eastAsia"/>
                                  <w:sz w:val="21"/>
                                  <w:szCs w:val="21"/>
                                  <w:lang w:val="en-US" w:eastAsia="zh-CN"/>
                                </w:rPr>
                                <w:t>W</w:t>
                              </w:r>
                            </w:p>
                          </w:txbxContent>
                        </v:textbox>
                      </v:shape>
                      <v:shape id="文本框 251" o:spid="_x0000_s1026" o:spt="202" type="#_x0000_t202" style="position:absolute;left:2713355;top:2370455;height:971550;width:915035;" filled="f" stroked="t" coordsize="21600,21600" o:gfxdata="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i&#10;wJOI1wAAAAUBAAAPAAAAAAAAAAEAIAAAACIAAABkcnMvZG93bnJldi54bWxQSwECFAAUAAAACACH&#10;TuJAyqIpHF4CAACdBAAADgAAAAAAAAABACAAAAAmAQAAZHJzL2Uyb0RvYy54bWxQSwUGAAAAAAYA&#10;BgBZAQAA9gUAAAAA&#10;">
                        <v:fill on="f" focussize="0,0"/>
                        <v:stroke weight="0.5pt" color="#000000 [3204]" joinstyle="round"/>
                        <v:imagedata o:title=""/>
                        <o:lock v:ext="edit" aspectratio="f"/>
                        <v:textbox>
                          <w:txbxContent>
                            <w:p w14:paraId="535D3D45">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图例 </w:t>
                              </w:r>
                            </w:p>
                            <w:p w14:paraId="3CC4D5EC">
                              <w:pPr>
                                <w:pStyle w:val="24"/>
                                <w:spacing w:after="0"/>
                                <w:ind w:left="0" w:leftChars="0" w:firstLine="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G</w:t>
                              </w:r>
                              <w:r>
                                <w:rPr>
                                  <w:rFonts w:hint="default" w:ascii="Times New Roman" w:hAnsi="Times New Roman" w:eastAsia="宋体" w:cs="Times New Roman"/>
                                  <w:sz w:val="21"/>
                                  <w:szCs w:val="21"/>
                                </w:rPr>
                                <w:t xml:space="preserve">  </w:t>
                              </w:r>
                              <w:r>
                                <w:rPr>
                                  <w:rFonts w:hint="default" w:ascii="Times New Roman" w:hAnsi="Times New Roman" w:eastAsia="宋体" w:cs="Times New Roman"/>
                                  <w:sz w:val="21"/>
                                  <w:szCs w:val="21"/>
                                  <w:lang w:val="en-US" w:eastAsia="zh-CN"/>
                                </w:rPr>
                                <w:t>废气</w:t>
                              </w:r>
                            </w:p>
                            <w:p w14:paraId="6193127D">
                              <w:pPr>
                                <w:pStyle w:val="24"/>
                                <w:spacing w:after="0"/>
                                <w:ind w:left="0" w:leftChars="0" w:firstLine="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W</w:t>
                              </w:r>
                              <w:r>
                                <w:rPr>
                                  <w:rFonts w:hint="default" w:ascii="Times New Roman" w:hAnsi="Times New Roman" w:eastAsia="宋体" w:cs="Times New Roman"/>
                                  <w:sz w:val="21"/>
                                  <w:szCs w:val="21"/>
                                </w:rPr>
                                <w:t xml:space="preserve">  </w:t>
                              </w:r>
                              <w:r>
                                <w:rPr>
                                  <w:rFonts w:hint="default" w:ascii="Times New Roman" w:hAnsi="Times New Roman" w:eastAsia="宋体" w:cs="Times New Roman"/>
                                  <w:sz w:val="21"/>
                                  <w:szCs w:val="21"/>
                                  <w:lang w:val="en-US" w:eastAsia="zh-CN"/>
                                </w:rPr>
                                <w:t>废水</w:t>
                              </w:r>
                            </w:p>
                            <w:p w14:paraId="6FD47E5C">
                              <w:pPr>
                                <w:pStyle w:val="24"/>
                                <w:spacing w:after="0"/>
                                <w:ind w:left="0" w:leftChars="0" w:firstLine="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S  </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固废</w:t>
                              </w:r>
                            </w:p>
                            <w:p w14:paraId="2409A6E5">
                              <w:pPr>
                                <w:rPr>
                                  <w:rFonts w:hint="eastAsia" w:ascii="宋体" w:hAnsi="宋体" w:eastAsia="宋体" w:cs="宋体"/>
                                </w:rPr>
                              </w:pPr>
                              <w:r>
                                <w:rPr>
                                  <w:rFonts w:hint="default" w:ascii="Times New Roman" w:hAnsi="Times New Roman" w:eastAsia="宋体" w:cs="Times New Roman"/>
                                  <w:sz w:val="21"/>
                                  <w:szCs w:val="21"/>
                                </w:rPr>
                                <w:t>N</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噪声</w:t>
                              </w:r>
                            </w:p>
                          </w:txbxContent>
                        </v:textbox>
                      </v:shape>
                      <v:shape id="文本框 84" o:spid="_x0000_s1026" o:spt="202" type="#_x0000_t202" style="position:absolute;left:1170940;top:2447925;height:279400;width:977900;" fillcolor="#FFFFFF" filled="t" stroked="t" coordsize="21600,21600" o:gfxdata="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cV&#10;izXWAAAABQEAAA8AAAAAAAAAAQAgAAAAIgAAAGRycy9kb3ducmV2LnhtbFBLAQIUABQAAAAIAIdO&#10;4kBQRlmgJQIAAGgEAAAOAAAAAAAAAAEAIAAAACUBAABkcnMvZTJvRG9jLnhtbFBLBQYAAAAABgAG&#10;AFkBAAC8BQAAAAA=&#10;">
                        <v:fill on="t" focussize="0,0"/>
                        <v:stroke color="#000000" joinstyle="miter"/>
                        <v:imagedata o:title=""/>
                        <o:lock v:ext="edit" aspectratio="f"/>
                        <v:textbox inset="0mm,0mm,0mm,0mm">
                          <w:txbxContent>
                            <w:p w14:paraId="7AC55FE3">
                              <w:pPr>
                                <w:spacing w:line="36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总装与调试</w:t>
                              </w:r>
                            </w:p>
                          </w:txbxContent>
                        </v:textbox>
                      </v:shape>
                      <v:line id="直接连接符 86" o:spid="_x0000_s1026" o:spt="20" style="position:absolute;left:1514475;top:2891790;height:0;width:317500;rotation:5898240f;" filled="f" stroked="t" coordsize="21600,21600" o:gfxdata="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kGt69YAAAAFAQAADwAAAAAAAAABACAAAAAi&#10;AAAAZHJzL2Rvd25yZXYueG1sUEsBAhQAFAAAAAgAh07iQB/cutwMAgAA+AMAAA4AAAAAAAAAAQAg&#10;AAAAJQEAAGRycy9lMm9Eb2MueG1sUEsFBgAAAAAGAAYAWQEAAKMFAAAAAA==&#10;">
                        <v:fill on="f" focussize="0,0"/>
                        <v:stroke color="#000000" joinstyle="round" endarrow="block"/>
                        <v:imagedata o:title=""/>
                        <o:lock v:ext="edit" aspectratio="f"/>
                      </v:line>
                      <v:shape id="文本框 84" o:spid="_x0000_s1026" o:spt="202" type="#_x0000_t202" style="position:absolute;left:1180465;top:3048000;height:279400;width:977900;" fillcolor="#FFFFFF" filled="t" stroked="t" coordsize="21600,21600" o:gfxdata="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McVizXWAAAABQEAAA8AAAAAAAAAAQAgAAAAIgAAAGRycy9kb3ducmV2LnhtbFBLAQIUABQAAAAI&#10;AIdO4kB+0KDPKAIAAGgEAAAOAAAAAAAAAAEAIAAAACUBAABkcnMvZTJvRG9jLnhtbFBLBQYAAAAA&#10;BgAGAFkBAAC/BQAAAAA=&#10;">
                        <v:fill on="t" focussize="0,0"/>
                        <v:stroke color="#000000" joinstyle="miter"/>
                        <v:imagedata o:title=""/>
                        <o:lock v:ext="edit" aspectratio="f"/>
                        <v:textbox inset="0mm,0mm,0mm,0mm">
                          <w:txbxContent>
                            <w:p w14:paraId="15790B2D">
                              <w:pPr>
                                <w:spacing w:line="36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出厂检测与交付</w:t>
                              </w:r>
                            </w:p>
                          </w:txbxContent>
                        </v:textbox>
                      </v:shape>
                      <v:shape id="任意多边形 189" o:spid="_x0000_s1026" o:spt="100" style="position:absolute;left:1951355;top:1075055;height:165100;width:279400;" filled="f" stroked="t" coordsize="630,468" o:gfxdata="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NoGap7WAAAABQEAAA8AAAAA&#10;AAAAAQAgAAAAIgAAAGRycy9kb3ducmV2LnhtbFBLAQIUABQAAAAIAIdO4kCLFH8FwQIAACEGAAAO&#10;AAAAAAAAAAEAIAAAACUBAABkcnMvZTJvRG9jLnhtbFBLBQYAAAAABgAGAFkBAABYBgAAAAA=&#10;" path="m0,468c78,338,157,208,210,156c263,104,298,130,315,156c332,182,262,338,315,312c368,286,577,52,630,0e">
                        <v:fill on="f" focussize="0,0"/>
                        <v:stroke color="#000000" joinstyle="round" endarrow="block"/>
                        <v:imagedata o:title=""/>
                        <o:lock v:ext="edit" aspectratio="f"/>
                      </v:shape>
                      <v:shape id="文本框 190" o:spid="_x0000_s1026" o:spt="202" type="#_x0000_t202" style="position:absolute;left:2161540;top:266065;height:222885;width:303530;" filled="f" stroked="f" coordsize="21600,21600" o:gfxdata="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GUr147VAAAABQEAAA8AAAAAAAAAAQAgAAAAIgAAAGRycy9kb3ducmV2&#10;LnhtbFBLAQIUABQAAAAIAIdO4kAv6ec1xgEAAIADAAAOAAAAAAAAAAEAIAAAACQBAABkcnMvZTJv&#10;RG9jLnhtbFBLBQYAAAAABgAGAFkBAABcBQAAAAA=&#10;">
                        <v:fill on="f" focussize="0,0"/>
                        <v:stroke on="f"/>
                        <v:imagedata o:title=""/>
                        <o:lock v:ext="edit" aspectratio="f"/>
                        <v:textbox inset="0mm,0mm,0mm,0mm">
                          <w:txbxContent>
                            <w:p w14:paraId="7768A86F">
                              <w:pPr>
                                <w:spacing w:line="360" w:lineRule="exact"/>
                                <w:jc w:val="center"/>
                                <w:rPr>
                                  <w:rFonts w:hint="default" w:eastAsia="宋体"/>
                                  <w:sz w:val="21"/>
                                  <w:szCs w:val="21"/>
                                  <w:lang w:val="en-US" w:eastAsia="zh-CN"/>
                                </w:rPr>
                              </w:pPr>
                              <w:r>
                                <w:rPr>
                                  <w:rFonts w:hint="eastAsia"/>
                                  <w:sz w:val="21"/>
                                  <w:szCs w:val="21"/>
                                  <w:lang w:val="en-US" w:eastAsia="zh-CN"/>
                                </w:rPr>
                                <w:t>N</w:t>
                              </w:r>
                            </w:p>
                          </w:txbxContent>
                        </v:textbox>
                      </v:shape>
                      <v:shape id="任意多边形 189" o:spid="_x0000_s1026" o:spt="100" style="position:absolute;left:1989455;top:474980;height:165100;width:279400;" filled="f" stroked="t" coordsize="630,468" o:gfxdata="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2gZqntYAAAAFAQAADwAA&#10;AAAAAAABACAAAAAiAAAAZHJzL2Rvd25yZXYueG1sUEsBAhQAFAAAAAgAh07iQEsIuEfDAgAAIAYA&#10;AA4AAAAAAAAAAQAgAAAAJQEAAGRycy9lMm9Eb2MueG1sUEsFBgAAAAAGAAYAWQEAAFoGAAAAAA==&#10;" path="m0,468c78,338,157,208,210,156c263,104,298,130,315,156c332,182,262,338,315,312c368,286,577,52,630,0e">
                        <v:fill on="f" focussize="0,0"/>
                        <v:stroke color="#000000" joinstyle="round" endarrow="block"/>
                        <v:imagedata o:title=""/>
                        <o:lock v:ext="edit" aspectratio="f"/>
                      </v:shape>
                      <v:shape id="任意多边形 189" o:spid="_x0000_s1026" o:spt="100" style="position:absolute;left:1894205;top:1694180;height:165100;width:279400;" filled="f" stroked="t" coordsize="630,468" o:gfxdata="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DaBmqe1gAAAAUBAAAPAAAA&#10;AAAAAAEAIAAAACIAAABkcnMvZG93bnJldi54bWxQSwECFAAUAAAACACHTuJATEXSMMICAAAhBgAA&#10;DgAAAAAAAAABACAAAAAlAQAAZHJzL2Uyb0RvYy54bWxQSwUGAAAAAAYABgBZAQAAWQYAAAAA&#10;" path="m0,468c78,338,157,208,210,156c263,104,298,130,315,156c332,182,262,338,315,312c368,286,577,52,630,0e">
                        <v:fill on="f" focussize="0,0"/>
                        <v:stroke color="#000000" joinstyle="round" endarrow="block"/>
                        <v:imagedata o:title=""/>
                        <o:lock v:ext="edit" aspectratio="f"/>
                      </v:shape>
                      <v:shape id="文本框 190" o:spid="_x0000_s1026" o:spt="202" type="#_x0000_t202" style="position:absolute;left:2132965;top:1504315;height:222885;width:597535;" filled="f" stroked="f" coordsize="21600,21600" o:gfxdata="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Ur147VAAAABQEAAA8AAAAAAAAAAQAgAAAAIgAAAGRycy9kb3du&#10;cmV2LnhtbFBLAQIUABQAAAAIAIdO4kAFxwoVyQEAAIEDAAAOAAAAAAAAAAEAIAAAACQBAABkcnMv&#10;ZTJvRG9jLnhtbFBLBQYAAAAABgAGAFkBAABfBQAAAAA=&#10;">
                        <v:fill on="f" focussize="0,0"/>
                        <v:stroke on="f"/>
                        <v:imagedata o:title=""/>
                        <o:lock v:ext="edit" aspectratio="f"/>
                        <v:textbox inset="0mm,0mm,0mm,0mm">
                          <w:txbxContent>
                            <w:p w14:paraId="014137B3">
                              <w:pPr>
                                <w:spacing w:line="360" w:lineRule="exact"/>
                                <w:jc w:val="center"/>
                                <w:rPr>
                                  <w:rFonts w:hint="default" w:eastAsia="宋体"/>
                                  <w:sz w:val="21"/>
                                  <w:szCs w:val="21"/>
                                  <w:lang w:val="en-US" w:eastAsia="zh-CN"/>
                                </w:rPr>
                              </w:pPr>
                              <w:r>
                                <w:rPr>
                                  <w:rFonts w:hint="eastAsia"/>
                                  <w:sz w:val="21"/>
                                  <w:szCs w:val="21"/>
                                  <w:lang w:val="en-US" w:eastAsia="zh-CN"/>
                                </w:rPr>
                                <w:t>G、S、N</w:t>
                              </w:r>
                            </w:p>
                          </w:txbxContent>
                        </v:textbox>
                      </v:shape>
                      <w10:wrap type="none"/>
                      <w10:anchorlock/>
                    </v:group>
                  </w:pict>
                </mc:Fallback>
              </mc:AlternateContent>
            </w:r>
          </w:p>
          <w:p w14:paraId="41B8CEC4">
            <w:pPr>
              <w:pStyle w:val="36"/>
              <w:keepNext w:val="0"/>
              <w:keepLines w:val="0"/>
              <w:pageBreakBefore w:val="0"/>
              <w:kinsoku/>
              <w:wordWrap/>
              <w:overflowPunct/>
              <w:topLinePunct w:val="0"/>
              <w:bidi w:val="0"/>
              <w:spacing w:before="0" w:after="0" w:line="520" w:lineRule="exact"/>
              <w:ind w:right="0" w:firstLine="1205" w:firstLineChars="500"/>
              <w:jc w:val="both"/>
              <w:textAlignment w:val="auto"/>
              <w:rPr>
                <w:rFonts w:hint="eastAsia"/>
                <w:color w:val="auto"/>
                <w:sz w:val="24"/>
                <w:szCs w:val="24"/>
              </w:rPr>
            </w:pPr>
            <w:r>
              <w:rPr>
                <w:rFonts w:hint="eastAsia"/>
                <w:b/>
                <w:bCs/>
                <w:color w:val="auto"/>
                <w:sz w:val="24"/>
                <w:szCs w:val="24"/>
              </w:rPr>
              <w:t>图2-</w:t>
            </w:r>
            <w:r>
              <w:rPr>
                <w:rFonts w:hint="eastAsia"/>
                <w:b/>
                <w:bCs/>
                <w:color w:val="auto"/>
                <w:sz w:val="24"/>
                <w:szCs w:val="24"/>
                <w:lang w:val="en-US" w:eastAsia="zh-CN"/>
              </w:rPr>
              <w:t>4</w:t>
            </w:r>
            <w:r>
              <w:rPr>
                <w:rFonts w:hint="eastAsia"/>
                <w:b/>
                <w:bCs/>
                <w:color w:val="auto"/>
                <w:sz w:val="24"/>
                <w:szCs w:val="24"/>
              </w:rPr>
              <w:t xml:space="preserve">    </w:t>
            </w:r>
            <w:r>
              <w:rPr>
                <w:rFonts w:hint="eastAsia"/>
                <w:b/>
                <w:bCs/>
                <w:color w:val="auto"/>
                <w:sz w:val="24"/>
                <w:szCs w:val="24"/>
                <w:lang w:val="en-US" w:eastAsia="zh-CN"/>
              </w:rPr>
              <w:t>卡车维修</w:t>
            </w:r>
            <w:r>
              <w:rPr>
                <w:b/>
                <w:bCs/>
                <w:color w:val="auto"/>
                <w:sz w:val="24"/>
                <w:szCs w:val="24"/>
              </w:rPr>
              <w:t>工艺流程及产污环节图</w:t>
            </w:r>
          </w:p>
          <w:p w14:paraId="666F90D4">
            <w:pPr>
              <w:pStyle w:val="36"/>
              <w:keepNext w:val="0"/>
              <w:keepLines w:val="0"/>
              <w:pageBreakBefore w:val="0"/>
              <w:kinsoku/>
              <w:wordWrap/>
              <w:overflowPunct/>
              <w:topLinePunct w:val="0"/>
              <w:bidi w:val="0"/>
              <w:spacing w:before="0" w:after="0" w:line="520" w:lineRule="exact"/>
              <w:ind w:right="0" w:firstLine="480" w:firstLineChars="200"/>
              <w:jc w:val="both"/>
              <w:textAlignment w:val="auto"/>
              <w:rPr>
                <w:color w:val="auto"/>
                <w:sz w:val="24"/>
                <w:szCs w:val="24"/>
              </w:rPr>
            </w:pPr>
            <w:r>
              <w:rPr>
                <w:rFonts w:hint="eastAsia"/>
                <w:color w:val="auto"/>
                <w:sz w:val="24"/>
                <w:szCs w:val="24"/>
              </w:rPr>
              <w:t>维修流程概述：</w:t>
            </w:r>
          </w:p>
          <w:p w14:paraId="40550DA0">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color w:val="auto"/>
                <w:sz w:val="24"/>
                <w:szCs w:val="24"/>
              </w:rPr>
            </w:pPr>
            <w:r>
              <w:rPr>
                <w:rFonts w:hint="eastAsia"/>
                <w:color w:val="auto"/>
                <w:sz w:val="24"/>
                <w:szCs w:val="24"/>
                <w:lang w:eastAsia="zh-CN"/>
              </w:rPr>
              <w:t>（</w:t>
            </w:r>
            <w:r>
              <w:rPr>
                <w:rFonts w:hint="eastAsia"/>
                <w:color w:val="auto"/>
                <w:sz w:val="24"/>
                <w:szCs w:val="24"/>
                <w:lang w:val="en-US" w:eastAsia="zh-CN"/>
              </w:rPr>
              <w:t>1</w:t>
            </w:r>
            <w:r>
              <w:rPr>
                <w:rFonts w:hint="eastAsia"/>
                <w:color w:val="auto"/>
                <w:sz w:val="24"/>
                <w:szCs w:val="24"/>
                <w:lang w:eastAsia="zh-CN"/>
              </w:rPr>
              <w:t>）</w:t>
            </w:r>
            <w:r>
              <w:rPr>
                <w:rFonts w:hint="eastAsia"/>
                <w:color w:val="auto"/>
                <w:sz w:val="24"/>
                <w:szCs w:val="24"/>
              </w:rPr>
              <w:t>初步检查：待修车辆进车间后，维修人员对车身、底盘、轮胎、刹车系统、转向系统、灯光等进行检查是否正常，发现分析问题。</w:t>
            </w:r>
          </w:p>
          <w:p w14:paraId="7B27A65C">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color w:val="auto"/>
                <w:sz w:val="24"/>
                <w:szCs w:val="24"/>
              </w:rPr>
            </w:pPr>
            <w:r>
              <w:rPr>
                <w:rFonts w:hint="eastAsia"/>
                <w:color w:val="auto"/>
                <w:sz w:val="24"/>
                <w:szCs w:val="24"/>
                <w:lang w:eastAsia="zh-CN"/>
              </w:rPr>
              <w:t>（</w:t>
            </w:r>
            <w:r>
              <w:rPr>
                <w:rFonts w:hint="eastAsia"/>
                <w:color w:val="auto"/>
                <w:sz w:val="24"/>
                <w:szCs w:val="24"/>
                <w:lang w:val="en-US" w:eastAsia="zh-CN"/>
              </w:rPr>
              <w:t>2</w:t>
            </w:r>
            <w:r>
              <w:rPr>
                <w:rFonts w:hint="eastAsia"/>
                <w:color w:val="auto"/>
                <w:sz w:val="24"/>
                <w:szCs w:val="24"/>
                <w:lang w:eastAsia="zh-CN"/>
              </w:rPr>
              <w:t>）</w:t>
            </w:r>
            <w:r>
              <w:rPr>
                <w:rFonts w:hint="eastAsia"/>
                <w:color w:val="0000FF"/>
                <w:sz w:val="24"/>
                <w:szCs w:val="24"/>
                <w:lang w:val="en-US" w:eastAsia="zh-CN"/>
              </w:rPr>
              <w:t>维修零部件拆卸与分类</w:t>
            </w:r>
            <w:commentRangeStart w:id="22"/>
            <w:commentRangeStart w:id="23"/>
            <w:r>
              <w:rPr>
                <w:color w:val="auto"/>
              </w:rPr>
              <w:commentReference w:id="22"/>
            </w:r>
            <w:commentRangeEnd w:id="22"/>
            <w:commentRangeEnd w:id="23"/>
            <w:r>
              <w:commentReference w:id="23"/>
            </w:r>
            <w:r>
              <w:rPr>
                <w:rFonts w:hint="eastAsia"/>
                <w:color w:val="auto"/>
                <w:sz w:val="24"/>
                <w:szCs w:val="24"/>
              </w:rPr>
              <w:t>：根据待维修的部位，对车辆的车身、底盘、发动机、传动系统、制动系统、电气系统进行对应</w:t>
            </w:r>
            <w:r>
              <w:rPr>
                <w:rFonts w:hint="eastAsia"/>
                <w:color w:val="auto"/>
                <w:sz w:val="24"/>
                <w:szCs w:val="24"/>
                <w:lang w:val="en-US" w:eastAsia="zh-CN"/>
              </w:rPr>
              <w:t>拆卸</w:t>
            </w:r>
            <w:r>
              <w:rPr>
                <w:rFonts w:hint="eastAsia"/>
                <w:color w:val="auto"/>
                <w:sz w:val="24"/>
                <w:szCs w:val="24"/>
              </w:rPr>
              <w:t>，再将</w:t>
            </w:r>
            <w:r>
              <w:rPr>
                <w:rFonts w:hint="eastAsia"/>
                <w:color w:val="auto"/>
                <w:sz w:val="24"/>
                <w:szCs w:val="24"/>
                <w:lang w:val="en-US" w:eastAsia="zh-CN"/>
              </w:rPr>
              <w:t>拆卸</w:t>
            </w:r>
            <w:r>
              <w:rPr>
                <w:rFonts w:hint="eastAsia"/>
                <w:color w:val="auto"/>
                <w:sz w:val="24"/>
                <w:szCs w:val="24"/>
              </w:rPr>
              <w:t>下来的待修零部件按照类别分类存放，以便后续检修与管理。</w:t>
            </w:r>
          </w:p>
          <w:p w14:paraId="50F9182F">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rFonts w:hint="default" w:eastAsia="宋体"/>
                <w:color w:val="auto"/>
                <w:sz w:val="24"/>
                <w:szCs w:val="24"/>
                <w:lang w:val="en-US" w:eastAsia="zh-CN"/>
              </w:rPr>
            </w:pPr>
            <w:r>
              <w:rPr>
                <w:rFonts w:hint="eastAsia"/>
                <w:color w:val="auto"/>
                <w:sz w:val="24"/>
                <w:szCs w:val="24"/>
                <w:lang w:eastAsia="zh-CN"/>
              </w:rPr>
              <w:t>（</w:t>
            </w:r>
            <w:r>
              <w:rPr>
                <w:rFonts w:hint="eastAsia"/>
                <w:color w:val="auto"/>
                <w:sz w:val="24"/>
                <w:szCs w:val="24"/>
                <w:lang w:val="en-US" w:eastAsia="zh-CN"/>
              </w:rPr>
              <w:t>3</w:t>
            </w:r>
            <w:r>
              <w:rPr>
                <w:rFonts w:hint="eastAsia"/>
                <w:color w:val="auto"/>
                <w:sz w:val="24"/>
                <w:szCs w:val="24"/>
                <w:lang w:eastAsia="zh-CN"/>
              </w:rPr>
              <w:t>）</w:t>
            </w:r>
            <w:r>
              <w:rPr>
                <w:rFonts w:hint="eastAsia"/>
                <w:color w:val="auto"/>
                <w:sz w:val="24"/>
                <w:szCs w:val="24"/>
                <w:lang w:val="en-US" w:eastAsia="zh-CN"/>
              </w:rPr>
              <w:t>零部件清洗</w:t>
            </w:r>
            <w:r>
              <w:rPr>
                <w:rFonts w:hint="eastAsia"/>
                <w:color w:val="auto"/>
                <w:sz w:val="24"/>
                <w:szCs w:val="24"/>
              </w:rPr>
              <w:t>：</w:t>
            </w:r>
            <w:r>
              <w:rPr>
                <w:rFonts w:ascii="宋体" w:hAnsi="宋体" w:eastAsia="宋体" w:cs="宋体"/>
                <w:color w:val="auto"/>
                <w:sz w:val="24"/>
                <w:szCs w:val="24"/>
              </w:rPr>
              <w:t>油污类零部件</w:t>
            </w:r>
            <w:r>
              <w:rPr>
                <w:rFonts w:hint="eastAsia"/>
                <w:color w:val="auto"/>
                <w:sz w:val="24"/>
                <w:szCs w:val="24"/>
                <w:lang w:val="en-US" w:eastAsia="zh-CN"/>
              </w:rPr>
              <w:t>添加碱性清洗剂</w:t>
            </w:r>
            <w:r>
              <w:rPr>
                <w:rFonts w:ascii="宋体" w:hAnsi="宋体" w:eastAsia="宋体" w:cs="宋体"/>
                <w:color w:val="auto"/>
                <w:sz w:val="24"/>
                <w:szCs w:val="24"/>
              </w:rPr>
              <w:t>浸泡</w:t>
            </w:r>
            <w:r>
              <w:rPr>
                <w:rFonts w:hint="eastAsia" w:ascii="宋体" w:hAnsi="宋体" w:eastAsia="宋体" w:cs="宋体"/>
                <w:color w:val="auto"/>
                <w:sz w:val="24"/>
                <w:szCs w:val="24"/>
                <w:lang w:val="en-US" w:eastAsia="zh-CN"/>
              </w:rPr>
              <w:t>清洗</w:t>
            </w:r>
            <w:r>
              <w:rPr>
                <w:rFonts w:hint="eastAsia" w:eastAsia="宋体"/>
                <w:color w:val="auto"/>
                <w:sz w:val="24"/>
                <w:szCs w:val="24"/>
                <w:lang w:eastAsia="zh-CN"/>
              </w:rPr>
              <w:t>，</w:t>
            </w:r>
            <w:r>
              <w:rPr>
                <w:rFonts w:hint="eastAsia" w:eastAsia="宋体"/>
                <w:color w:val="auto"/>
                <w:sz w:val="24"/>
                <w:szCs w:val="24"/>
                <w:lang w:val="en-US" w:eastAsia="zh-CN"/>
              </w:rPr>
              <w:t>该工序产生清洗废水。</w:t>
            </w:r>
          </w:p>
          <w:p w14:paraId="4F701231">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rFonts w:hint="default" w:eastAsia="宋体"/>
                <w:color w:val="auto"/>
                <w:sz w:val="24"/>
                <w:szCs w:val="24"/>
                <w:lang w:val="en-US" w:eastAsia="zh-CN"/>
              </w:rPr>
            </w:pPr>
            <w:r>
              <w:rPr>
                <w:rFonts w:hint="eastAsia"/>
                <w:color w:val="auto"/>
                <w:sz w:val="24"/>
                <w:szCs w:val="24"/>
                <w:lang w:eastAsia="zh-CN"/>
              </w:rPr>
              <w:t>（</w:t>
            </w:r>
            <w:r>
              <w:rPr>
                <w:rFonts w:hint="eastAsia"/>
                <w:color w:val="auto"/>
                <w:sz w:val="24"/>
                <w:szCs w:val="24"/>
                <w:lang w:val="en-US" w:eastAsia="zh-CN"/>
              </w:rPr>
              <w:t>4</w:t>
            </w:r>
            <w:r>
              <w:rPr>
                <w:rFonts w:hint="eastAsia"/>
                <w:color w:val="auto"/>
                <w:sz w:val="24"/>
                <w:szCs w:val="24"/>
                <w:lang w:eastAsia="zh-CN"/>
              </w:rPr>
              <w:t>）</w:t>
            </w:r>
            <w:r>
              <w:rPr>
                <w:rFonts w:hint="eastAsia"/>
                <w:color w:val="auto"/>
                <w:sz w:val="24"/>
                <w:szCs w:val="24"/>
                <w:lang w:val="en-US" w:eastAsia="zh-CN"/>
              </w:rPr>
              <w:t>分系统维修</w:t>
            </w:r>
          </w:p>
          <w:p w14:paraId="11CA7EFD">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rFonts w:hint="eastAsia"/>
                <w:color w:val="auto"/>
                <w:sz w:val="24"/>
                <w:szCs w:val="24"/>
              </w:rPr>
            </w:pPr>
            <w:r>
              <w:rPr>
                <w:rFonts w:ascii="宋体" w:hAnsi="宋体" w:eastAsia="宋体" w:cs="宋体"/>
                <w:color w:val="auto"/>
                <w:sz w:val="24"/>
                <w:szCs w:val="24"/>
              </w:rPr>
              <w:t>钣金维修→车身和底盘维修→发动机维修→传动系统维修→制动系统维修→发电机及电气系统维修→轮胎和轮毂维修</w:t>
            </w:r>
          </w:p>
          <w:p w14:paraId="1BA6CE85">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color w:val="auto"/>
                <w:sz w:val="24"/>
                <w:szCs w:val="24"/>
              </w:rPr>
            </w:pPr>
            <w:r>
              <w:rPr>
                <w:rFonts w:hint="eastAsia"/>
                <w:color w:val="auto"/>
                <w:sz w:val="24"/>
                <w:szCs w:val="24"/>
              </w:rPr>
              <w:t>①钣金、车身和底盘维修：矫正、焊接损坏部位、更换必要零部件。</w:t>
            </w:r>
          </w:p>
          <w:p w14:paraId="6F203704">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color w:val="auto"/>
                <w:sz w:val="24"/>
                <w:szCs w:val="24"/>
              </w:rPr>
            </w:pPr>
            <w:r>
              <w:rPr>
                <w:rFonts w:hint="eastAsia"/>
                <w:color w:val="auto"/>
                <w:sz w:val="24"/>
                <w:szCs w:val="24"/>
              </w:rPr>
              <w:t>②发动机维修：维修燃油系统、活塞，更换机油、机滤、清理散热器等。</w:t>
            </w:r>
          </w:p>
          <w:p w14:paraId="3B4C8906">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color w:val="auto"/>
                <w:sz w:val="24"/>
                <w:szCs w:val="24"/>
              </w:rPr>
            </w:pPr>
            <w:r>
              <w:rPr>
                <w:rFonts w:hint="eastAsia"/>
                <w:color w:val="auto"/>
                <w:sz w:val="24"/>
                <w:szCs w:val="24"/>
              </w:rPr>
              <w:t>③传动系统维修：维修、更换离合器片，更换变速箱油、检查维修传动轴万向节和轴承等。</w:t>
            </w:r>
          </w:p>
          <w:p w14:paraId="658EE493">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color w:val="auto"/>
                <w:sz w:val="24"/>
                <w:szCs w:val="24"/>
              </w:rPr>
            </w:pPr>
            <w:r>
              <w:rPr>
                <w:rFonts w:hint="eastAsia"/>
                <w:color w:val="auto"/>
                <w:sz w:val="24"/>
                <w:szCs w:val="24"/>
              </w:rPr>
              <w:t>④制动系统维修：检查维修、更换制动鼓或刹车片/刹车盘，更换制动液等。</w:t>
            </w:r>
          </w:p>
          <w:p w14:paraId="10C0EBE3">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color w:val="auto"/>
                <w:sz w:val="24"/>
                <w:szCs w:val="24"/>
              </w:rPr>
            </w:pPr>
            <w:r>
              <w:rPr>
                <w:rFonts w:hint="eastAsia"/>
                <w:color w:val="auto"/>
                <w:sz w:val="24"/>
                <w:szCs w:val="24"/>
              </w:rPr>
              <w:t>⑤发电机系统：维修电路板、更换电瓶、维修线路等。</w:t>
            </w:r>
          </w:p>
          <w:p w14:paraId="2EC2F055">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color w:val="auto"/>
                <w:sz w:val="24"/>
                <w:szCs w:val="24"/>
              </w:rPr>
            </w:pPr>
            <w:r>
              <w:rPr>
                <w:rFonts w:hint="eastAsia"/>
                <w:color w:val="auto"/>
                <w:sz w:val="24"/>
                <w:szCs w:val="24"/>
              </w:rPr>
              <w:t>⑥轮胎和轮毂维修：检查胎压及磨损，更换轮胎，检查轮毂变形或裂纹视情况更换。</w:t>
            </w:r>
          </w:p>
          <w:p w14:paraId="16AAD4BD">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rFonts w:hint="eastAsia"/>
                <w:color w:val="auto"/>
                <w:sz w:val="24"/>
                <w:szCs w:val="24"/>
              </w:rPr>
            </w:pPr>
            <w:r>
              <w:rPr>
                <w:rFonts w:hint="eastAsia"/>
                <w:color w:val="auto"/>
                <w:sz w:val="24"/>
                <w:szCs w:val="24"/>
              </w:rPr>
              <w:t>卡车维修过程产生焊接烟尘，废机油、废制动液、废铅蓄电池等危废，废轮胎、废部件等废零部件。</w:t>
            </w:r>
          </w:p>
          <w:p w14:paraId="0CD40ACC">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rFonts w:hint="eastAsia"/>
                <w:color w:val="auto"/>
                <w:sz w:val="24"/>
                <w:szCs w:val="24"/>
                <w:lang w:eastAsia="zh-CN"/>
              </w:rPr>
            </w:pPr>
            <w:r>
              <w:rPr>
                <w:rFonts w:hint="eastAsia"/>
                <w:color w:val="auto"/>
                <w:sz w:val="24"/>
                <w:szCs w:val="24"/>
                <w:lang w:eastAsia="zh-CN"/>
              </w:rPr>
              <w:t>（</w:t>
            </w:r>
            <w:r>
              <w:rPr>
                <w:rFonts w:hint="eastAsia"/>
                <w:color w:val="auto"/>
                <w:sz w:val="24"/>
                <w:szCs w:val="24"/>
                <w:lang w:val="en-US" w:eastAsia="zh-CN"/>
              </w:rPr>
              <w:t>5</w:t>
            </w:r>
            <w:r>
              <w:rPr>
                <w:rFonts w:hint="eastAsia"/>
                <w:color w:val="auto"/>
                <w:sz w:val="24"/>
                <w:szCs w:val="24"/>
                <w:lang w:eastAsia="zh-CN"/>
              </w:rPr>
              <w:t>）总装与调试</w:t>
            </w:r>
          </w:p>
          <w:p w14:paraId="3D27E6EE">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rFonts w:hint="default" w:eastAsia="宋体"/>
                <w:color w:val="auto"/>
                <w:sz w:val="24"/>
                <w:szCs w:val="24"/>
                <w:lang w:val="en-US" w:eastAsia="zh-CN"/>
              </w:rPr>
            </w:pPr>
            <w:r>
              <w:rPr>
                <w:rFonts w:hint="eastAsia"/>
                <w:color w:val="auto"/>
                <w:sz w:val="24"/>
                <w:szCs w:val="24"/>
                <w:lang w:val="en-US" w:eastAsia="zh-CN"/>
              </w:rPr>
              <w:t>按照卡车原厂装配工艺及技术规范，依次完成各</w:t>
            </w:r>
            <w:r>
              <w:rPr>
                <w:rFonts w:hint="eastAsia"/>
                <w:color w:val="auto"/>
                <w:sz w:val="24"/>
                <w:szCs w:val="24"/>
                <w:lang w:eastAsia="zh-CN"/>
              </w:rPr>
              <w:t>零部件复装，</w:t>
            </w:r>
            <w:r>
              <w:rPr>
                <w:rFonts w:hint="eastAsia"/>
                <w:color w:val="auto"/>
                <w:sz w:val="24"/>
                <w:szCs w:val="24"/>
                <w:lang w:val="en-US" w:eastAsia="zh-CN"/>
              </w:rPr>
              <w:t>并对</w:t>
            </w:r>
            <w:r>
              <w:rPr>
                <w:rFonts w:hint="eastAsia"/>
                <w:color w:val="auto"/>
                <w:sz w:val="24"/>
                <w:szCs w:val="24"/>
                <w:lang w:eastAsia="zh-CN"/>
              </w:rPr>
              <w:t>整车功能</w:t>
            </w:r>
            <w:r>
              <w:rPr>
                <w:rFonts w:hint="eastAsia"/>
                <w:color w:val="auto"/>
                <w:sz w:val="24"/>
                <w:szCs w:val="24"/>
                <w:lang w:val="en-US" w:eastAsia="zh-CN"/>
              </w:rPr>
              <w:t>进行</w:t>
            </w:r>
            <w:r>
              <w:rPr>
                <w:rFonts w:hint="eastAsia"/>
                <w:color w:val="auto"/>
                <w:sz w:val="24"/>
                <w:szCs w:val="24"/>
                <w:lang w:eastAsia="zh-CN"/>
              </w:rPr>
              <w:t>调试。</w:t>
            </w:r>
          </w:p>
          <w:p w14:paraId="10CDD248">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rFonts w:hint="eastAsia"/>
                <w:color w:val="auto"/>
                <w:sz w:val="24"/>
                <w:szCs w:val="24"/>
                <w:lang w:val="en-US" w:eastAsia="zh-CN"/>
              </w:rPr>
            </w:pPr>
            <w:r>
              <w:rPr>
                <w:rFonts w:hint="eastAsia"/>
                <w:color w:val="auto"/>
                <w:sz w:val="24"/>
                <w:szCs w:val="24"/>
                <w:lang w:eastAsia="zh-CN"/>
              </w:rPr>
              <w:t>（</w:t>
            </w:r>
            <w:r>
              <w:rPr>
                <w:rFonts w:hint="eastAsia"/>
                <w:color w:val="auto"/>
                <w:sz w:val="24"/>
                <w:szCs w:val="24"/>
                <w:lang w:val="en-US" w:eastAsia="zh-CN"/>
              </w:rPr>
              <w:t>6</w:t>
            </w:r>
            <w:r>
              <w:rPr>
                <w:rFonts w:hint="eastAsia"/>
                <w:color w:val="auto"/>
                <w:sz w:val="24"/>
                <w:szCs w:val="24"/>
                <w:lang w:eastAsia="zh-CN"/>
              </w:rPr>
              <w:t>）</w:t>
            </w:r>
            <w:r>
              <w:rPr>
                <w:rFonts w:hint="eastAsia"/>
                <w:color w:val="auto"/>
                <w:sz w:val="24"/>
                <w:szCs w:val="24"/>
                <w:lang w:val="en-US" w:eastAsia="zh-CN"/>
              </w:rPr>
              <w:t>出厂检测与交付</w:t>
            </w:r>
          </w:p>
          <w:p w14:paraId="3B149FC8">
            <w:pPr>
              <w:pStyle w:val="36"/>
              <w:keepNext w:val="0"/>
              <w:keepLines w:val="0"/>
              <w:pageBreakBefore w:val="0"/>
              <w:widowControl/>
              <w:kinsoku/>
              <w:wordWrap/>
              <w:overflowPunct/>
              <w:topLinePunct w:val="0"/>
              <w:autoSpaceDE/>
              <w:autoSpaceDN/>
              <w:bidi w:val="0"/>
              <w:adjustRightInd/>
              <w:snapToGrid w:val="0"/>
              <w:spacing w:before="0" w:after="0" w:line="500" w:lineRule="exact"/>
              <w:ind w:right="0" w:firstLine="480" w:firstLineChars="200"/>
              <w:jc w:val="both"/>
              <w:textAlignment w:val="auto"/>
              <w:rPr>
                <w:rFonts w:hint="default"/>
                <w:color w:val="auto"/>
                <w:sz w:val="24"/>
                <w:szCs w:val="24"/>
                <w:lang w:val="en-US" w:eastAsia="zh-CN"/>
              </w:rPr>
            </w:pPr>
            <w:r>
              <w:rPr>
                <w:rFonts w:hint="default"/>
                <w:color w:val="auto"/>
                <w:sz w:val="24"/>
                <w:szCs w:val="24"/>
                <w:lang w:val="en-US" w:eastAsia="zh-CN"/>
              </w:rPr>
              <w:t>成总装调试后，按标准开展外观、功能、排放及安全性能检测，形成书面记录，不合格项返工至达标；检测合格后清洁车辆，整理维修资料交付使用方，并说明维修情况与保养建议。</w:t>
            </w:r>
          </w:p>
          <w:p w14:paraId="2EE2C939">
            <w:pPr>
              <w:pStyle w:val="34"/>
              <w:keepNext w:val="0"/>
              <w:keepLines w:val="0"/>
              <w:pageBreakBefore w:val="0"/>
              <w:kinsoku/>
              <w:wordWrap/>
              <w:overflowPunct/>
              <w:topLinePunct w:val="0"/>
              <w:bidi w:val="0"/>
              <w:spacing w:line="520" w:lineRule="exact"/>
              <w:ind w:firstLine="482" w:firstLineChars="200"/>
              <w:textAlignment w:val="auto"/>
              <w:rPr>
                <w:rFonts w:ascii="Times New Roman" w:hAnsi="Times New Roman" w:eastAsia="宋体"/>
                <w:b/>
                <w:bCs/>
                <w:color w:val="auto"/>
                <w:szCs w:val="24"/>
              </w:rPr>
            </w:pPr>
            <w:r>
              <w:rPr>
                <w:rFonts w:hint="eastAsia" w:ascii="Times New Roman" w:hAnsi="Times New Roman" w:eastAsia="宋体"/>
                <w:b/>
                <w:bCs/>
                <w:color w:val="auto"/>
                <w:szCs w:val="24"/>
              </w:rPr>
              <w:t>2.2运营期产污环节汇总</w:t>
            </w:r>
          </w:p>
          <w:p w14:paraId="14674A4F">
            <w:pPr>
              <w:keepNext w:val="0"/>
              <w:keepLines w:val="0"/>
              <w:pageBreakBefore w:val="0"/>
              <w:kinsoku/>
              <w:wordWrap/>
              <w:overflowPunct/>
              <w:topLinePunct w:val="0"/>
              <w:bidi w:val="0"/>
              <w:spacing w:line="520" w:lineRule="exact"/>
              <w:ind w:firstLine="480" w:firstLineChars="200"/>
              <w:textAlignment w:val="auto"/>
              <w:rPr>
                <w:color w:val="auto"/>
              </w:rPr>
            </w:pPr>
            <w:r>
              <w:rPr>
                <w:color w:val="auto"/>
              </w:rPr>
              <w:t>本项目运营期产污环节汇总见下表。</w:t>
            </w:r>
          </w:p>
          <w:p w14:paraId="1E0C341A">
            <w:pPr>
              <w:spacing w:line="500" w:lineRule="exact"/>
              <w:jc w:val="center"/>
              <w:rPr>
                <w:b/>
                <w:bCs/>
                <w:color w:val="auto"/>
              </w:rPr>
            </w:pPr>
            <w:r>
              <w:rPr>
                <w:b/>
                <w:bCs/>
                <w:color w:val="auto"/>
              </w:rPr>
              <w:t>表2-</w:t>
            </w:r>
            <w:r>
              <w:rPr>
                <w:rFonts w:hint="eastAsia"/>
                <w:b/>
                <w:bCs/>
                <w:color w:val="auto"/>
              </w:rPr>
              <w:t>7</w:t>
            </w:r>
            <w:r>
              <w:rPr>
                <w:b/>
                <w:bCs/>
                <w:color w:val="auto"/>
              </w:rPr>
              <w:t xml:space="preserve">     营运期产污环节汇总表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2875"/>
              <w:gridCol w:w="4372"/>
            </w:tblGrid>
            <w:tr w14:paraId="55FA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vAlign w:val="center"/>
                </w:tcPr>
                <w:p w14:paraId="0C30E544">
                  <w:pPr>
                    <w:spacing w:line="360" w:lineRule="exact"/>
                    <w:jc w:val="center"/>
                    <w:rPr>
                      <w:color w:val="auto"/>
                      <w:sz w:val="21"/>
                      <w:szCs w:val="21"/>
                    </w:rPr>
                  </w:pPr>
                  <w:r>
                    <w:rPr>
                      <w:rFonts w:hint="eastAsia"/>
                      <w:color w:val="auto"/>
                      <w:sz w:val="21"/>
                      <w:szCs w:val="21"/>
                    </w:rPr>
                    <w:t>污染类别</w:t>
                  </w:r>
                </w:p>
              </w:tc>
              <w:tc>
                <w:tcPr>
                  <w:tcW w:w="2875" w:type="dxa"/>
                  <w:vAlign w:val="center"/>
                </w:tcPr>
                <w:p w14:paraId="02DBA8CD">
                  <w:pPr>
                    <w:spacing w:line="360" w:lineRule="exact"/>
                    <w:jc w:val="center"/>
                    <w:rPr>
                      <w:color w:val="auto"/>
                      <w:sz w:val="21"/>
                      <w:szCs w:val="21"/>
                    </w:rPr>
                  </w:pPr>
                  <w:r>
                    <w:rPr>
                      <w:rFonts w:hint="eastAsia"/>
                      <w:color w:val="auto"/>
                      <w:sz w:val="21"/>
                      <w:szCs w:val="21"/>
                    </w:rPr>
                    <w:t>污染源名称</w:t>
                  </w:r>
                </w:p>
              </w:tc>
              <w:tc>
                <w:tcPr>
                  <w:tcW w:w="4372" w:type="dxa"/>
                  <w:vAlign w:val="center"/>
                </w:tcPr>
                <w:p w14:paraId="138D41C1">
                  <w:pPr>
                    <w:spacing w:line="360" w:lineRule="exact"/>
                    <w:jc w:val="center"/>
                    <w:rPr>
                      <w:color w:val="auto"/>
                      <w:sz w:val="21"/>
                      <w:szCs w:val="21"/>
                    </w:rPr>
                  </w:pPr>
                  <w:r>
                    <w:rPr>
                      <w:rFonts w:hint="eastAsia"/>
                      <w:color w:val="auto"/>
                      <w:sz w:val="21"/>
                      <w:szCs w:val="21"/>
                    </w:rPr>
                    <w:t>主要污染物</w:t>
                  </w:r>
                </w:p>
              </w:tc>
            </w:tr>
            <w:tr w14:paraId="5BF8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vMerge w:val="restart"/>
                  <w:vAlign w:val="center"/>
                </w:tcPr>
                <w:p w14:paraId="1D17FD8C">
                  <w:pPr>
                    <w:spacing w:line="360" w:lineRule="exact"/>
                    <w:jc w:val="center"/>
                    <w:rPr>
                      <w:color w:val="auto"/>
                      <w:sz w:val="21"/>
                      <w:szCs w:val="21"/>
                    </w:rPr>
                  </w:pPr>
                  <w:r>
                    <w:rPr>
                      <w:rFonts w:hint="eastAsia"/>
                      <w:color w:val="auto"/>
                      <w:sz w:val="21"/>
                      <w:szCs w:val="21"/>
                    </w:rPr>
                    <w:t>废气</w:t>
                  </w:r>
                </w:p>
              </w:tc>
              <w:tc>
                <w:tcPr>
                  <w:tcW w:w="2875" w:type="dxa"/>
                  <w:vAlign w:val="center"/>
                </w:tcPr>
                <w:p w14:paraId="2F6AC284">
                  <w:pPr>
                    <w:spacing w:line="360" w:lineRule="exact"/>
                    <w:jc w:val="center"/>
                    <w:rPr>
                      <w:color w:val="auto"/>
                      <w:sz w:val="21"/>
                      <w:szCs w:val="21"/>
                    </w:rPr>
                  </w:pPr>
                  <w:r>
                    <w:rPr>
                      <w:rFonts w:hint="eastAsia"/>
                      <w:color w:val="auto"/>
                      <w:sz w:val="21"/>
                      <w:szCs w:val="21"/>
                    </w:rPr>
                    <w:t>破碎、剪切</w:t>
                  </w:r>
                </w:p>
              </w:tc>
              <w:tc>
                <w:tcPr>
                  <w:tcW w:w="4372" w:type="dxa"/>
                  <w:vAlign w:val="center"/>
                </w:tcPr>
                <w:p w14:paraId="3B90F425">
                  <w:pPr>
                    <w:spacing w:line="360" w:lineRule="exact"/>
                    <w:jc w:val="center"/>
                    <w:rPr>
                      <w:color w:val="auto"/>
                      <w:sz w:val="21"/>
                      <w:szCs w:val="21"/>
                    </w:rPr>
                  </w:pPr>
                  <w:r>
                    <w:rPr>
                      <w:rFonts w:hint="eastAsia"/>
                      <w:color w:val="auto"/>
                      <w:sz w:val="21"/>
                      <w:szCs w:val="21"/>
                    </w:rPr>
                    <w:t>粉尘</w:t>
                  </w:r>
                </w:p>
              </w:tc>
            </w:tr>
            <w:tr w14:paraId="35A7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vMerge w:val="continue"/>
                  <w:vAlign w:val="center"/>
                </w:tcPr>
                <w:p w14:paraId="612614C3">
                  <w:pPr>
                    <w:spacing w:line="360" w:lineRule="exact"/>
                    <w:jc w:val="center"/>
                    <w:rPr>
                      <w:color w:val="auto"/>
                      <w:sz w:val="21"/>
                      <w:szCs w:val="21"/>
                    </w:rPr>
                  </w:pPr>
                </w:p>
              </w:tc>
              <w:tc>
                <w:tcPr>
                  <w:tcW w:w="2875" w:type="dxa"/>
                  <w:vAlign w:val="center"/>
                </w:tcPr>
                <w:p w14:paraId="3087553B">
                  <w:pPr>
                    <w:spacing w:line="360" w:lineRule="exact"/>
                    <w:jc w:val="center"/>
                    <w:rPr>
                      <w:color w:val="auto"/>
                      <w:sz w:val="21"/>
                      <w:szCs w:val="21"/>
                    </w:rPr>
                  </w:pPr>
                  <w:r>
                    <w:rPr>
                      <w:rFonts w:hint="eastAsia" w:ascii="宋体" w:hAnsi="宋体"/>
                      <w:color w:val="auto"/>
                      <w:sz w:val="21"/>
                      <w:szCs w:val="21"/>
                      <w:lang w:bidi="ar"/>
                    </w:rPr>
                    <w:t>焊接</w:t>
                  </w:r>
                </w:p>
              </w:tc>
              <w:tc>
                <w:tcPr>
                  <w:tcW w:w="4372" w:type="dxa"/>
                  <w:vAlign w:val="center"/>
                </w:tcPr>
                <w:p w14:paraId="6AAA8CFE">
                  <w:pPr>
                    <w:spacing w:line="360" w:lineRule="exact"/>
                    <w:jc w:val="center"/>
                    <w:rPr>
                      <w:color w:val="auto"/>
                      <w:sz w:val="21"/>
                      <w:szCs w:val="21"/>
                    </w:rPr>
                  </w:pPr>
                  <w:r>
                    <w:rPr>
                      <w:rFonts w:hint="eastAsia"/>
                      <w:color w:val="auto"/>
                      <w:sz w:val="21"/>
                      <w:szCs w:val="21"/>
                    </w:rPr>
                    <w:t>烟尘</w:t>
                  </w:r>
                </w:p>
              </w:tc>
            </w:tr>
            <w:tr w14:paraId="7619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vMerge w:val="continue"/>
                  <w:vAlign w:val="center"/>
                </w:tcPr>
                <w:p w14:paraId="61842ED0">
                  <w:pPr>
                    <w:spacing w:line="360" w:lineRule="exact"/>
                    <w:jc w:val="center"/>
                    <w:rPr>
                      <w:color w:val="auto"/>
                      <w:sz w:val="21"/>
                      <w:szCs w:val="21"/>
                    </w:rPr>
                  </w:pPr>
                </w:p>
              </w:tc>
              <w:tc>
                <w:tcPr>
                  <w:tcW w:w="2875" w:type="dxa"/>
                  <w:vAlign w:val="center"/>
                </w:tcPr>
                <w:p w14:paraId="4E4DCBB4">
                  <w:pPr>
                    <w:spacing w:line="360" w:lineRule="exact"/>
                    <w:jc w:val="center"/>
                    <w:rPr>
                      <w:color w:val="auto"/>
                      <w:sz w:val="21"/>
                      <w:szCs w:val="21"/>
                    </w:rPr>
                  </w:pPr>
                  <w:r>
                    <w:rPr>
                      <w:rFonts w:hint="eastAsia"/>
                      <w:color w:val="auto"/>
                      <w:sz w:val="21"/>
                      <w:lang w:bidi="ar"/>
                    </w:rPr>
                    <w:t>道路运输</w:t>
                  </w:r>
                </w:p>
              </w:tc>
              <w:tc>
                <w:tcPr>
                  <w:tcW w:w="4372" w:type="dxa"/>
                  <w:vAlign w:val="center"/>
                </w:tcPr>
                <w:p w14:paraId="38993E1E">
                  <w:pPr>
                    <w:spacing w:line="360" w:lineRule="exact"/>
                    <w:jc w:val="center"/>
                    <w:rPr>
                      <w:color w:val="auto"/>
                      <w:sz w:val="21"/>
                      <w:szCs w:val="21"/>
                    </w:rPr>
                  </w:pPr>
                  <w:r>
                    <w:rPr>
                      <w:rFonts w:hint="eastAsia"/>
                      <w:color w:val="auto"/>
                      <w:sz w:val="21"/>
                      <w:szCs w:val="21"/>
                    </w:rPr>
                    <w:t>扬尘</w:t>
                  </w:r>
                </w:p>
              </w:tc>
            </w:tr>
            <w:tr w14:paraId="297B9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380" w:type="dxa"/>
                  <w:vMerge w:val="restart"/>
                  <w:vAlign w:val="center"/>
                </w:tcPr>
                <w:p w14:paraId="3EC537C9">
                  <w:pPr>
                    <w:spacing w:line="360" w:lineRule="exact"/>
                    <w:jc w:val="center"/>
                    <w:rPr>
                      <w:color w:val="auto"/>
                      <w:sz w:val="21"/>
                      <w:szCs w:val="21"/>
                    </w:rPr>
                  </w:pPr>
                  <w:r>
                    <w:rPr>
                      <w:rFonts w:hint="eastAsia"/>
                      <w:color w:val="auto"/>
                      <w:sz w:val="21"/>
                      <w:szCs w:val="21"/>
                    </w:rPr>
                    <w:t>废水</w:t>
                  </w:r>
                </w:p>
              </w:tc>
              <w:tc>
                <w:tcPr>
                  <w:tcW w:w="2875" w:type="dxa"/>
                  <w:vAlign w:val="center"/>
                </w:tcPr>
                <w:p w14:paraId="4EF76FA4">
                  <w:pPr>
                    <w:spacing w:line="360" w:lineRule="exact"/>
                    <w:jc w:val="center"/>
                    <w:rPr>
                      <w:color w:val="auto"/>
                      <w:sz w:val="21"/>
                      <w:szCs w:val="21"/>
                    </w:rPr>
                  </w:pPr>
                  <w:r>
                    <w:rPr>
                      <w:rFonts w:hint="eastAsia"/>
                      <w:color w:val="auto"/>
                      <w:sz w:val="21"/>
                      <w:lang w:bidi="ar"/>
                    </w:rPr>
                    <w:t>维修车间清洗废水</w:t>
                  </w:r>
                </w:p>
              </w:tc>
              <w:tc>
                <w:tcPr>
                  <w:tcW w:w="4372" w:type="dxa"/>
                  <w:vAlign w:val="center"/>
                </w:tcPr>
                <w:p w14:paraId="70DC3C67">
                  <w:pPr>
                    <w:spacing w:line="360" w:lineRule="exact"/>
                    <w:jc w:val="center"/>
                    <w:rPr>
                      <w:color w:val="auto"/>
                      <w:sz w:val="21"/>
                      <w:szCs w:val="21"/>
                    </w:rPr>
                  </w:pPr>
                  <w:r>
                    <w:rPr>
                      <w:rFonts w:hint="eastAsia"/>
                      <w:color w:val="auto"/>
                      <w:sz w:val="21"/>
                      <w:szCs w:val="21"/>
                      <w:lang w:val="en-US" w:eastAsia="zh-CN"/>
                    </w:rPr>
                    <w:t>pH、</w:t>
                  </w:r>
                  <w:r>
                    <w:rPr>
                      <w:rFonts w:hint="eastAsia"/>
                      <w:color w:val="auto"/>
                      <w:sz w:val="21"/>
                      <w:szCs w:val="21"/>
                    </w:rPr>
                    <w:t>COD</w:t>
                  </w:r>
                  <w:r>
                    <w:rPr>
                      <w:color w:val="auto"/>
                      <w:sz w:val="21"/>
                      <w:szCs w:val="21"/>
                    </w:rPr>
                    <w:t>、</w:t>
                  </w:r>
                  <w:r>
                    <w:rPr>
                      <w:rFonts w:hint="eastAsia"/>
                      <w:color w:val="auto"/>
                      <w:sz w:val="21"/>
                      <w:szCs w:val="21"/>
                    </w:rPr>
                    <w:t>BOD</w:t>
                  </w:r>
                  <w:r>
                    <w:rPr>
                      <w:rFonts w:hint="eastAsia"/>
                      <w:color w:val="auto"/>
                      <w:sz w:val="21"/>
                      <w:szCs w:val="21"/>
                      <w:vertAlign w:val="subscript"/>
                    </w:rPr>
                    <w:t>5</w:t>
                  </w:r>
                  <w:r>
                    <w:rPr>
                      <w:color w:val="auto"/>
                      <w:sz w:val="21"/>
                      <w:szCs w:val="21"/>
                    </w:rPr>
                    <w:t>、</w:t>
                  </w:r>
                  <w:r>
                    <w:rPr>
                      <w:rFonts w:hint="eastAsia"/>
                      <w:color w:val="auto"/>
                      <w:sz w:val="21"/>
                      <w:szCs w:val="21"/>
                    </w:rPr>
                    <w:t>SS、石油类</w:t>
                  </w:r>
                  <w:r>
                    <w:rPr>
                      <w:rFonts w:hint="eastAsia"/>
                      <w:color w:val="auto"/>
                      <w:sz w:val="21"/>
                      <w:szCs w:val="21"/>
                      <w:lang w:eastAsia="zh-CN"/>
                    </w:rPr>
                    <w:t>、</w:t>
                  </w:r>
                  <w:commentRangeStart w:id="24"/>
                  <w:commentRangeStart w:id="25"/>
                  <w:r>
                    <w:rPr>
                      <w:rFonts w:hint="eastAsia"/>
                      <w:color w:val="auto"/>
                      <w:sz w:val="21"/>
                      <w:szCs w:val="21"/>
                      <w:lang w:val="en-US" w:eastAsia="zh-CN"/>
                    </w:rPr>
                    <w:t>锌、铅</w:t>
                  </w:r>
                  <w:commentRangeEnd w:id="24"/>
                  <w:r>
                    <w:rPr>
                      <w:color w:val="auto"/>
                    </w:rPr>
                    <w:commentReference w:id="24"/>
                  </w:r>
                  <w:commentRangeEnd w:id="25"/>
                  <w:r>
                    <w:commentReference w:id="25"/>
                  </w:r>
                  <w:r>
                    <w:rPr>
                      <w:rFonts w:hint="eastAsia"/>
                      <w:color w:val="auto"/>
                      <w:sz w:val="21"/>
                      <w:szCs w:val="21"/>
                      <w:lang w:val="en-US" w:eastAsia="zh-CN"/>
                    </w:rPr>
                    <w:t>、LAS</w:t>
                  </w:r>
                </w:p>
              </w:tc>
            </w:tr>
            <w:tr w14:paraId="7DA8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vMerge w:val="continue"/>
                  <w:vAlign w:val="center"/>
                </w:tcPr>
                <w:p w14:paraId="11B2EE1D">
                  <w:pPr>
                    <w:spacing w:line="360" w:lineRule="exact"/>
                    <w:jc w:val="center"/>
                    <w:rPr>
                      <w:color w:val="auto"/>
                      <w:sz w:val="21"/>
                      <w:szCs w:val="21"/>
                    </w:rPr>
                  </w:pPr>
                </w:p>
              </w:tc>
              <w:tc>
                <w:tcPr>
                  <w:tcW w:w="2875" w:type="dxa"/>
                  <w:vAlign w:val="center"/>
                </w:tcPr>
                <w:p w14:paraId="6D63EFF2">
                  <w:pPr>
                    <w:spacing w:line="360" w:lineRule="exact"/>
                    <w:jc w:val="center"/>
                    <w:rPr>
                      <w:color w:val="auto"/>
                      <w:sz w:val="21"/>
                      <w:szCs w:val="21"/>
                    </w:rPr>
                  </w:pPr>
                  <w:r>
                    <w:rPr>
                      <w:rFonts w:hint="eastAsia"/>
                      <w:color w:val="auto"/>
                      <w:sz w:val="21"/>
                      <w:szCs w:val="21"/>
                    </w:rPr>
                    <w:t>生活污水</w:t>
                  </w:r>
                </w:p>
              </w:tc>
              <w:tc>
                <w:tcPr>
                  <w:tcW w:w="4372" w:type="dxa"/>
                  <w:vAlign w:val="center"/>
                </w:tcPr>
                <w:p w14:paraId="31942042">
                  <w:pPr>
                    <w:spacing w:line="360" w:lineRule="exact"/>
                    <w:jc w:val="center"/>
                    <w:rPr>
                      <w:color w:val="auto"/>
                      <w:sz w:val="21"/>
                      <w:szCs w:val="21"/>
                    </w:rPr>
                  </w:pPr>
                  <w:r>
                    <w:rPr>
                      <w:rFonts w:hint="eastAsia"/>
                      <w:color w:val="auto"/>
                      <w:sz w:val="21"/>
                      <w:szCs w:val="21"/>
                    </w:rPr>
                    <w:t>COD、BOD</w:t>
                  </w:r>
                  <w:r>
                    <w:rPr>
                      <w:rFonts w:hint="eastAsia"/>
                      <w:color w:val="auto"/>
                      <w:sz w:val="21"/>
                      <w:szCs w:val="21"/>
                      <w:vertAlign w:val="subscript"/>
                    </w:rPr>
                    <w:t>5</w:t>
                  </w:r>
                  <w:r>
                    <w:rPr>
                      <w:rFonts w:hint="eastAsia"/>
                      <w:color w:val="auto"/>
                      <w:sz w:val="21"/>
                      <w:szCs w:val="21"/>
                    </w:rPr>
                    <w:t>、SS、NH</w:t>
                  </w:r>
                  <w:r>
                    <w:rPr>
                      <w:rFonts w:hint="eastAsia"/>
                      <w:color w:val="auto"/>
                      <w:sz w:val="21"/>
                      <w:szCs w:val="21"/>
                      <w:vertAlign w:val="subscript"/>
                    </w:rPr>
                    <w:t>3</w:t>
                  </w:r>
                  <w:r>
                    <w:rPr>
                      <w:rFonts w:hint="eastAsia"/>
                      <w:color w:val="auto"/>
                      <w:sz w:val="21"/>
                      <w:szCs w:val="21"/>
                    </w:rPr>
                    <w:t>-N</w:t>
                  </w:r>
                </w:p>
              </w:tc>
            </w:tr>
            <w:tr w14:paraId="6207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vMerge w:val="restart"/>
                  <w:vAlign w:val="center"/>
                </w:tcPr>
                <w:p w14:paraId="13078D7B">
                  <w:pPr>
                    <w:spacing w:line="360" w:lineRule="exact"/>
                    <w:jc w:val="center"/>
                    <w:rPr>
                      <w:color w:val="auto"/>
                      <w:sz w:val="21"/>
                      <w:szCs w:val="21"/>
                    </w:rPr>
                  </w:pPr>
                  <w:r>
                    <w:rPr>
                      <w:rFonts w:hint="eastAsia"/>
                      <w:color w:val="auto"/>
                      <w:sz w:val="21"/>
                      <w:szCs w:val="21"/>
                    </w:rPr>
                    <w:t>固废废物</w:t>
                  </w:r>
                </w:p>
              </w:tc>
              <w:tc>
                <w:tcPr>
                  <w:tcW w:w="2875" w:type="dxa"/>
                  <w:vAlign w:val="center"/>
                </w:tcPr>
                <w:p w14:paraId="146B283F">
                  <w:pPr>
                    <w:spacing w:line="360" w:lineRule="exact"/>
                    <w:jc w:val="center"/>
                    <w:rPr>
                      <w:color w:val="auto"/>
                      <w:sz w:val="21"/>
                      <w:szCs w:val="21"/>
                    </w:rPr>
                  </w:pPr>
                  <w:r>
                    <w:rPr>
                      <w:rFonts w:hint="eastAsia"/>
                      <w:color w:val="auto"/>
                      <w:sz w:val="21"/>
                      <w:szCs w:val="21"/>
                    </w:rPr>
                    <w:t>危险废物</w:t>
                  </w:r>
                </w:p>
              </w:tc>
              <w:tc>
                <w:tcPr>
                  <w:tcW w:w="4372" w:type="dxa"/>
                  <w:vAlign w:val="center"/>
                </w:tcPr>
                <w:p w14:paraId="643F5DFE">
                  <w:pPr>
                    <w:spacing w:line="360" w:lineRule="exact"/>
                    <w:jc w:val="center"/>
                    <w:rPr>
                      <w:color w:val="auto"/>
                      <w:sz w:val="21"/>
                      <w:szCs w:val="21"/>
                    </w:rPr>
                  </w:pPr>
                  <w:r>
                    <w:rPr>
                      <w:rFonts w:hint="eastAsia"/>
                      <w:color w:val="auto"/>
                      <w:sz w:val="21"/>
                      <w:szCs w:val="21"/>
                    </w:rPr>
                    <w:t>废机油、废制动液、废铅酸蓄电池、废机滤</w:t>
                  </w:r>
                  <w:r>
                    <w:rPr>
                      <w:rFonts w:hint="eastAsia"/>
                      <w:color w:val="auto"/>
                      <w:sz w:val="21"/>
                      <w:szCs w:val="21"/>
                      <w:lang w:eastAsia="zh-CN"/>
                    </w:rPr>
                    <w:t>、</w:t>
                  </w:r>
                  <w:r>
                    <w:rPr>
                      <w:rFonts w:hint="eastAsia"/>
                      <w:color w:val="auto"/>
                      <w:sz w:val="21"/>
                      <w:szCs w:val="21"/>
                    </w:rPr>
                    <w:t>废油、污泥</w:t>
                  </w:r>
                  <w:r>
                    <w:rPr>
                      <w:rFonts w:hint="eastAsia"/>
                      <w:color w:val="auto"/>
                      <w:sz w:val="21"/>
                      <w:szCs w:val="21"/>
                      <w:lang w:eastAsia="zh-CN"/>
                    </w:rPr>
                    <w:t>、</w:t>
                  </w:r>
                  <w:r>
                    <w:rPr>
                      <w:rFonts w:hint="eastAsia"/>
                      <w:color w:val="auto"/>
                      <w:sz w:val="21"/>
                      <w:szCs w:val="21"/>
                      <w:lang w:val="en-US" w:eastAsia="zh-CN"/>
                    </w:rPr>
                    <w:t>废膜</w:t>
                  </w:r>
                </w:p>
              </w:tc>
            </w:tr>
            <w:tr w14:paraId="19CD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vMerge w:val="continue"/>
                  <w:vAlign w:val="center"/>
                </w:tcPr>
                <w:p w14:paraId="27B952A9">
                  <w:pPr>
                    <w:spacing w:line="360" w:lineRule="exact"/>
                    <w:jc w:val="center"/>
                    <w:rPr>
                      <w:color w:val="auto"/>
                      <w:sz w:val="21"/>
                      <w:szCs w:val="21"/>
                    </w:rPr>
                  </w:pPr>
                </w:p>
              </w:tc>
              <w:tc>
                <w:tcPr>
                  <w:tcW w:w="2875" w:type="dxa"/>
                  <w:vAlign w:val="center"/>
                </w:tcPr>
                <w:p w14:paraId="01B62BBF">
                  <w:pPr>
                    <w:spacing w:line="360" w:lineRule="exact"/>
                    <w:jc w:val="center"/>
                    <w:rPr>
                      <w:color w:val="auto"/>
                      <w:sz w:val="21"/>
                      <w:szCs w:val="21"/>
                    </w:rPr>
                  </w:pPr>
                  <w:r>
                    <w:rPr>
                      <w:rFonts w:hint="eastAsia"/>
                      <w:color w:val="auto"/>
                      <w:sz w:val="21"/>
                      <w:szCs w:val="21"/>
                    </w:rPr>
                    <w:t>非磁性物质</w:t>
                  </w:r>
                </w:p>
              </w:tc>
              <w:tc>
                <w:tcPr>
                  <w:tcW w:w="4372" w:type="dxa"/>
                  <w:vAlign w:val="center"/>
                </w:tcPr>
                <w:p w14:paraId="1D2F17F3">
                  <w:pPr>
                    <w:spacing w:line="360" w:lineRule="exact"/>
                    <w:jc w:val="center"/>
                    <w:rPr>
                      <w:color w:val="auto"/>
                      <w:sz w:val="21"/>
                      <w:szCs w:val="21"/>
                    </w:rPr>
                  </w:pPr>
                  <w:r>
                    <w:rPr>
                      <w:rFonts w:hint="eastAsia"/>
                      <w:color w:val="auto"/>
                      <w:sz w:val="21"/>
                      <w:szCs w:val="21"/>
                    </w:rPr>
                    <w:t>非金属杂质、非铁金属</w:t>
                  </w:r>
                </w:p>
              </w:tc>
            </w:tr>
            <w:tr w14:paraId="385B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vMerge w:val="continue"/>
                  <w:vAlign w:val="center"/>
                </w:tcPr>
                <w:p w14:paraId="32753298">
                  <w:pPr>
                    <w:spacing w:line="360" w:lineRule="exact"/>
                    <w:jc w:val="center"/>
                    <w:rPr>
                      <w:color w:val="auto"/>
                      <w:sz w:val="21"/>
                      <w:szCs w:val="21"/>
                    </w:rPr>
                  </w:pPr>
                </w:p>
              </w:tc>
              <w:tc>
                <w:tcPr>
                  <w:tcW w:w="2875" w:type="dxa"/>
                  <w:vAlign w:val="center"/>
                </w:tcPr>
                <w:p w14:paraId="58F34C93">
                  <w:pPr>
                    <w:spacing w:line="360" w:lineRule="exact"/>
                    <w:jc w:val="center"/>
                    <w:rPr>
                      <w:color w:val="auto"/>
                      <w:sz w:val="21"/>
                      <w:szCs w:val="21"/>
                    </w:rPr>
                  </w:pPr>
                  <w:r>
                    <w:rPr>
                      <w:rFonts w:hint="eastAsia"/>
                      <w:color w:val="auto"/>
                      <w:sz w:val="21"/>
                      <w:szCs w:val="21"/>
                      <w:lang w:bidi="ar"/>
                    </w:rPr>
                    <w:t>废零部件</w:t>
                  </w:r>
                </w:p>
              </w:tc>
              <w:tc>
                <w:tcPr>
                  <w:tcW w:w="4372" w:type="dxa"/>
                  <w:vAlign w:val="center"/>
                </w:tcPr>
                <w:p w14:paraId="7B7A79C0">
                  <w:pPr>
                    <w:spacing w:line="360" w:lineRule="exact"/>
                    <w:jc w:val="center"/>
                    <w:rPr>
                      <w:color w:val="auto"/>
                      <w:sz w:val="21"/>
                      <w:szCs w:val="21"/>
                    </w:rPr>
                  </w:pPr>
                  <w:r>
                    <w:rPr>
                      <w:color w:val="auto"/>
                      <w:sz w:val="21"/>
                      <w:szCs w:val="21"/>
                      <w:lang w:bidi="ar"/>
                    </w:rPr>
                    <w:t>废轮胎、废部件</w:t>
                  </w:r>
                </w:p>
              </w:tc>
            </w:tr>
            <w:tr w14:paraId="3FE5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vMerge w:val="continue"/>
                  <w:vAlign w:val="center"/>
                </w:tcPr>
                <w:p w14:paraId="57A4F93E">
                  <w:pPr>
                    <w:spacing w:line="360" w:lineRule="exact"/>
                    <w:jc w:val="center"/>
                    <w:rPr>
                      <w:color w:val="auto"/>
                      <w:sz w:val="21"/>
                      <w:szCs w:val="21"/>
                    </w:rPr>
                  </w:pPr>
                </w:p>
              </w:tc>
              <w:tc>
                <w:tcPr>
                  <w:tcW w:w="2875" w:type="dxa"/>
                  <w:vAlign w:val="center"/>
                </w:tcPr>
                <w:p w14:paraId="26F5676E">
                  <w:pPr>
                    <w:spacing w:line="360" w:lineRule="exact"/>
                    <w:jc w:val="center"/>
                    <w:rPr>
                      <w:color w:val="auto"/>
                      <w:sz w:val="21"/>
                      <w:szCs w:val="21"/>
                    </w:rPr>
                  </w:pPr>
                  <w:r>
                    <w:rPr>
                      <w:color w:val="auto"/>
                      <w:sz w:val="21"/>
                      <w:szCs w:val="21"/>
                      <w:lang w:bidi="ar"/>
                    </w:rPr>
                    <w:t>除尘器收集粉尘</w:t>
                  </w:r>
                </w:p>
              </w:tc>
              <w:tc>
                <w:tcPr>
                  <w:tcW w:w="4372" w:type="dxa"/>
                  <w:vAlign w:val="center"/>
                </w:tcPr>
                <w:p w14:paraId="465794D9">
                  <w:pPr>
                    <w:spacing w:line="360" w:lineRule="exact"/>
                    <w:jc w:val="center"/>
                    <w:rPr>
                      <w:color w:val="auto"/>
                      <w:sz w:val="21"/>
                      <w:szCs w:val="21"/>
                    </w:rPr>
                  </w:pPr>
                  <w:r>
                    <w:rPr>
                      <w:rFonts w:hint="eastAsia"/>
                      <w:color w:val="auto"/>
                      <w:sz w:val="21"/>
                      <w:szCs w:val="21"/>
                    </w:rPr>
                    <w:t>粉尘</w:t>
                  </w:r>
                </w:p>
              </w:tc>
            </w:tr>
            <w:tr w14:paraId="1EAA1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380" w:type="dxa"/>
                  <w:vMerge w:val="continue"/>
                  <w:vAlign w:val="center"/>
                </w:tcPr>
                <w:p w14:paraId="048703CB">
                  <w:pPr>
                    <w:spacing w:line="360" w:lineRule="exact"/>
                    <w:jc w:val="center"/>
                    <w:rPr>
                      <w:color w:val="auto"/>
                      <w:sz w:val="21"/>
                      <w:szCs w:val="21"/>
                    </w:rPr>
                  </w:pPr>
                </w:p>
              </w:tc>
              <w:tc>
                <w:tcPr>
                  <w:tcW w:w="2875" w:type="dxa"/>
                  <w:vAlign w:val="center"/>
                </w:tcPr>
                <w:p w14:paraId="00C01A1C">
                  <w:pPr>
                    <w:spacing w:line="360" w:lineRule="exact"/>
                    <w:jc w:val="center"/>
                    <w:rPr>
                      <w:color w:val="auto"/>
                      <w:sz w:val="21"/>
                      <w:szCs w:val="21"/>
                    </w:rPr>
                  </w:pPr>
                  <w:r>
                    <w:rPr>
                      <w:color w:val="auto"/>
                      <w:sz w:val="21"/>
                      <w:szCs w:val="21"/>
                      <w:lang w:bidi="ar"/>
                    </w:rPr>
                    <w:t>生活垃圾</w:t>
                  </w:r>
                </w:p>
              </w:tc>
              <w:tc>
                <w:tcPr>
                  <w:tcW w:w="4372" w:type="dxa"/>
                  <w:vAlign w:val="center"/>
                </w:tcPr>
                <w:p w14:paraId="47D0CE14">
                  <w:pPr>
                    <w:spacing w:line="360" w:lineRule="exact"/>
                    <w:jc w:val="center"/>
                    <w:rPr>
                      <w:color w:val="auto"/>
                      <w:sz w:val="21"/>
                      <w:szCs w:val="21"/>
                    </w:rPr>
                  </w:pPr>
                  <w:r>
                    <w:rPr>
                      <w:rFonts w:hint="eastAsia"/>
                      <w:color w:val="auto"/>
                      <w:sz w:val="21"/>
                      <w:szCs w:val="21"/>
                    </w:rPr>
                    <w:t>生活垃圾</w:t>
                  </w:r>
                </w:p>
              </w:tc>
            </w:tr>
            <w:tr w14:paraId="1A21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vAlign w:val="center"/>
                </w:tcPr>
                <w:p w14:paraId="2F2C339A">
                  <w:pPr>
                    <w:spacing w:line="360" w:lineRule="exact"/>
                    <w:jc w:val="center"/>
                    <w:rPr>
                      <w:color w:val="auto"/>
                      <w:sz w:val="21"/>
                      <w:szCs w:val="21"/>
                    </w:rPr>
                  </w:pPr>
                  <w:r>
                    <w:rPr>
                      <w:rFonts w:hint="eastAsia"/>
                      <w:color w:val="auto"/>
                      <w:sz w:val="21"/>
                      <w:szCs w:val="21"/>
                    </w:rPr>
                    <w:t>噪声</w:t>
                  </w:r>
                </w:p>
              </w:tc>
              <w:tc>
                <w:tcPr>
                  <w:tcW w:w="2875" w:type="dxa"/>
                  <w:vAlign w:val="center"/>
                </w:tcPr>
                <w:p w14:paraId="117EBE7F">
                  <w:pPr>
                    <w:spacing w:line="360" w:lineRule="exact"/>
                    <w:jc w:val="center"/>
                    <w:rPr>
                      <w:color w:val="auto"/>
                      <w:sz w:val="21"/>
                      <w:szCs w:val="21"/>
                    </w:rPr>
                  </w:pPr>
                  <w:r>
                    <w:rPr>
                      <w:rFonts w:hint="eastAsia"/>
                      <w:color w:val="auto"/>
                      <w:sz w:val="21"/>
                      <w:szCs w:val="21"/>
                    </w:rPr>
                    <w:t>生产设备</w:t>
                  </w:r>
                </w:p>
              </w:tc>
              <w:tc>
                <w:tcPr>
                  <w:tcW w:w="4372" w:type="dxa"/>
                  <w:vAlign w:val="center"/>
                </w:tcPr>
                <w:p w14:paraId="3E669765">
                  <w:pPr>
                    <w:spacing w:line="360" w:lineRule="exact"/>
                    <w:jc w:val="center"/>
                    <w:rPr>
                      <w:color w:val="auto"/>
                      <w:sz w:val="21"/>
                      <w:szCs w:val="21"/>
                    </w:rPr>
                  </w:pPr>
                  <w:r>
                    <w:rPr>
                      <w:rFonts w:hint="eastAsia"/>
                      <w:color w:val="auto"/>
                      <w:sz w:val="21"/>
                      <w:szCs w:val="21"/>
                    </w:rPr>
                    <w:t>噪声</w:t>
                  </w:r>
                </w:p>
              </w:tc>
            </w:tr>
          </w:tbl>
          <w:p w14:paraId="479AFE18">
            <w:pPr>
              <w:pStyle w:val="15"/>
              <w:spacing w:after="0" w:line="120" w:lineRule="exact"/>
              <w:ind w:left="0" w:leftChars="0"/>
              <w:rPr>
                <w:rFonts w:ascii="Times New Roman" w:hAnsi="Times New Roman"/>
                <w:color w:val="auto"/>
                <w:sz w:val="24"/>
                <w:szCs w:val="24"/>
              </w:rPr>
            </w:pPr>
          </w:p>
          <w:p w14:paraId="36B50261">
            <w:pPr>
              <w:pStyle w:val="15"/>
              <w:spacing w:after="0" w:line="120" w:lineRule="exact"/>
              <w:ind w:left="0" w:leftChars="0"/>
              <w:rPr>
                <w:rFonts w:hint="eastAsia" w:ascii="Times New Roman" w:hAnsi="Times New Roman"/>
                <w:color w:val="auto"/>
                <w:sz w:val="24"/>
                <w:szCs w:val="24"/>
                <w:lang w:eastAsia="zh-CN"/>
              </w:rPr>
            </w:pPr>
          </w:p>
          <w:p w14:paraId="38E98F13">
            <w:pPr>
              <w:pStyle w:val="15"/>
              <w:spacing w:after="0" w:line="120" w:lineRule="exact"/>
              <w:ind w:left="0" w:leftChars="0"/>
              <w:rPr>
                <w:rFonts w:hint="eastAsia" w:ascii="Times New Roman" w:hAnsi="Times New Roman"/>
                <w:color w:val="auto"/>
                <w:sz w:val="24"/>
                <w:szCs w:val="24"/>
                <w:lang w:eastAsia="zh-CN"/>
              </w:rPr>
            </w:pPr>
          </w:p>
          <w:p w14:paraId="2EA9CFF7">
            <w:pPr>
              <w:pStyle w:val="15"/>
              <w:spacing w:after="0" w:line="120" w:lineRule="exact"/>
              <w:ind w:left="0" w:leftChars="0"/>
              <w:rPr>
                <w:rFonts w:hint="eastAsia" w:ascii="Times New Roman" w:hAnsi="Times New Roman"/>
                <w:color w:val="auto"/>
                <w:sz w:val="24"/>
                <w:szCs w:val="24"/>
                <w:lang w:eastAsia="zh-CN"/>
              </w:rPr>
            </w:pPr>
          </w:p>
          <w:p w14:paraId="49EC6BC2">
            <w:pPr>
              <w:pStyle w:val="15"/>
              <w:spacing w:after="0" w:line="120" w:lineRule="exact"/>
              <w:ind w:left="0" w:leftChars="0"/>
              <w:rPr>
                <w:rFonts w:hint="eastAsia" w:ascii="Times New Roman" w:hAnsi="Times New Roman"/>
                <w:color w:val="auto"/>
                <w:sz w:val="24"/>
                <w:szCs w:val="24"/>
                <w:lang w:eastAsia="zh-CN"/>
              </w:rPr>
            </w:pPr>
          </w:p>
          <w:p w14:paraId="4BA21120">
            <w:pPr>
              <w:pStyle w:val="15"/>
              <w:spacing w:after="0" w:line="120" w:lineRule="exact"/>
              <w:ind w:left="0" w:leftChars="0"/>
              <w:rPr>
                <w:rFonts w:hint="eastAsia" w:ascii="Times New Roman" w:hAnsi="Times New Roman"/>
                <w:color w:val="auto"/>
                <w:sz w:val="24"/>
                <w:szCs w:val="24"/>
                <w:lang w:eastAsia="zh-CN"/>
              </w:rPr>
            </w:pPr>
          </w:p>
          <w:p w14:paraId="557756E5">
            <w:pPr>
              <w:pStyle w:val="15"/>
              <w:spacing w:after="0" w:line="120" w:lineRule="exact"/>
              <w:ind w:left="0" w:leftChars="0"/>
              <w:rPr>
                <w:rFonts w:hint="eastAsia" w:ascii="Times New Roman" w:hAnsi="Times New Roman"/>
                <w:color w:val="auto"/>
                <w:sz w:val="24"/>
                <w:szCs w:val="24"/>
                <w:lang w:eastAsia="zh-CN"/>
              </w:rPr>
            </w:pPr>
          </w:p>
          <w:p w14:paraId="6BDFD166">
            <w:pPr>
              <w:pStyle w:val="15"/>
              <w:spacing w:after="0" w:line="120" w:lineRule="exact"/>
              <w:ind w:left="0" w:leftChars="0"/>
              <w:rPr>
                <w:rFonts w:hint="eastAsia" w:ascii="Times New Roman" w:hAnsi="Times New Roman"/>
                <w:color w:val="auto"/>
                <w:sz w:val="24"/>
                <w:szCs w:val="24"/>
                <w:lang w:eastAsia="zh-CN"/>
              </w:rPr>
            </w:pPr>
          </w:p>
          <w:p w14:paraId="5BD79345">
            <w:pPr>
              <w:pStyle w:val="15"/>
              <w:spacing w:after="0" w:line="120" w:lineRule="exact"/>
              <w:ind w:left="0" w:leftChars="0"/>
              <w:rPr>
                <w:rFonts w:hint="eastAsia" w:ascii="Times New Roman" w:hAnsi="Times New Roman" w:eastAsia="宋体"/>
                <w:color w:val="auto"/>
                <w:sz w:val="24"/>
                <w:szCs w:val="24"/>
                <w:lang w:eastAsia="zh-CN"/>
              </w:rPr>
            </w:pPr>
          </w:p>
        </w:tc>
      </w:tr>
      <w:tr w14:paraId="1960D2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757" w:hRule="atLeast"/>
          <w:jc w:val="center"/>
        </w:trPr>
        <w:tc>
          <w:tcPr>
            <w:tcW w:w="443" w:type="dxa"/>
            <w:tcBorders>
              <w:tl2br w:val="nil"/>
              <w:tr2bl w:val="nil"/>
            </w:tcBorders>
            <w:vAlign w:val="center"/>
          </w:tcPr>
          <w:p w14:paraId="5864B811">
            <w:pPr>
              <w:pStyle w:val="21"/>
              <w:adjustRightInd w:val="0"/>
              <w:snapToGrid w:val="0"/>
              <w:spacing w:before="0" w:beforeAutospacing="0" w:after="0" w:afterAutospacing="0"/>
              <w:jc w:val="center"/>
              <w:rPr>
                <w:rFonts w:ascii="Times New Roman" w:hAnsi="Times New Roman"/>
                <w:color w:val="auto"/>
                <w:szCs w:val="24"/>
                <w:highlight w:val="yellow"/>
              </w:rPr>
            </w:pPr>
            <w:r>
              <w:rPr>
                <w:rFonts w:ascii="Times New Roman" w:hAnsi="Times New Roman"/>
                <w:bCs/>
                <w:color w:val="auto"/>
                <w:kern w:val="2"/>
                <w:szCs w:val="24"/>
              </w:rPr>
              <w:t>与项目有关的原有环境污染问题</w:t>
            </w:r>
          </w:p>
        </w:tc>
        <w:tc>
          <w:tcPr>
            <w:tcW w:w="8853" w:type="dxa"/>
            <w:tcBorders>
              <w:tl2br w:val="nil"/>
              <w:tr2bl w:val="nil"/>
            </w:tcBorders>
            <w:vAlign w:val="center"/>
          </w:tcPr>
          <w:p w14:paraId="4B4A6141">
            <w:pPr>
              <w:adjustRightInd w:val="0"/>
              <w:snapToGrid w:val="0"/>
              <w:spacing w:line="360" w:lineRule="auto"/>
              <w:ind w:firstLine="480" w:firstLineChars="200"/>
              <w:jc w:val="left"/>
              <w:rPr>
                <w:b/>
                <w:color w:val="auto"/>
              </w:rPr>
            </w:pPr>
            <w:r>
              <w:rPr>
                <w:rFonts w:hint="eastAsia" w:ascii="宋体" w:hAnsi="宋体" w:cs="宋体"/>
                <w:bCs/>
                <w:color w:val="auto"/>
              </w:rPr>
              <w:t>本项目为新建项目，经现场踏勘可知，项目厂区目前为空地，尚未开工建设，</w:t>
            </w:r>
            <w:r>
              <w:rPr>
                <w:rFonts w:hint="eastAsia"/>
                <w:color w:val="auto"/>
              </w:rPr>
              <w:t>故</w:t>
            </w:r>
            <w:r>
              <w:rPr>
                <w:rFonts w:hint="eastAsia" w:ascii="宋体" w:hAnsi="宋体" w:cs="宋体"/>
                <w:bCs/>
                <w:color w:val="auto"/>
              </w:rPr>
              <w:t>不存在与项目有关的原有环境污染问题。</w:t>
            </w:r>
          </w:p>
        </w:tc>
      </w:tr>
    </w:tbl>
    <w:p w14:paraId="5B069203">
      <w:pPr>
        <w:pStyle w:val="21"/>
        <w:jc w:val="center"/>
        <w:rPr>
          <w:rFonts w:ascii="Times New Roman" w:hAnsi="Times New Roman"/>
          <w:snapToGrid w:val="0"/>
          <w:color w:val="auto"/>
          <w:szCs w:val="24"/>
        </w:rPr>
        <w:sectPr>
          <w:pgSz w:w="11906" w:h="16838"/>
          <w:pgMar w:top="1417" w:right="1417" w:bottom="1417" w:left="1417" w:header="851" w:footer="851" w:gutter="0"/>
          <w:pgBorders>
            <w:top w:val="none" w:sz="0" w:space="0"/>
            <w:left w:val="none" w:sz="0" w:space="0"/>
            <w:bottom w:val="none" w:sz="0" w:space="0"/>
            <w:right w:val="none" w:sz="0" w:space="0"/>
          </w:pgBorders>
          <w:cols w:space="0" w:num="1"/>
          <w:docGrid w:linePitch="312" w:charSpace="0"/>
        </w:sectPr>
      </w:pPr>
    </w:p>
    <w:p w14:paraId="11281B2A">
      <w:pPr>
        <w:pStyle w:val="21"/>
        <w:jc w:val="center"/>
        <w:outlineLvl w:val="0"/>
        <w:rPr>
          <w:rFonts w:ascii="Times New Roman" w:hAnsi="Times New Roman"/>
          <w:b/>
          <w:bCs/>
          <w:snapToGrid w:val="0"/>
          <w:color w:val="auto"/>
          <w:sz w:val="30"/>
          <w:szCs w:val="30"/>
        </w:rPr>
      </w:pPr>
      <w:r>
        <w:rPr>
          <w:rFonts w:ascii="Times New Roman" w:hAnsi="Times New Roman"/>
          <w:b/>
          <w:bCs/>
          <w:snapToGrid w:val="0"/>
          <w:color w:val="auto"/>
          <w:sz w:val="30"/>
          <w:szCs w:val="30"/>
        </w:rPr>
        <w:t>三、区域环境质量现状、环境保护目标及评价标准</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4"/>
        <w:gridCol w:w="8682"/>
      </w:tblGrid>
      <w:tr w14:paraId="7C91E3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454" w:type="dxa"/>
            <w:vAlign w:val="center"/>
          </w:tcPr>
          <w:p w14:paraId="10DD83F9">
            <w:pPr>
              <w:adjustRightInd w:val="0"/>
              <w:snapToGrid w:val="0"/>
              <w:jc w:val="center"/>
              <w:rPr>
                <w:color w:val="auto"/>
                <w:kern w:val="0"/>
              </w:rPr>
            </w:pPr>
            <w:r>
              <w:rPr>
                <w:color w:val="auto"/>
                <w:kern w:val="0"/>
              </w:rPr>
              <w:t>区域</w:t>
            </w:r>
          </w:p>
          <w:p w14:paraId="7BE9C983">
            <w:pPr>
              <w:adjustRightInd w:val="0"/>
              <w:snapToGrid w:val="0"/>
              <w:jc w:val="center"/>
              <w:rPr>
                <w:color w:val="auto"/>
                <w:kern w:val="0"/>
              </w:rPr>
            </w:pPr>
            <w:r>
              <w:rPr>
                <w:color w:val="auto"/>
                <w:kern w:val="0"/>
              </w:rPr>
              <w:t>环境</w:t>
            </w:r>
          </w:p>
          <w:p w14:paraId="230FCD11">
            <w:pPr>
              <w:adjustRightInd w:val="0"/>
              <w:snapToGrid w:val="0"/>
              <w:jc w:val="center"/>
              <w:rPr>
                <w:color w:val="auto"/>
                <w:kern w:val="0"/>
              </w:rPr>
            </w:pPr>
            <w:r>
              <w:rPr>
                <w:color w:val="auto"/>
                <w:kern w:val="0"/>
              </w:rPr>
              <w:t>质量</w:t>
            </w:r>
          </w:p>
          <w:p w14:paraId="65ABD41E">
            <w:pPr>
              <w:adjustRightInd w:val="0"/>
              <w:snapToGrid w:val="0"/>
              <w:jc w:val="center"/>
              <w:rPr>
                <w:color w:val="auto"/>
                <w:kern w:val="0"/>
              </w:rPr>
            </w:pPr>
            <w:r>
              <w:rPr>
                <w:color w:val="auto"/>
                <w:kern w:val="0"/>
              </w:rPr>
              <w:t>现状</w:t>
            </w:r>
          </w:p>
        </w:tc>
        <w:tc>
          <w:tcPr>
            <w:tcW w:w="8682" w:type="dxa"/>
            <w:vAlign w:val="center"/>
          </w:tcPr>
          <w:p w14:paraId="751EF562">
            <w:pPr>
              <w:pStyle w:val="24"/>
              <w:spacing w:after="0" w:line="500" w:lineRule="exact"/>
              <w:ind w:left="0" w:leftChars="0" w:firstLine="482" w:firstLineChars="200"/>
              <w:rPr>
                <w:b/>
                <w:bCs/>
                <w:color w:val="auto"/>
              </w:rPr>
            </w:pPr>
            <w:r>
              <w:rPr>
                <w:rFonts w:hint="eastAsia"/>
                <w:b/>
                <w:bCs/>
                <w:color w:val="auto"/>
              </w:rPr>
              <w:t>1、环境空气质量现状</w:t>
            </w:r>
          </w:p>
          <w:p w14:paraId="50121F76">
            <w:pPr>
              <w:widowControl/>
              <w:spacing w:line="500" w:lineRule="exact"/>
              <w:ind w:firstLine="480" w:firstLineChars="200"/>
              <w:jc w:val="left"/>
              <w:rPr>
                <w:color w:val="auto"/>
              </w:rPr>
            </w:pPr>
            <w:r>
              <w:rPr>
                <w:rFonts w:hint="eastAsia"/>
                <w:color w:val="auto"/>
              </w:rPr>
              <w:t>（1）基本污染物</w:t>
            </w:r>
          </w:p>
          <w:p w14:paraId="68169A98">
            <w:pPr>
              <w:widowControl/>
              <w:spacing w:line="500" w:lineRule="exact"/>
              <w:ind w:firstLine="480" w:firstLineChars="200"/>
              <w:jc w:val="left"/>
              <w:rPr>
                <w:color w:val="auto"/>
              </w:rPr>
            </w:pPr>
            <w:r>
              <w:rPr>
                <w:color w:val="auto"/>
              </w:rPr>
              <w:t>本项目位于内蒙古自治区鄂尔多斯市</w:t>
            </w:r>
            <w:r>
              <w:rPr>
                <w:color w:val="0000FF"/>
              </w:rPr>
              <w:commentReference w:id="26"/>
            </w:r>
            <w:r>
              <w:rPr>
                <w:rFonts w:hint="eastAsia"/>
                <w:color w:val="0000FF"/>
              </w:rPr>
              <w:t>鄂托克经济开发区蒙西产业园</w:t>
            </w:r>
            <w:r>
              <w:rPr>
                <w:color w:val="auto"/>
              </w:rPr>
              <w:t>，项目所在地环境空气质量为2类功能区，因此该地区环境空气质量执行《环境空气质量标准》(GB3095-20</w:t>
            </w:r>
            <w:r>
              <w:rPr>
                <w:rFonts w:hint="eastAsia"/>
                <w:color w:val="auto"/>
                <w:lang w:val="en-US" w:eastAsia="zh-CN"/>
              </w:rPr>
              <w:t>26</w:t>
            </w:r>
            <w:r>
              <w:rPr>
                <w:color w:val="auto"/>
              </w:rPr>
              <w:t>)中</w:t>
            </w:r>
            <w:r>
              <w:rPr>
                <w:rFonts w:hint="eastAsia"/>
                <w:color w:val="auto"/>
                <w:lang w:val="en-US" w:eastAsia="zh-CN"/>
              </w:rPr>
              <w:t>过渡期</w:t>
            </w:r>
            <w:r>
              <w:rPr>
                <w:rFonts w:hint="eastAsia"/>
                <w:color w:val="auto"/>
              </w:rPr>
              <w:t>二</w:t>
            </w:r>
            <w:r>
              <w:rPr>
                <w:color w:val="auto"/>
              </w:rPr>
              <w:t>级标准。</w:t>
            </w:r>
          </w:p>
          <w:p w14:paraId="19A19D10">
            <w:pPr>
              <w:keepNext w:val="0"/>
              <w:keepLines w:val="0"/>
              <w:pageBreakBefore w:val="0"/>
              <w:widowControl/>
              <w:kinsoku/>
              <w:wordWrap/>
              <w:overflowPunct/>
              <w:topLinePunct w:val="0"/>
              <w:autoSpaceDE w:val="0"/>
              <w:autoSpaceDN w:val="0"/>
              <w:bidi w:val="0"/>
              <w:adjustRightInd w:val="0"/>
              <w:snapToGrid w:val="0"/>
              <w:spacing w:line="500" w:lineRule="exact"/>
              <w:ind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w:t>
            </w:r>
            <w:r>
              <w:rPr>
                <w:rFonts w:hint="default" w:ascii="Times New Roman" w:hAnsi="Times New Roman" w:eastAsia="宋体" w:cs="Times New Roman"/>
                <w:color w:val="auto"/>
                <w:sz w:val="24"/>
                <w:szCs w:val="24"/>
                <w:highlight w:val="none"/>
                <w:lang w:eastAsia="zh-CN"/>
              </w:rPr>
              <w:t>次</w:t>
            </w:r>
            <w:r>
              <w:rPr>
                <w:rFonts w:hint="default" w:ascii="Times New Roman" w:hAnsi="Times New Roman" w:eastAsia="宋体" w:cs="Times New Roman"/>
                <w:color w:val="auto"/>
                <w:sz w:val="24"/>
                <w:szCs w:val="24"/>
                <w:highlight w:val="none"/>
              </w:rPr>
              <w:t>评价收集了</w:t>
            </w:r>
            <w:commentRangeStart w:id="27"/>
            <w:commentRangeStart w:id="28"/>
            <w:r>
              <w:rPr>
                <w:rFonts w:hint="eastAsia"/>
                <w:color w:val="auto"/>
                <w:lang w:val="en-US" w:eastAsia="zh-CN"/>
              </w:rPr>
              <w:t>鄂尔多斯市蒙西</w:t>
            </w:r>
            <w:r>
              <w:rPr>
                <w:rFonts w:hint="default" w:ascii="Times New Roman" w:hAnsi="Times New Roman" w:eastAsia="宋体" w:cs="Times New Roman"/>
                <w:color w:val="auto"/>
                <w:sz w:val="24"/>
                <w:szCs w:val="24"/>
                <w:highlight w:val="none"/>
              </w:rPr>
              <w:t>环境监测站环境空气自动监测系统</w:t>
            </w:r>
            <w:commentRangeEnd w:id="27"/>
            <w:r>
              <w:rPr>
                <w:color w:val="auto"/>
              </w:rPr>
              <w:commentReference w:id="27"/>
            </w:r>
            <w:commentRangeEnd w:id="28"/>
            <w:r>
              <w:commentReference w:id="28"/>
            </w:r>
            <w:r>
              <w:rPr>
                <w:rFonts w:hint="default" w:ascii="Times New Roman" w:hAnsi="Times New Roman" w:eastAsia="宋体" w:cs="Times New Roman"/>
                <w:color w:val="auto"/>
                <w:sz w:val="24"/>
                <w:szCs w:val="24"/>
                <w:highlight w:val="none"/>
                <w:lang w:val="en-US" w:eastAsia="zh-CN"/>
              </w:rPr>
              <w:t>202</w:t>
            </w:r>
            <w:r>
              <w:rPr>
                <w:rFonts w:hint="eastAsia"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年全年例行监测数据</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监测项目为</w:t>
            </w:r>
            <w:r>
              <w:rPr>
                <w:rFonts w:hint="default" w:ascii="Times New Roman" w:hAnsi="Times New Roman" w:eastAsia="宋体" w:cs="Times New Roman"/>
                <w:color w:val="auto"/>
                <w:sz w:val="24"/>
                <w:szCs w:val="24"/>
                <w:highlight w:val="none"/>
                <w:lang w:val="en-US" w:eastAsia="zh-CN"/>
              </w:rPr>
              <w:t>PM</w:t>
            </w:r>
            <w:r>
              <w:rPr>
                <w:rFonts w:hint="default" w:ascii="Times New Roman" w:hAnsi="Times New Roman" w:eastAsia="宋体" w:cs="Times New Roman"/>
                <w:color w:val="auto"/>
                <w:sz w:val="24"/>
                <w:szCs w:val="24"/>
                <w:highlight w:val="none"/>
                <w:vertAlign w:val="subscript"/>
                <w:lang w:val="en-US" w:eastAsia="zh-CN"/>
              </w:rPr>
              <w:t>2.5</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l0</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、CO、O</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六项，统计结果见</w:t>
            </w:r>
            <w:r>
              <w:rPr>
                <w:rFonts w:hint="default" w:ascii="Times New Roman" w:hAnsi="Times New Roman" w:eastAsia="宋体" w:cs="Times New Roman"/>
                <w:color w:val="auto"/>
                <w:sz w:val="24"/>
                <w:szCs w:val="24"/>
                <w:highlight w:val="none"/>
                <w:lang w:val="en-US" w:eastAsia="zh-CN"/>
              </w:rPr>
              <w:t>下</w:t>
            </w:r>
            <w:r>
              <w:rPr>
                <w:rFonts w:hint="default" w:ascii="Times New Roman" w:hAnsi="Times New Roman" w:eastAsia="宋体" w:cs="Times New Roman"/>
                <w:color w:val="auto"/>
                <w:sz w:val="24"/>
                <w:szCs w:val="24"/>
                <w:highlight w:val="none"/>
              </w:rPr>
              <w:t>表。</w:t>
            </w:r>
          </w:p>
          <w:p w14:paraId="4C3011B7">
            <w:pPr>
              <w:widowControl/>
              <w:adjustRightInd w:val="0"/>
              <w:snapToGrid w:val="0"/>
              <w:spacing w:line="500" w:lineRule="exact"/>
              <w:jc w:val="center"/>
              <w:rPr>
                <w:b/>
                <w:bCs/>
                <w:color w:val="auto"/>
                <w:highlight w:val="none"/>
              </w:rPr>
            </w:pPr>
            <w:r>
              <w:rPr>
                <w:b/>
                <w:bCs/>
                <w:color w:val="auto"/>
                <w:highlight w:val="none"/>
              </w:rPr>
              <w:t xml:space="preserve">表3-1 </w:t>
            </w:r>
            <w:commentRangeStart w:id="29"/>
            <w:commentRangeStart w:id="30"/>
            <w:r>
              <w:rPr>
                <w:b/>
                <w:bCs/>
                <w:color w:val="auto"/>
                <w:highlight w:val="none"/>
              </w:rPr>
              <w:t>鄂尔多斯市环境空气质量现状评价表</w:t>
            </w:r>
            <w:commentRangeEnd w:id="29"/>
            <w:r>
              <w:rPr>
                <w:color w:val="auto"/>
              </w:rPr>
              <w:commentReference w:id="29"/>
            </w:r>
            <w:commentRangeEnd w:id="30"/>
            <w:r>
              <w:commentReference w:id="30"/>
            </w:r>
          </w:p>
          <w:tbl>
            <w:tblPr>
              <w:tblStyle w:val="25"/>
              <w:tblW w:w="85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2188"/>
              <w:gridCol w:w="1376"/>
              <w:gridCol w:w="1315"/>
              <w:gridCol w:w="1651"/>
              <w:gridCol w:w="1121"/>
            </w:tblGrid>
            <w:tr w14:paraId="43C0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tcBorders>
                    <w:top w:val="single" w:color="auto" w:sz="4" w:space="0"/>
                    <w:left w:val="single" w:color="auto" w:sz="4" w:space="0"/>
                    <w:bottom w:val="single" w:color="auto" w:sz="4" w:space="0"/>
                    <w:right w:val="single" w:color="auto" w:sz="4" w:space="0"/>
                  </w:tcBorders>
                  <w:noWrap w:val="0"/>
                  <w:vAlign w:val="center"/>
                </w:tcPr>
                <w:p w14:paraId="1CE18F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污染物</w:t>
                  </w:r>
                </w:p>
              </w:tc>
              <w:tc>
                <w:tcPr>
                  <w:tcW w:w="2188" w:type="dxa"/>
                  <w:tcBorders>
                    <w:top w:val="single" w:color="auto" w:sz="4" w:space="0"/>
                    <w:left w:val="single" w:color="auto" w:sz="4" w:space="0"/>
                    <w:bottom w:val="single" w:color="auto" w:sz="4" w:space="0"/>
                    <w:right w:val="single" w:color="auto" w:sz="4" w:space="0"/>
                  </w:tcBorders>
                  <w:noWrap w:val="0"/>
                  <w:vAlign w:val="center"/>
                </w:tcPr>
                <w:p w14:paraId="329C1A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年评价指标</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573110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现状浓度/（μg/m</w:t>
                  </w:r>
                  <w:r>
                    <w:rPr>
                      <w:color w:val="auto"/>
                      <w:sz w:val="21"/>
                      <w:szCs w:val="21"/>
                      <w:highlight w:val="none"/>
                      <w:vertAlign w:val="superscript"/>
                    </w:rPr>
                    <w:t>3</w:t>
                  </w:r>
                  <w:r>
                    <w:rPr>
                      <w:color w:val="auto"/>
                      <w:sz w:val="21"/>
                      <w:szCs w:val="21"/>
                      <w:highlight w:val="none"/>
                    </w:rPr>
                    <w:t>）</w:t>
                  </w:r>
                </w:p>
              </w:tc>
              <w:tc>
                <w:tcPr>
                  <w:tcW w:w="1315" w:type="dxa"/>
                  <w:tcBorders>
                    <w:top w:val="single" w:color="auto" w:sz="4" w:space="0"/>
                    <w:left w:val="single" w:color="auto" w:sz="4" w:space="0"/>
                    <w:bottom w:val="single" w:color="auto" w:sz="4" w:space="0"/>
                    <w:right w:val="single" w:color="auto" w:sz="4" w:space="0"/>
                  </w:tcBorders>
                  <w:noWrap w:val="0"/>
                  <w:vAlign w:val="center"/>
                </w:tcPr>
                <w:p w14:paraId="71BC58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标准值/（μg/m</w:t>
                  </w:r>
                  <w:r>
                    <w:rPr>
                      <w:color w:val="auto"/>
                      <w:sz w:val="21"/>
                      <w:szCs w:val="21"/>
                      <w:highlight w:val="none"/>
                      <w:vertAlign w:val="superscript"/>
                    </w:rPr>
                    <w:t>3</w:t>
                  </w:r>
                  <w:r>
                    <w:rPr>
                      <w:color w:val="auto"/>
                      <w:sz w:val="21"/>
                      <w:szCs w:val="21"/>
                      <w:highlight w:val="none"/>
                    </w:rPr>
                    <w:t>）</w:t>
                  </w:r>
                </w:p>
              </w:tc>
              <w:tc>
                <w:tcPr>
                  <w:tcW w:w="1651" w:type="dxa"/>
                  <w:tcBorders>
                    <w:top w:val="single" w:color="auto" w:sz="4" w:space="0"/>
                    <w:left w:val="single" w:color="auto" w:sz="4" w:space="0"/>
                    <w:bottom w:val="single" w:color="auto" w:sz="4" w:space="0"/>
                    <w:right w:val="single" w:color="auto" w:sz="4" w:space="0"/>
                  </w:tcBorders>
                  <w:noWrap w:val="0"/>
                  <w:vAlign w:val="center"/>
                </w:tcPr>
                <w:p w14:paraId="4890F7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占标率</w:t>
                  </w:r>
                </w:p>
                <w:p w14:paraId="565686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w:t>
                  </w:r>
                </w:p>
              </w:tc>
              <w:tc>
                <w:tcPr>
                  <w:tcW w:w="1121" w:type="dxa"/>
                  <w:tcBorders>
                    <w:top w:val="single" w:color="auto" w:sz="4" w:space="0"/>
                    <w:left w:val="single" w:color="auto" w:sz="4" w:space="0"/>
                    <w:bottom w:val="single" w:color="auto" w:sz="4" w:space="0"/>
                    <w:right w:val="single" w:color="auto" w:sz="4" w:space="0"/>
                  </w:tcBorders>
                  <w:noWrap w:val="0"/>
                  <w:vAlign w:val="center"/>
                </w:tcPr>
                <w:p w14:paraId="022C5D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达标情况</w:t>
                  </w:r>
                </w:p>
              </w:tc>
            </w:tr>
            <w:tr w14:paraId="4F25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tcBorders>
                    <w:top w:val="single" w:color="auto" w:sz="4" w:space="0"/>
                    <w:left w:val="single" w:color="auto" w:sz="4" w:space="0"/>
                    <w:bottom w:val="single" w:color="auto" w:sz="4" w:space="0"/>
                    <w:right w:val="single" w:color="auto" w:sz="4" w:space="0"/>
                  </w:tcBorders>
                  <w:noWrap w:val="0"/>
                  <w:vAlign w:val="center"/>
                </w:tcPr>
                <w:p w14:paraId="7FB044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SO</w:t>
                  </w:r>
                  <w:r>
                    <w:rPr>
                      <w:color w:val="auto"/>
                      <w:sz w:val="21"/>
                      <w:szCs w:val="21"/>
                      <w:highlight w:val="none"/>
                      <w:vertAlign w:val="subscript"/>
                    </w:rPr>
                    <w:t>2</w:t>
                  </w:r>
                </w:p>
              </w:tc>
              <w:tc>
                <w:tcPr>
                  <w:tcW w:w="2188" w:type="dxa"/>
                  <w:tcBorders>
                    <w:top w:val="single" w:color="auto" w:sz="4" w:space="0"/>
                    <w:left w:val="single" w:color="auto" w:sz="4" w:space="0"/>
                    <w:bottom w:val="single" w:color="auto" w:sz="4" w:space="0"/>
                    <w:right w:val="single" w:color="auto" w:sz="4" w:space="0"/>
                  </w:tcBorders>
                  <w:noWrap w:val="0"/>
                  <w:vAlign w:val="center"/>
                </w:tcPr>
                <w:p w14:paraId="0312B8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年平均质量浓度</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279608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15</w:t>
                  </w:r>
                </w:p>
              </w:tc>
              <w:tc>
                <w:tcPr>
                  <w:tcW w:w="1315" w:type="dxa"/>
                  <w:tcBorders>
                    <w:top w:val="single" w:color="auto" w:sz="4" w:space="0"/>
                    <w:left w:val="single" w:color="auto" w:sz="4" w:space="0"/>
                    <w:bottom w:val="single" w:color="auto" w:sz="4" w:space="0"/>
                    <w:right w:val="single" w:color="auto" w:sz="4" w:space="0"/>
                  </w:tcBorders>
                  <w:noWrap w:val="0"/>
                  <w:vAlign w:val="center"/>
                </w:tcPr>
                <w:p w14:paraId="3E6182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60</w:t>
                  </w:r>
                </w:p>
              </w:tc>
              <w:tc>
                <w:tcPr>
                  <w:tcW w:w="1651" w:type="dxa"/>
                  <w:tcBorders>
                    <w:top w:val="single" w:color="auto" w:sz="4" w:space="0"/>
                    <w:left w:val="single" w:color="auto" w:sz="4" w:space="0"/>
                    <w:bottom w:val="single" w:color="auto" w:sz="4" w:space="0"/>
                    <w:right w:val="single" w:color="auto" w:sz="4" w:space="0"/>
                  </w:tcBorders>
                  <w:noWrap w:val="0"/>
                  <w:vAlign w:val="center"/>
                </w:tcPr>
                <w:p w14:paraId="1B3CF5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25.0</w:t>
                  </w:r>
                </w:p>
              </w:tc>
              <w:tc>
                <w:tcPr>
                  <w:tcW w:w="1121" w:type="dxa"/>
                  <w:tcBorders>
                    <w:top w:val="single" w:color="auto" w:sz="4" w:space="0"/>
                    <w:left w:val="single" w:color="auto" w:sz="4" w:space="0"/>
                    <w:bottom w:val="single" w:color="auto" w:sz="4" w:space="0"/>
                    <w:right w:val="single" w:color="auto" w:sz="4" w:space="0"/>
                  </w:tcBorders>
                  <w:noWrap w:val="0"/>
                  <w:vAlign w:val="center"/>
                </w:tcPr>
                <w:p w14:paraId="5DFAA1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达标</w:t>
                  </w:r>
                </w:p>
              </w:tc>
            </w:tr>
            <w:tr w14:paraId="6B3C8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tcBorders>
                    <w:top w:val="single" w:color="auto" w:sz="4" w:space="0"/>
                    <w:left w:val="single" w:color="auto" w:sz="4" w:space="0"/>
                    <w:bottom w:val="single" w:color="auto" w:sz="4" w:space="0"/>
                    <w:right w:val="single" w:color="auto" w:sz="4" w:space="0"/>
                  </w:tcBorders>
                  <w:noWrap w:val="0"/>
                  <w:vAlign w:val="center"/>
                </w:tcPr>
                <w:p w14:paraId="24DAF4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NO</w:t>
                  </w:r>
                  <w:r>
                    <w:rPr>
                      <w:color w:val="auto"/>
                      <w:sz w:val="21"/>
                      <w:szCs w:val="21"/>
                      <w:highlight w:val="none"/>
                      <w:vertAlign w:val="subscript"/>
                    </w:rPr>
                    <w:t>2</w:t>
                  </w:r>
                </w:p>
              </w:tc>
              <w:tc>
                <w:tcPr>
                  <w:tcW w:w="2188" w:type="dxa"/>
                  <w:tcBorders>
                    <w:top w:val="single" w:color="auto" w:sz="4" w:space="0"/>
                    <w:left w:val="single" w:color="auto" w:sz="4" w:space="0"/>
                    <w:bottom w:val="single" w:color="auto" w:sz="4" w:space="0"/>
                    <w:right w:val="single" w:color="auto" w:sz="4" w:space="0"/>
                  </w:tcBorders>
                  <w:noWrap w:val="0"/>
                  <w:vAlign w:val="center"/>
                </w:tcPr>
                <w:p w14:paraId="3225DA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年平均质量浓度</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62AB72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28</w:t>
                  </w:r>
                </w:p>
              </w:tc>
              <w:tc>
                <w:tcPr>
                  <w:tcW w:w="1315" w:type="dxa"/>
                  <w:tcBorders>
                    <w:top w:val="single" w:color="auto" w:sz="4" w:space="0"/>
                    <w:left w:val="single" w:color="auto" w:sz="4" w:space="0"/>
                    <w:bottom w:val="single" w:color="auto" w:sz="4" w:space="0"/>
                    <w:right w:val="single" w:color="auto" w:sz="4" w:space="0"/>
                  </w:tcBorders>
                  <w:noWrap w:val="0"/>
                  <w:vAlign w:val="center"/>
                </w:tcPr>
                <w:p w14:paraId="5BD5D5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40</w:t>
                  </w:r>
                </w:p>
              </w:tc>
              <w:tc>
                <w:tcPr>
                  <w:tcW w:w="1651" w:type="dxa"/>
                  <w:tcBorders>
                    <w:top w:val="single" w:color="auto" w:sz="4" w:space="0"/>
                    <w:left w:val="single" w:color="auto" w:sz="4" w:space="0"/>
                    <w:bottom w:val="single" w:color="auto" w:sz="4" w:space="0"/>
                    <w:right w:val="single" w:color="auto" w:sz="4" w:space="0"/>
                  </w:tcBorders>
                  <w:noWrap w:val="0"/>
                  <w:vAlign w:val="center"/>
                </w:tcPr>
                <w:p w14:paraId="1F6FFE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70.0</w:t>
                  </w:r>
                </w:p>
              </w:tc>
              <w:tc>
                <w:tcPr>
                  <w:tcW w:w="1121" w:type="dxa"/>
                  <w:tcBorders>
                    <w:top w:val="single" w:color="auto" w:sz="4" w:space="0"/>
                    <w:left w:val="single" w:color="auto" w:sz="4" w:space="0"/>
                    <w:bottom w:val="single" w:color="auto" w:sz="4" w:space="0"/>
                    <w:right w:val="single" w:color="auto" w:sz="4" w:space="0"/>
                  </w:tcBorders>
                  <w:noWrap w:val="0"/>
                  <w:vAlign w:val="center"/>
                </w:tcPr>
                <w:p w14:paraId="010D15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达标</w:t>
                  </w:r>
                </w:p>
              </w:tc>
            </w:tr>
            <w:tr w14:paraId="36A9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tcBorders>
                    <w:top w:val="single" w:color="auto" w:sz="4" w:space="0"/>
                    <w:left w:val="single" w:color="auto" w:sz="4" w:space="0"/>
                    <w:bottom w:val="single" w:color="auto" w:sz="4" w:space="0"/>
                    <w:right w:val="single" w:color="auto" w:sz="4" w:space="0"/>
                  </w:tcBorders>
                  <w:noWrap w:val="0"/>
                  <w:vAlign w:val="center"/>
                </w:tcPr>
                <w:p w14:paraId="0FEE54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PM</w:t>
                  </w:r>
                  <w:r>
                    <w:rPr>
                      <w:color w:val="auto"/>
                      <w:sz w:val="21"/>
                      <w:szCs w:val="21"/>
                      <w:highlight w:val="none"/>
                      <w:vertAlign w:val="subscript"/>
                    </w:rPr>
                    <w:t>10</w:t>
                  </w:r>
                </w:p>
              </w:tc>
              <w:tc>
                <w:tcPr>
                  <w:tcW w:w="2188" w:type="dxa"/>
                  <w:tcBorders>
                    <w:top w:val="single" w:color="auto" w:sz="4" w:space="0"/>
                    <w:left w:val="single" w:color="auto" w:sz="4" w:space="0"/>
                    <w:bottom w:val="single" w:color="auto" w:sz="4" w:space="0"/>
                    <w:right w:val="single" w:color="auto" w:sz="4" w:space="0"/>
                  </w:tcBorders>
                  <w:noWrap w:val="0"/>
                  <w:vAlign w:val="center"/>
                </w:tcPr>
                <w:p w14:paraId="3C85BE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年平均质量浓度</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28BBEE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61</w:t>
                  </w:r>
                </w:p>
              </w:tc>
              <w:tc>
                <w:tcPr>
                  <w:tcW w:w="1315" w:type="dxa"/>
                  <w:tcBorders>
                    <w:top w:val="single" w:color="auto" w:sz="4" w:space="0"/>
                    <w:left w:val="single" w:color="auto" w:sz="4" w:space="0"/>
                    <w:bottom w:val="single" w:color="auto" w:sz="4" w:space="0"/>
                    <w:right w:val="single" w:color="auto" w:sz="4" w:space="0"/>
                  </w:tcBorders>
                  <w:noWrap w:val="0"/>
                  <w:vAlign w:val="center"/>
                </w:tcPr>
                <w:p w14:paraId="14B325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rFonts w:hint="eastAsia"/>
                      <w:color w:val="auto"/>
                      <w:sz w:val="21"/>
                      <w:szCs w:val="21"/>
                      <w:highlight w:val="none"/>
                      <w:lang w:val="en-US" w:eastAsia="zh-CN"/>
                    </w:rPr>
                    <w:t>6</w:t>
                  </w:r>
                  <w:r>
                    <w:rPr>
                      <w:color w:val="auto"/>
                      <w:sz w:val="21"/>
                      <w:szCs w:val="21"/>
                      <w:highlight w:val="none"/>
                    </w:rPr>
                    <w:t>0</w:t>
                  </w:r>
                </w:p>
              </w:tc>
              <w:tc>
                <w:tcPr>
                  <w:tcW w:w="1651" w:type="dxa"/>
                  <w:tcBorders>
                    <w:top w:val="single" w:color="auto" w:sz="4" w:space="0"/>
                    <w:left w:val="single" w:color="auto" w:sz="4" w:space="0"/>
                    <w:bottom w:val="single" w:color="auto" w:sz="4" w:space="0"/>
                    <w:right w:val="single" w:color="auto" w:sz="4" w:space="0"/>
                  </w:tcBorders>
                  <w:noWrap w:val="0"/>
                  <w:vAlign w:val="center"/>
                </w:tcPr>
                <w:p w14:paraId="34BABD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101.7</w:t>
                  </w:r>
                </w:p>
              </w:tc>
              <w:tc>
                <w:tcPr>
                  <w:tcW w:w="1121" w:type="dxa"/>
                  <w:tcBorders>
                    <w:top w:val="single" w:color="auto" w:sz="4" w:space="0"/>
                    <w:left w:val="single" w:color="auto" w:sz="4" w:space="0"/>
                    <w:bottom w:val="single" w:color="auto" w:sz="4" w:space="0"/>
                    <w:right w:val="single" w:color="auto" w:sz="4" w:space="0"/>
                  </w:tcBorders>
                  <w:noWrap w:val="0"/>
                  <w:vAlign w:val="center"/>
                </w:tcPr>
                <w:p w14:paraId="4DAC14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rFonts w:hint="eastAsia"/>
                      <w:color w:val="0000FF"/>
                      <w:sz w:val="21"/>
                      <w:szCs w:val="21"/>
                      <w:highlight w:val="none"/>
                      <w:lang w:val="en-US" w:eastAsia="zh-CN"/>
                    </w:rPr>
                    <w:t>超</w:t>
                  </w:r>
                  <w:commentRangeStart w:id="31"/>
                  <w:r>
                    <w:rPr>
                      <w:color w:val="0000FF"/>
                      <w:sz w:val="21"/>
                      <w:szCs w:val="21"/>
                      <w:highlight w:val="none"/>
                    </w:rPr>
                    <w:t>标</w:t>
                  </w:r>
                  <w:commentRangeEnd w:id="31"/>
                  <w:r>
                    <w:rPr>
                      <w:color w:val="0000FF"/>
                    </w:rPr>
                    <w:commentReference w:id="31"/>
                  </w:r>
                </w:p>
              </w:tc>
            </w:tr>
            <w:tr w14:paraId="1228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tcBorders>
                    <w:top w:val="single" w:color="auto" w:sz="4" w:space="0"/>
                    <w:left w:val="single" w:color="auto" w:sz="4" w:space="0"/>
                    <w:bottom w:val="single" w:color="auto" w:sz="4" w:space="0"/>
                    <w:right w:val="single" w:color="auto" w:sz="4" w:space="0"/>
                  </w:tcBorders>
                  <w:noWrap w:val="0"/>
                  <w:vAlign w:val="center"/>
                </w:tcPr>
                <w:p w14:paraId="52F63A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PM</w:t>
                  </w:r>
                  <w:r>
                    <w:rPr>
                      <w:color w:val="auto"/>
                      <w:sz w:val="21"/>
                      <w:szCs w:val="21"/>
                      <w:highlight w:val="none"/>
                      <w:vertAlign w:val="subscript"/>
                    </w:rPr>
                    <w:t>2.5</w:t>
                  </w:r>
                </w:p>
              </w:tc>
              <w:tc>
                <w:tcPr>
                  <w:tcW w:w="2188" w:type="dxa"/>
                  <w:tcBorders>
                    <w:top w:val="single" w:color="auto" w:sz="4" w:space="0"/>
                    <w:left w:val="single" w:color="auto" w:sz="4" w:space="0"/>
                    <w:bottom w:val="single" w:color="auto" w:sz="4" w:space="0"/>
                    <w:right w:val="single" w:color="auto" w:sz="4" w:space="0"/>
                  </w:tcBorders>
                  <w:noWrap w:val="0"/>
                  <w:vAlign w:val="center"/>
                </w:tcPr>
                <w:p w14:paraId="3FE139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年平均质量浓度</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0EF2D4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18</w:t>
                  </w:r>
                </w:p>
              </w:tc>
              <w:tc>
                <w:tcPr>
                  <w:tcW w:w="1315" w:type="dxa"/>
                  <w:tcBorders>
                    <w:top w:val="single" w:color="auto" w:sz="4" w:space="0"/>
                    <w:left w:val="single" w:color="auto" w:sz="4" w:space="0"/>
                    <w:bottom w:val="single" w:color="auto" w:sz="4" w:space="0"/>
                    <w:right w:val="single" w:color="auto" w:sz="4" w:space="0"/>
                  </w:tcBorders>
                  <w:noWrap w:val="0"/>
                  <w:vAlign w:val="center"/>
                </w:tcPr>
                <w:p w14:paraId="7095AB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eastAsia="宋体"/>
                      <w:color w:val="auto"/>
                      <w:sz w:val="21"/>
                      <w:szCs w:val="21"/>
                      <w:highlight w:val="none"/>
                      <w:lang w:eastAsia="zh-CN"/>
                    </w:rPr>
                  </w:pPr>
                  <w:r>
                    <w:rPr>
                      <w:color w:val="auto"/>
                      <w:sz w:val="21"/>
                      <w:szCs w:val="21"/>
                      <w:highlight w:val="none"/>
                    </w:rPr>
                    <w:t>3</w:t>
                  </w:r>
                  <w:r>
                    <w:rPr>
                      <w:rFonts w:hint="eastAsia"/>
                      <w:color w:val="auto"/>
                      <w:sz w:val="21"/>
                      <w:szCs w:val="21"/>
                      <w:highlight w:val="none"/>
                      <w:lang w:val="en-US" w:eastAsia="zh-CN"/>
                    </w:rPr>
                    <w:t>0</w:t>
                  </w:r>
                </w:p>
              </w:tc>
              <w:tc>
                <w:tcPr>
                  <w:tcW w:w="1651" w:type="dxa"/>
                  <w:tcBorders>
                    <w:top w:val="single" w:color="auto" w:sz="4" w:space="0"/>
                    <w:left w:val="single" w:color="auto" w:sz="4" w:space="0"/>
                    <w:bottom w:val="single" w:color="auto" w:sz="4" w:space="0"/>
                    <w:right w:val="single" w:color="auto" w:sz="4" w:space="0"/>
                  </w:tcBorders>
                  <w:noWrap w:val="0"/>
                  <w:vAlign w:val="center"/>
                </w:tcPr>
                <w:p w14:paraId="6D18B9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60.0</w:t>
                  </w:r>
                </w:p>
              </w:tc>
              <w:tc>
                <w:tcPr>
                  <w:tcW w:w="1121" w:type="dxa"/>
                  <w:tcBorders>
                    <w:top w:val="single" w:color="auto" w:sz="4" w:space="0"/>
                    <w:left w:val="single" w:color="auto" w:sz="4" w:space="0"/>
                    <w:bottom w:val="single" w:color="auto" w:sz="4" w:space="0"/>
                    <w:right w:val="single" w:color="auto" w:sz="4" w:space="0"/>
                  </w:tcBorders>
                  <w:noWrap w:val="0"/>
                  <w:vAlign w:val="center"/>
                </w:tcPr>
                <w:p w14:paraId="05E8DB3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达标</w:t>
                  </w:r>
                </w:p>
              </w:tc>
            </w:tr>
            <w:tr w14:paraId="53BA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tcBorders>
                    <w:top w:val="single" w:color="auto" w:sz="4" w:space="0"/>
                    <w:left w:val="single" w:color="auto" w:sz="4" w:space="0"/>
                    <w:bottom w:val="single" w:color="auto" w:sz="4" w:space="0"/>
                    <w:right w:val="single" w:color="auto" w:sz="4" w:space="0"/>
                  </w:tcBorders>
                  <w:noWrap w:val="0"/>
                  <w:vAlign w:val="center"/>
                </w:tcPr>
                <w:p w14:paraId="67161B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CO</w:t>
                  </w:r>
                </w:p>
              </w:tc>
              <w:tc>
                <w:tcPr>
                  <w:tcW w:w="2188" w:type="dxa"/>
                  <w:tcBorders>
                    <w:top w:val="single" w:color="auto" w:sz="4" w:space="0"/>
                    <w:left w:val="single" w:color="auto" w:sz="4" w:space="0"/>
                    <w:bottom w:val="single" w:color="auto" w:sz="4" w:space="0"/>
                    <w:right w:val="single" w:color="auto" w:sz="4" w:space="0"/>
                  </w:tcBorders>
                  <w:noWrap w:val="0"/>
                  <w:vAlign w:val="center"/>
                </w:tcPr>
                <w:p w14:paraId="17604A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24小时平均第95百分位数浓度</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3543D3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rFonts w:hint="eastAsia"/>
                      <w:color w:val="auto"/>
                      <w:sz w:val="21"/>
                      <w:szCs w:val="21"/>
                      <w:highlight w:val="none"/>
                      <w:lang w:val="en-US" w:eastAsia="zh-CN"/>
                    </w:rPr>
                    <w:t>1.4</w:t>
                  </w:r>
                  <w:r>
                    <w:rPr>
                      <w:color w:val="auto"/>
                      <w:sz w:val="21"/>
                      <w:szCs w:val="21"/>
                      <w:highlight w:val="none"/>
                    </w:rPr>
                    <w:t>mg/m</w:t>
                  </w:r>
                  <w:r>
                    <w:rPr>
                      <w:color w:val="auto"/>
                      <w:sz w:val="21"/>
                      <w:szCs w:val="21"/>
                      <w:highlight w:val="none"/>
                      <w:vertAlign w:val="superscript"/>
                    </w:rPr>
                    <w:t>3</w:t>
                  </w:r>
                </w:p>
              </w:tc>
              <w:tc>
                <w:tcPr>
                  <w:tcW w:w="1315" w:type="dxa"/>
                  <w:tcBorders>
                    <w:top w:val="single" w:color="auto" w:sz="4" w:space="0"/>
                    <w:left w:val="single" w:color="auto" w:sz="4" w:space="0"/>
                    <w:bottom w:val="single" w:color="auto" w:sz="4" w:space="0"/>
                    <w:right w:val="single" w:color="auto" w:sz="4" w:space="0"/>
                  </w:tcBorders>
                  <w:noWrap w:val="0"/>
                  <w:vAlign w:val="center"/>
                </w:tcPr>
                <w:p w14:paraId="1A9371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4mg/m</w:t>
                  </w:r>
                  <w:r>
                    <w:rPr>
                      <w:color w:val="auto"/>
                      <w:sz w:val="21"/>
                      <w:szCs w:val="21"/>
                      <w:highlight w:val="none"/>
                      <w:vertAlign w:val="superscript"/>
                    </w:rPr>
                    <w:t>3</w:t>
                  </w:r>
                </w:p>
              </w:tc>
              <w:tc>
                <w:tcPr>
                  <w:tcW w:w="1651" w:type="dxa"/>
                  <w:tcBorders>
                    <w:top w:val="single" w:color="auto" w:sz="4" w:space="0"/>
                    <w:left w:val="single" w:color="auto" w:sz="4" w:space="0"/>
                    <w:bottom w:val="single" w:color="auto" w:sz="4" w:space="0"/>
                    <w:right w:val="single" w:color="auto" w:sz="4" w:space="0"/>
                  </w:tcBorders>
                  <w:noWrap w:val="0"/>
                  <w:vAlign w:val="center"/>
                </w:tcPr>
                <w:p w14:paraId="20087B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rFonts w:hint="eastAsia"/>
                      <w:color w:val="auto"/>
                      <w:sz w:val="21"/>
                      <w:szCs w:val="21"/>
                      <w:highlight w:val="none"/>
                      <w:lang w:val="en-US" w:eastAsia="zh-CN"/>
                    </w:rPr>
                    <w:t>35</w:t>
                  </w:r>
                  <w:r>
                    <w:rPr>
                      <w:color w:val="auto"/>
                      <w:sz w:val="21"/>
                      <w:szCs w:val="21"/>
                      <w:highlight w:val="none"/>
                    </w:rPr>
                    <w:t>.0</w:t>
                  </w:r>
                </w:p>
              </w:tc>
              <w:tc>
                <w:tcPr>
                  <w:tcW w:w="1121" w:type="dxa"/>
                  <w:tcBorders>
                    <w:top w:val="single" w:color="auto" w:sz="4" w:space="0"/>
                    <w:left w:val="single" w:color="auto" w:sz="4" w:space="0"/>
                    <w:bottom w:val="single" w:color="auto" w:sz="4" w:space="0"/>
                    <w:right w:val="single" w:color="auto" w:sz="4" w:space="0"/>
                  </w:tcBorders>
                  <w:noWrap w:val="0"/>
                  <w:vAlign w:val="center"/>
                </w:tcPr>
                <w:p w14:paraId="2F02EA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达标</w:t>
                  </w:r>
                </w:p>
              </w:tc>
            </w:tr>
            <w:tr w14:paraId="7DFE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tcBorders>
                    <w:top w:val="single" w:color="auto" w:sz="4" w:space="0"/>
                    <w:left w:val="single" w:color="auto" w:sz="4" w:space="0"/>
                    <w:bottom w:val="single" w:color="auto" w:sz="4" w:space="0"/>
                    <w:right w:val="single" w:color="auto" w:sz="4" w:space="0"/>
                  </w:tcBorders>
                  <w:noWrap w:val="0"/>
                  <w:vAlign w:val="center"/>
                </w:tcPr>
                <w:p w14:paraId="56FD77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O</w:t>
                  </w:r>
                  <w:r>
                    <w:rPr>
                      <w:color w:val="auto"/>
                      <w:sz w:val="21"/>
                      <w:szCs w:val="21"/>
                      <w:highlight w:val="none"/>
                      <w:vertAlign w:val="subscript"/>
                    </w:rPr>
                    <w:t>3</w:t>
                  </w:r>
                </w:p>
              </w:tc>
              <w:tc>
                <w:tcPr>
                  <w:tcW w:w="2188" w:type="dxa"/>
                  <w:tcBorders>
                    <w:top w:val="single" w:color="auto" w:sz="4" w:space="0"/>
                    <w:left w:val="single" w:color="auto" w:sz="4" w:space="0"/>
                    <w:bottom w:val="single" w:color="auto" w:sz="4" w:space="0"/>
                    <w:right w:val="single" w:color="auto" w:sz="4" w:space="0"/>
                  </w:tcBorders>
                  <w:noWrap w:val="0"/>
                  <w:vAlign w:val="center"/>
                </w:tcPr>
                <w:p w14:paraId="3A9B3F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日最大8小时平均第90百分位数浓度</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2884B0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142</w:t>
                  </w:r>
                </w:p>
              </w:tc>
              <w:tc>
                <w:tcPr>
                  <w:tcW w:w="1315" w:type="dxa"/>
                  <w:tcBorders>
                    <w:top w:val="single" w:color="auto" w:sz="4" w:space="0"/>
                    <w:left w:val="single" w:color="auto" w:sz="4" w:space="0"/>
                    <w:bottom w:val="single" w:color="auto" w:sz="4" w:space="0"/>
                    <w:right w:val="single" w:color="auto" w:sz="4" w:space="0"/>
                  </w:tcBorders>
                  <w:noWrap w:val="0"/>
                  <w:vAlign w:val="center"/>
                </w:tcPr>
                <w:p w14:paraId="705692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160</w:t>
                  </w:r>
                </w:p>
              </w:tc>
              <w:tc>
                <w:tcPr>
                  <w:tcW w:w="1651" w:type="dxa"/>
                  <w:tcBorders>
                    <w:top w:val="single" w:color="auto" w:sz="4" w:space="0"/>
                    <w:left w:val="single" w:color="auto" w:sz="4" w:space="0"/>
                    <w:bottom w:val="single" w:color="auto" w:sz="4" w:space="0"/>
                    <w:right w:val="single" w:color="auto" w:sz="4" w:space="0"/>
                  </w:tcBorders>
                  <w:noWrap w:val="0"/>
                  <w:vAlign w:val="center"/>
                </w:tcPr>
                <w:p w14:paraId="005729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88.8</w:t>
                  </w:r>
                </w:p>
              </w:tc>
              <w:tc>
                <w:tcPr>
                  <w:tcW w:w="1121" w:type="dxa"/>
                  <w:tcBorders>
                    <w:top w:val="single" w:color="auto" w:sz="4" w:space="0"/>
                    <w:left w:val="single" w:color="auto" w:sz="4" w:space="0"/>
                    <w:bottom w:val="single" w:color="auto" w:sz="4" w:space="0"/>
                    <w:right w:val="single" w:color="auto" w:sz="4" w:space="0"/>
                  </w:tcBorders>
                  <w:noWrap w:val="0"/>
                  <w:vAlign w:val="center"/>
                </w:tcPr>
                <w:p w14:paraId="383DD5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highlight w:val="none"/>
                    </w:rPr>
                  </w:pPr>
                  <w:r>
                    <w:rPr>
                      <w:color w:val="auto"/>
                      <w:sz w:val="21"/>
                      <w:szCs w:val="21"/>
                      <w:highlight w:val="none"/>
                    </w:rPr>
                    <w:t>达标</w:t>
                  </w:r>
                </w:p>
              </w:tc>
            </w:tr>
          </w:tbl>
          <w:p w14:paraId="7F0F1CF7">
            <w:pPr>
              <w:keepNext/>
              <w:keepLines/>
              <w:pageBreakBefore w:val="0"/>
              <w:widowControl w:val="0"/>
              <w:kinsoku/>
              <w:wordWrap/>
              <w:overflowPunct/>
              <w:topLinePunct w:val="0"/>
              <w:autoSpaceDE/>
              <w:autoSpaceDN/>
              <w:bidi w:val="0"/>
              <w:adjustRightInd/>
              <w:snapToGrid/>
              <w:spacing w:before="0" w:after="0" w:line="480" w:lineRule="exact"/>
              <w:ind w:firstLine="480" w:firstLineChars="200"/>
              <w:textAlignment w:val="auto"/>
              <w:outlineLvl w:val="9"/>
              <w:rPr>
                <w:color w:val="auto"/>
              </w:rPr>
            </w:pPr>
            <w:r>
              <w:rPr>
                <w:bCs/>
                <w:color w:val="auto"/>
                <w:highlight w:val="none"/>
              </w:rPr>
              <w:t>由上表可知，鄂尔多斯市</w:t>
            </w:r>
            <w:r>
              <w:rPr>
                <w:rFonts w:hint="default" w:ascii="Times New Roman" w:hAnsi="Times New Roman" w:eastAsia="宋体" w:cs="Times New Roman"/>
                <w:bCs/>
                <w:color w:val="auto"/>
                <w:sz w:val="24"/>
                <w:szCs w:val="24"/>
                <w:highlight w:val="none"/>
              </w:rPr>
              <w:t>PM</w:t>
            </w:r>
            <w:r>
              <w:rPr>
                <w:rFonts w:hint="default" w:ascii="Times New Roman" w:hAnsi="Times New Roman" w:eastAsia="宋体" w:cs="Times New Roman"/>
                <w:bCs/>
                <w:color w:val="auto"/>
                <w:sz w:val="24"/>
                <w:szCs w:val="24"/>
                <w:highlight w:val="none"/>
                <w:vertAlign w:val="subscript"/>
              </w:rPr>
              <w:t>10</w:t>
            </w:r>
            <w:r>
              <w:rPr>
                <w:rFonts w:hint="default" w:ascii="Times New Roman" w:hAnsi="Times New Roman" w:eastAsia="宋体" w:cs="Times New Roman"/>
                <w:bCs/>
                <w:color w:val="auto"/>
                <w:sz w:val="24"/>
                <w:szCs w:val="24"/>
                <w:highlight w:val="none"/>
              </w:rPr>
              <w:t>超标，</w:t>
            </w:r>
            <w:r>
              <w:rPr>
                <w:rFonts w:hint="default" w:ascii="Times New Roman" w:hAnsi="Times New Roman" w:eastAsia="宋体" w:cs="Times New Roman"/>
                <w:color w:val="auto"/>
                <w:sz w:val="24"/>
                <w:szCs w:val="24"/>
                <w:highlight w:val="none"/>
                <w:lang w:val="en-US" w:eastAsia="zh-CN"/>
              </w:rPr>
              <w:t>PM</w:t>
            </w:r>
            <w:r>
              <w:rPr>
                <w:rFonts w:hint="default" w:ascii="Times New Roman" w:hAnsi="Times New Roman" w:eastAsia="宋体" w:cs="Times New Roman"/>
                <w:color w:val="auto"/>
                <w:sz w:val="24"/>
                <w:szCs w:val="24"/>
                <w:highlight w:val="none"/>
                <w:vertAlign w:val="subscript"/>
                <w:lang w:val="en-US" w:eastAsia="zh-CN"/>
              </w:rPr>
              <w:t>2.5</w:t>
            </w:r>
            <w:r>
              <w:rPr>
                <w:rFonts w:hint="default" w:ascii="Times New Roman" w:hAnsi="Times New Roman" w:eastAsia="宋体" w:cs="Times New Roman"/>
                <w:color w:val="auto"/>
                <w:sz w:val="24"/>
                <w:szCs w:val="24"/>
                <w:highlight w:val="none"/>
                <w:lang w:val="en-US" w:eastAsia="zh-CN"/>
              </w:rPr>
              <w:t>、SO</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、NO</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、O</w:t>
            </w:r>
            <w:r>
              <w:rPr>
                <w:rFonts w:hint="default" w:ascii="Times New Roman" w:hAnsi="Times New Roman" w:eastAsia="宋体" w:cs="Times New Roman"/>
                <w:color w:val="auto"/>
                <w:sz w:val="24"/>
                <w:szCs w:val="24"/>
                <w:highlight w:val="none"/>
                <w:vertAlign w:val="subscript"/>
                <w:lang w:val="en-US" w:eastAsia="zh-CN"/>
              </w:rPr>
              <w:t>3</w:t>
            </w:r>
            <w:r>
              <w:rPr>
                <w:rFonts w:hint="default" w:ascii="Times New Roman" w:hAnsi="Times New Roman" w:eastAsia="宋体" w:cs="Times New Roman"/>
                <w:color w:val="auto"/>
                <w:sz w:val="24"/>
                <w:szCs w:val="24"/>
                <w:highlight w:val="none"/>
                <w:lang w:val="en-US" w:eastAsia="zh-CN"/>
              </w:rPr>
              <w:t>、CO均满足《环境空气质量标准》（GB3095-2026）中过渡期二级标准，项目所在区域为不达标区。</w:t>
            </w:r>
          </w:p>
          <w:p w14:paraId="28EAD2D5">
            <w:pPr>
              <w:pStyle w:val="24"/>
              <w:pageBreakBefore w:val="0"/>
              <w:widowControl w:val="0"/>
              <w:kinsoku/>
              <w:wordWrap/>
              <w:overflowPunct/>
              <w:topLinePunct w:val="0"/>
              <w:autoSpaceDE/>
              <w:autoSpaceDN/>
              <w:bidi w:val="0"/>
              <w:adjustRightInd/>
              <w:snapToGrid/>
              <w:spacing w:after="0" w:line="480" w:lineRule="exact"/>
              <w:ind w:left="0" w:leftChars="0" w:firstLine="480" w:firstLineChars="200"/>
              <w:textAlignment w:val="auto"/>
              <w:rPr>
                <w:color w:val="auto"/>
              </w:rPr>
            </w:pPr>
            <w:r>
              <w:rPr>
                <w:rFonts w:hint="eastAsia"/>
                <w:color w:val="auto"/>
              </w:rPr>
              <w:t>（2）</w:t>
            </w:r>
            <w:r>
              <w:rPr>
                <w:color w:val="auto"/>
              </w:rPr>
              <w:t>特征污染物</w:t>
            </w:r>
          </w:p>
          <w:p w14:paraId="301D6115">
            <w:pPr>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rPr>
            </w:pPr>
            <w:r>
              <w:rPr>
                <w:color w:val="auto"/>
              </w:rPr>
              <w:t>本项目运营过程中排放的特征污染物主要是颗粒物</w:t>
            </w:r>
            <w:r>
              <w:rPr>
                <w:rFonts w:hint="eastAsia"/>
                <w:color w:val="auto"/>
              </w:rPr>
              <w:t>、非甲烷总烃和硫酸雾</w:t>
            </w:r>
            <w:r>
              <w:rPr>
                <w:color w:val="auto"/>
              </w:rPr>
              <w:t>，本次评价</w:t>
            </w:r>
            <w:r>
              <w:rPr>
                <w:rFonts w:hint="eastAsia"/>
                <w:color w:val="auto"/>
              </w:rPr>
              <w:t>由</w:t>
            </w:r>
            <w:r>
              <w:rPr>
                <w:color w:val="auto"/>
              </w:rPr>
              <w:t>建设单位委托</w:t>
            </w:r>
            <w:r>
              <w:rPr>
                <w:rFonts w:hint="eastAsia"/>
                <w:color w:val="auto"/>
              </w:rPr>
              <w:t>内蒙古泽铭</w:t>
            </w:r>
            <w:r>
              <w:rPr>
                <w:color w:val="auto"/>
              </w:rPr>
              <w:t>技术</w:t>
            </w:r>
            <w:r>
              <w:rPr>
                <w:rFonts w:hint="eastAsia"/>
                <w:color w:val="auto"/>
              </w:rPr>
              <w:t>检测</w:t>
            </w:r>
            <w:r>
              <w:rPr>
                <w:color w:val="auto"/>
              </w:rPr>
              <w:t>有限公司于202</w:t>
            </w:r>
            <w:r>
              <w:rPr>
                <w:rFonts w:hint="eastAsia"/>
                <w:color w:val="auto"/>
              </w:rPr>
              <w:t>5</w:t>
            </w:r>
            <w:r>
              <w:rPr>
                <w:color w:val="auto"/>
              </w:rPr>
              <w:t>年</w:t>
            </w:r>
            <w:r>
              <w:rPr>
                <w:rFonts w:hint="eastAsia"/>
                <w:color w:val="auto"/>
              </w:rPr>
              <w:t>11</w:t>
            </w:r>
            <w:r>
              <w:rPr>
                <w:color w:val="auto"/>
              </w:rPr>
              <w:t>月</w:t>
            </w:r>
            <w:r>
              <w:rPr>
                <w:rFonts w:hint="eastAsia"/>
                <w:color w:val="auto"/>
              </w:rPr>
              <w:t>11</w:t>
            </w:r>
            <w:r>
              <w:rPr>
                <w:color w:val="auto"/>
              </w:rPr>
              <w:t>日至202</w:t>
            </w:r>
            <w:r>
              <w:rPr>
                <w:rFonts w:hint="eastAsia"/>
                <w:color w:val="auto"/>
              </w:rPr>
              <w:t>5</w:t>
            </w:r>
            <w:r>
              <w:rPr>
                <w:color w:val="auto"/>
              </w:rPr>
              <w:t>年</w:t>
            </w:r>
            <w:r>
              <w:rPr>
                <w:rFonts w:hint="eastAsia"/>
                <w:color w:val="auto"/>
              </w:rPr>
              <w:t>11</w:t>
            </w:r>
            <w:r>
              <w:rPr>
                <w:color w:val="auto"/>
              </w:rPr>
              <w:t>月</w:t>
            </w:r>
            <w:r>
              <w:rPr>
                <w:rFonts w:hint="eastAsia"/>
                <w:color w:val="auto"/>
              </w:rPr>
              <w:t>13</w:t>
            </w:r>
            <w:r>
              <w:rPr>
                <w:color w:val="auto"/>
              </w:rPr>
              <w:t>日对项目厂址下风向特征污染物TSP</w:t>
            </w:r>
            <w:r>
              <w:rPr>
                <w:rFonts w:hint="eastAsia"/>
                <w:color w:val="auto"/>
              </w:rPr>
              <w:t>、非甲烷总烃和硫酸雾</w:t>
            </w:r>
            <w:r>
              <w:rPr>
                <w:color w:val="auto"/>
              </w:rPr>
              <w:t>进行现状监测。监测点布设及监测项目情况见表3-</w:t>
            </w:r>
            <w:r>
              <w:rPr>
                <w:rFonts w:hint="eastAsia"/>
                <w:color w:val="auto"/>
                <w:lang w:val="en-US" w:eastAsia="zh-CN"/>
              </w:rPr>
              <w:t>2</w:t>
            </w:r>
            <w:r>
              <w:rPr>
                <w:color w:val="auto"/>
              </w:rPr>
              <w:t>，监测结果见表3-</w:t>
            </w:r>
            <w:r>
              <w:rPr>
                <w:rFonts w:hint="eastAsia"/>
                <w:color w:val="auto"/>
                <w:lang w:val="en-US" w:eastAsia="zh-CN"/>
              </w:rPr>
              <w:t>3</w:t>
            </w:r>
            <w:r>
              <w:rPr>
                <w:color w:val="auto"/>
              </w:rPr>
              <w:t>。</w:t>
            </w:r>
          </w:p>
          <w:p w14:paraId="09BE4828">
            <w:pPr>
              <w:spacing w:line="500" w:lineRule="exact"/>
              <w:ind w:firstLine="2168" w:firstLineChars="900"/>
              <w:rPr>
                <w:b/>
                <w:bCs/>
                <w:color w:val="auto"/>
              </w:rPr>
            </w:pPr>
            <w:r>
              <w:rPr>
                <w:b/>
                <w:bCs/>
                <w:color w:val="auto"/>
              </w:rPr>
              <w:t>表3-</w:t>
            </w:r>
            <w:r>
              <w:rPr>
                <w:rFonts w:hint="eastAsia"/>
                <w:b/>
                <w:bCs/>
                <w:color w:val="auto"/>
                <w:lang w:val="en-US" w:eastAsia="zh-CN"/>
              </w:rPr>
              <w:t>2</w:t>
            </w:r>
            <w:r>
              <w:rPr>
                <w:b/>
                <w:bCs/>
                <w:color w:val="auto"/>
              </w:rPr>
              <w:t xml:space="preserve">   </w:t>
            </w:r>
            <w:r>
              <w:rPr>
                <w:rFonts w:hint="eastAsia"/>
                <w:b/>
                <w:bCs/>
                <w:color w:val="auto"/>
              </w:rPr>
              <w:t>大气</w:t>
            </w:r>
            <w:r>
              <w:rPr>
                <w:b/>
                <w:bCs/>
                <w:color w:val="auto"/>
              </w:rPr>
              <w:t>现状监测点布设情况</w:t>
            </w:r>
          </w:p>
          <w:tbl>
            <w:tblPr>
              <w:tblStyle w:val="25"/>
              <w:tblW w:w="8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1916"/>
              <w:gridCol w:w="1500"/>
              <w:gridCol w:w="1369"/>
              <w:gridCol w:w="660"/>
              <w:gridCol w:w="1065"/>
              <w:gridCol w:w="1494"/>
            </w:tblGrid>
            <w:tr w14:paraId="551D9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dxa"/>
                  <w:vMerge w:val="restart"/>
                  <w:vAlign w:val="center"/>
                </w:tcPr>
                <w:p w14:paraId="085554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color w:val="auto"/>
                      <w:sz w:val="21"/>
                      <w:szCs w:val="21"/>
                    </w:rPr>
                    <w:t>序号</w:t>
                  </w:r>
                </w:p>
              </w:tc>
              <w:tc>
                <w:tcPr>
                  <w:tcW w:w="1916" w:type="dxa"/>
                  <w:vMerge w:val="restart"/>
                  <w:vAlign w:val="center"/>
                </w:tcPr>
                <w:p w14:paraId="00CA71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color w:val="auto"/>
                      <w:sz w:val="21"/>
                      <w:szCs w:val="21"/>
                    </w:rPr>
                    <w:t>点位名称</w:t>
                  </w:r>
                </w:p>
              </w:tc>
              <w:tc>
                <w:tcPr>
                  <w:tcW w:w="2869" w:type="dxa"/>
                  <w:gridSpan w:val="2"/>
                  <w:vAlign w:val="center"/>
                </w:tcPr>
                <w:p w14:paraId="2EA14D4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color w:val="auto"/>
                      <w:sz w:val="21"/>
                      <w:szCs w:val="21"/>
                    </w:rPr>
                    <w:t>坐标</w:t>
                  </w:r>
                </w:p>
              </w:tc>
              <w:tc>
                <w:tcPr>
                  <w:tcW w:w="1725" w:type="dxa"/>
                  <w:gridSpan w:val="2"/>
                  <w:vAlign w:val="center"/>
                </w:tcPr>
                <w:p w14:paraId="4371DA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color w:val="auto"/>
                      <w:sz w:val="21"/>
                      <w:szCs w:val="21"/>
                    </w:rPr>
                    <w:t>与本项目厂址位置关系</w:t>
                  </w:r>
                </w:p>
              </w:tc>
              <w:tc>
                <w:tcPr>
                  <w:tcW w:w="1494" w:type="dxa"/>
                  <w:vMerge w:val="restart"/>
                  <w:vAlign w:val="center"/>
                </w:tcPr>
                <w:p w14:paraId="73DBC0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color w:val="auto"/>
                      <w:sz w:val="21"/>
                      <w:szCs w:val="21"/>
                    </w:rPr>
                    <w:t>监测内容</w:t>
                  </w:r>
                </w:p>
              </w:tc>
            </w:tr>
            <w:tr w14:paraId="23FF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dxa"/>
                  <w:vMerge w:val="continue"/>
                  <w:vAlign w:val="center"/>
                </w:tcPr>
                <w:p w14:paraId="48C32A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p>
              </w:tc>
              <w:tc>
                <w:tcPr>
                  <w:tcW w:w="1916" w:type="dxa"/>
                  <w:vMerge w:val="continue"/>
                  <w:vAlign w:val="center"/>
                </w:tcPr>
                <w:p w14:paraId="5D6B2B0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p>
              </w:tc>
              <w:tc>
                <w:tcPr>
                  <w:tcW w:w="1500" w:type="dxa"/>
                  <w:vAlign w:val="center"/>
                </w:tcPr>
                <w:p w14:paraId="604DB5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color w:val="auto"/>
                      <w:sz w:val="21"/>
                      <w:szCs w:val="21"/>
                    </w:rPr>
                    <w:t>经度（E）</w:t>
                  </w:r>
                </w:p>
              </w:tc>
              <w:tc>
                <w:tcPr>
                  <w:tcW w:w="1369" w:type="dxa"/>
                  <w:vAlign w:val="center"/>
                </w:tcPr>
                <w:p w14:paraId="1FC3E4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color w:val="auto"/>
                      <w:sz w:val="21"/>
                      <w:szCs w:val="21"/>
                    </w:rPr>
                    <w:t>纬度（N）</w:t>
                  </w:r>
                </w:p>
              </w:tc>
              <w:tc>
                <w:tcPr>
                  <w:tcW w:w="660" w:type="dxa"/>
                  <w:vAlign w:val="center"/>
                </w:tcPr>
                <w:p w14:paraId="7490DC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color w:val="auto"/>
                      <w:sz w:val="21"/>
                      <w:szCs w:val="21"/>
                    </w:rPr>
                    <w:t>方位</w:t>
                  </w:r>
                </w:p>
              </w:tc>
              <w:tc>
                <w:tcPr>
                  <w:tcW w:w="1065" w:type="dxa"/>
                  <w:vAlign w:val="center"/>
                </w:tcPr>
                <w:p w14:paraId="308FFB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color w:val="auto"/>
                      <w:sz w:val="21"/>
                      <w:szCs w:val="21"/>
                    </w:rPr>
                    <w:t>距离</w:t>
                  </w:r>
                  <w:r>
                    <w:rPr>
                      <w:rFonts w:hint="eastAsia"/>
                      <w:color w:val="auto"/>
                      <w:sz w:val="21"/>
                      <w:szCs w:val="21"/>
                    </w:rPr>
                    <w:t>（m）</w:t>
                  </w:r>
                </w:p>
              </w:tc>
              <w:tc>
                <w:tcPr>
                  <w:tcW w:w="1494" w:type="dxa"/>
                  <w:vMerge w:val="continue"/>
                  <w:vAlign w:val="center"/>
                </w:tcPr>
                <w:p w14:paraId="1FDD3F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p>
              </w:tc>
            </w:tr>
            <w:tr w14:paraId="1269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dxa"/>
                  <w:vAlign w:val="center"/>
                </w:tcPr>
                <w:p w14:paraId="15A7AF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color w:val="auto"/>
                      <w:sz w:val="21"/>
                      <w:szCs w:val="21"/>
                    </w:rPr>
                    <w:t>1</w:t>
                  </w:r>
                </w:p>
              </w:tc>
              <w:tc>
                <w:tcPr>
                  <w:tcW w:w="1916" w:type="dxa"/>
                  <w:vAlign w:val="center"/>
                </w:tcPr>
                <w:p w14:paraId="0AFD16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color w:val="auto"/>
                      <w:sz w:val="21"/>
                      <w:szCs w:val="21"/>
                    </w:rPr>
                    <w:t>厂区下风向西北侧1200m处渠畔村</w:t>
                  </w:r>
                </w:p>
              </w:tc>
              <w:tc>
                <w:tcPr>
                  <w:tcW w:w="1500" w:type="dxa"/>
                  <w:vAlign w:val="center"/>
                </w:tcPr>
                <w:p w14:paraId="029DA0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hint="eastAsia" w:eastAsia="Times New Roman"/>
                      <w:bCs/>
                      <w:color w:val="auto"/>
                      <w:sz w:val="21"/>
                      <w:szCs w:val="21"/>
                    </w:rPr>
                    <w:t>106</w:t>
                  </w:r>
                  <w:r>
                    <w:rPr>
                      <w:rFonts w:eastAsia="Times New Roman"/>
                      <w:bCs/>
                      <w:color w:val="auto"/>
                      <w:sz w:val="21"/>
                      <w:szCs w:val="21"/>
                    </w:rPr>
                    <w:t>°</w:t>
                  </w:r>
                  <w:r>
                    <w:rPr>
                      <w:rFonts w:hint="eastAsia" w:eastAsia="Times New Roman"/>
                      <w:bCs/>
                      <w:color w:val="auto"/>
                      <w:sz w:val="21"/>
                      <w:szCs w:val="21"/>
                    </w:rPr>
                    <w:t>45</w:t>
                  </w:r>
                  <w:r>
                    <w:rPr>
                      <w:rFonts w:eastAsia="Times New Roman"/>
                      <w:bCs/>
                      <w:color w:val="auto"/>
                      <w:sz w:val="21"/>
                      <w:szCs w:val="21"/>
                    </w:rPr>
                    <w:t>′</w:t>
                  </w:r>
                  <w:r>
                    <w:rPr>
                      <w:rFonts w:hint="eastAsia" w:eastAsia="Times New Roman"/>
                      <w:bCs/>
                      <w:color w:val="auto"/>
                      <w:sz w:val="21"/>
                      <w:szCs w:val="21"/>
                    </w:rPr>
                    <w:t>3.55</w:t>
                  </w:r>
                  <w:r>
                    <w:rPr>
                      <w:rFonts w:eastAsia="Times New Roman"/>
                      <w:bCs/>
                      <w:color w:val="auto"/>
                      <w:sz w:val="21"/>
                      <w:szCs w:val="21"/>
                    </w:rPr>
                    <w:t>″</w:t>
                  </w:r>
                </w:p>
              </w:tc>
              <w:tc>
                <w:tcPr>
                  <w:tcW w:w="1369" w:type="dxa"/>
                  <w:vAlign w:val="center"/>
                </w:tcPr>
                <w:p w14:paraId="7BA22D5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hint="eastAsia"/>
                      <w:color w:val="auto"/>
                      <w:sz w:val="21"/>
                      <w:szCs w:val="21"/>
                    </w:rPr>
                    <w:t>39</w:t>
                  </w:r>
                  <w:r>
                    <w:rPr>
                      <w:rFonts w:eastAsia="Times New Roman"/>
                      <w:bCs/>
                      <w:color w:val="auto"/>
                      <w:sz w:val="21"/>
                      <w:szCs w:val="21"/>
                    </w:rPr>
                    <w:t>°</w:t>
                  </w:r>
                  <w:r>
                    <w:rPr>
                      <w:rFonts w:hint="eastAsia"/>
                      <w:color w:val="auto"/>
                      <w:sz w:val="21"/>
                      <w:szCs w:val="21"/>
                    </w:rPr>
                    <w:t>53</w:t>
                  </w:r>
                  <w:r>
                    <w:rPr>
                      <w:color w:val="auto"/>
                      <w:sz w:val="21"/>
                      <w:szCs w:val="21"/>
                    </w:rPr>
                    <w:t>′</w:t>
                  </w:r>
                  <w:r>
                    <w:rPr>
                      <w:rFonts w:hint="eastAsia"/>
                      <w:color w:val="auto"/>
                      <w:sz w:val="21"/>
                      <w:szCs w:val="21"/>
                    </w:rPr>
                    <w:t>17.22</w:t>
                  </w:r>
                  <w:r>
                    <w:rPr>
                      <w:color w:val="auto"/>
                      <w:sz w:val="21"/>
                      <w:szCs w:val="21"/>
                    </w:rPr>
                    <w:t>″</w:t>
                  </w:r>
                </w:p>
              </w:tc>
              <w:tc>
                <w:tcPr>
                  <w:tcW w:w="660" w:type="dxa"/>
                  <w:vAlign w:val="center"/>
                </w:tcPr>
                <w:p w14:paraId="31CBA0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hint="eastAsia"/>
                      <w:color w:val="auto"/>
                      <w:sz w:val="21"/>
                      <w:szCs w:val="21"/>
                    </w:rPr>
                    <w:t>NW</w:t>
                  </w:r>
                </w:p>
              </w:tc>
              <w:tc>
                <w:tcPr>
                  <w:tcW w:w="1065" w:type="dxa"/>
                  <w:vAlign w:val="center"/>
                </w:tcPr>
                <w:p w14:paraId="62B4C1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hint="eastAsia"/>
                      <w:color w:val="auto"/>
                      <w:sz w:val="21"/>
                      <w:szCs w:val="21"/>
                    </w:rPr>
                    <w:t>1200</w:t>
                  </w:r>
                </w:p>
              </w:tc>
              <w:tc>
                <w:tcPr>
                  <w:tcW w:w="1494" w:type="dxa"/>
                  <w:vAlign w:val="center"/>
                </w:tcPr>
                <w:p w14:paraId="11CCBB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color w:val="auto"/>
                      <w:sz w:val="21"/>
                      <w:szCs w:val="21"/>
                    </w:rPr>
                    <w:t>TSP</w:t>
                  </w:r>
                  <w:r>
                    <w:rPr>
                      <w:rFonts w:hint="eastAsia"/>
                      <w:color w:val="auto"/>
                      <w:sz w:val="21"/>
                      <w:szCs w:val="21"/>
                    </w:rPr>
                    <w:t>、非甲烷总烃和硫酸雾</w:t>
                  </w:r>
                </w:p>
              </w:tc>
            </w:tr>
          </w:tbl>
          <w:p w14:paraId="21DB7C54">
            <w:pPr>
              <w:pStyle w:val="6"/>
              <w:tabs>
                <w:tab w:val="left" w:pos="0"/>
              </w:tabs>
              <w:spacing w:line="500" w:lineRule="exact"/>
              <w:ind w:firstLine="2262" w:firstLineChars="939"/>
              <w:rPr>
                <w:b/>
                <w:bCs/>
                <w:color w:val="auto"/>
              </w:rPr>
            </w:pPr>
            <w:r>
              <w:rPr>
                <w:b/>
                <w:bCs/>
                <w:color w:val="auto"/>
              </w:rPr>
              <w:t>表3-</w:t>
            </w:r>
            <w:r>
              <w:rPr>
                <w:rFonts w:hint="eastAsia"/>
                <w:b/>
                <w:bCs/>
                <w:color w:val="auto"/>
                <w:lang w:val="en-US" w:eastAsia="zh-CN"/>
              </w:rPr>
              <w:t>3</w:t>
            </w:r>
            <w:r>
              <w:rPr>
                <w:b/>
                <w:bCs/>
                <w:color w:val="auto"/>
              </w:rPr>
              <w:t xml:space="preserve">    环境空气现状监测结果</w:t>
            </w:r>
          </w:p>
          <w:tbl>
            <w:tblPr>
              <w:tblStyle w:val="102"/>
              <w:tblW w:w="843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53"/>
              <w:gridCol w:w="1126"/>
              <w:gridCol w:w="1189"/>
              <w:gridCol w:w="1518"/>
              <w:gridCol w:w="1451"/>
              <w:gridCol w:w="1036"/>
              <w:gridCol w:w="857"/>
            </w:tblGrid>
            <w:tr w14:paraId="35465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trPr>
              <w:tc>
                <w:tcPr>
                  <w:tcW w:w="1253" w:type="dxa"/>
                  <w:tcBorders>
                    <w:tl2br w:val="nil"/>
                    <w:tr2bl w:val="nil"/>
                  </w:tcBorders>
                  <w:vAlign w:val="center"/>
                </w:tcPr>
                <w:p w14:paraId="5309B8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auto"/>
                      <w:sz w:val="21"/>
                      <w:szCs w:val="21"/>
                    </w:rPr>
                  </w:pPr>
                  <w:bookmarkStart w:id="2" w:name="OLE_LINK26"/>
                  <w:r>
                    <w:rPr>
                      <w:rFonts w:ascii="宋体" w:hAnsi="宋体" w:cs="宋体"/>
                      <w:color w:val="auto"/>
                      <w:sz w:val="21"/>
                      <w:szCs w:val="21"/>
                    </w:rPr>
                    <w:t>监测点名称</w:t>
                  </w:r>
                </w:p>
              </w:tc>
              <w:tc>
                <w:tcPr>
                  <w:tcW w:w="1126" w:type="dxa"/>
                  <w:tcBorders>
                    <w:tl2br w:val="nil"/>
                    <w:tr2bl w:val="nil"/>
                  </w:tcBorders>
                  <w:vAlign w:val="center"/>
                </w:tcPr>
                <w:p w14:paraId="117BCB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auto"/>
                      <w:sz w:val="21"/>
                      <w:szCs w:val="21"/>
                    </w:rPr>
                  </w:pPr>
                  <w:r>
                    <w:rPr>
                      <w:rFonts w:ascii="宋体" w:hAnsi="宋体" w:cs="宋体"/>
                      <w:color w:val="auto"/>
                      <w:sz w:val="21"/>
                      <w:szCs w:val="21"/>
                    </w:rPr>
                    <w:t>监测因子</w:t>
                  </w:r>
                </w:p>
              </w:tc>
              <w:tc>
                <w:tcPr>
                  <w:tcW w:w="1189" w:type="dxa"/>
                  <w:tcBorders>
                    <w:tl2br w:val="nil"/>
                    <w:tr2bl w:val="nil"/>
                  </w:tcBorders>
                  <w:vAlign w:val="center"/>
                </w:tcPr>
                <w:p w14:paraId="03ADD2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eastAsia="Times New Roman"/>
                      <w:color w:val="auto"/>
                      <w:sz w:val="13"/>
                      <w:szCs w:val="13"/>
                    </w:rPr>
                  </w:pPr>
                  <w:r>
                    <w:rPr>
                      <w:rFonts w:ascii="宋体" w:hAnsi="宋体" w:cs="宋体"/>
                      <w:color w:val="auto"/>
                      <w:sz w:val="21"/>
                      <w:szCs w:val="21"/>
                    </w:rPr>
                    <w:t xml:space="preserve">评价标准 </w:t>
                  </w:r>
                  <w:r>
                    <w:rPr>
                      <w:rFonts w:eastAsia="Times New Roman"/>
                      <w:color w:val="auto"/>
                      <w:sz w:val="21"/>
                      <w:szCs w:val="21"/>
                    </w:rPr>
                    <w:t>mg/m</w:t>
                  </w:r>
                  <w:r>
                    <w:rPr>
                      <w:rFonts w:eastAsia="Times New Roman"/>
                      <w:color w:val="auto"/>
                      <w:position w:val="9"/>
                      <w:sz w:val="13"/>
                      <w:szCs w:val="13"/>
                    </w:rPr>
                    <w:t>3</w:t>
                  </w:r>
                </w:p>
              </w:tc>
              <w:tc>
                <w:tcPr>
                  <w:tcW w:w="1518" w:type="dxa"/>
                  <w:tcBorders>
                    <w:tl2br w:val="nil"/>
                    <w:tr2bl w:val="nil"/>
                  </w:tcBorders>
                  <w:vAlign w:val="center"/>
                </w:tcPr>
                <w:p w14:paraId="2E977E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auto"/>
                      <w:sz w:val="21"/>
                      <w:szCs w:val="21"/>
                    </w:rPr>
                  </w:pPr>
                  <w:r>
                    <w:rPr>
                      <w:rFonts w:ascii="宋体" w:hAnsi="宋体" w:cs="宋体"/>
                      <w:color w:val="auto"/>
                      <w:sz w:val="21"/>
                      <w:szCs w:val="21"/>
                    </w:rPr>
                    <w:t>监测浓度</w:t>
                  </w:r>
                  <w:r>
                    <w:rPr>
                      <w:rFonts w:hint="eastAsia" w:ascii="宋体" w:hAnsi="宋体" w:cs="宋体"/>
                      <w:color w:val="auto"/>
                      <w:sz w:val="21"/>
                      <w:szCs w:val="21"/>
                    </w:rPr>
                    <w:t>范围</w:t>
                  </w:r>
                </w:p>
                <w:p w14:paraId="37F9BD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eastAsia="Times New Roman"/>
                      <w:color w:val="auto"/>
                      <w:sz w:val="13"/>
                      <w:szCs w:val="13"/>
                    </w:rPr>
                  </w:pPr>
                  <w:r>
                    <w:rPr>
                      <w:rFonts w:eastAsia="Times New Roman"/>
                      <w:color w:val="auto"/>
                      <w:sz w:val="21"/>
                      <w:szCs w:val="21"/>
                    </w:rPr>
                    <w:t>mg/m</w:t>
                  </w:r>
                  <w:r>
                    <w:rPr>
                      <w:rFonts w:eastAsia="Times New Roman"/>
                      <w:color w:val="auto"/>
                      <w:position w:val="9"/>
                      <w:sz w:val="13"/>
                      <w:szCs w:val="13"/>
                    </w:rPr>
                    <w:t>3</w:t>
                  </w:r>
                </w:p>
              </w:tc>
              <w:tc>
                <w:tcPr>
                  <w:tcW w:w="1451" w:type="dxa"/>
                  <w:tcBorders>
                    <w:tl2br w:val="nil"/>
                    <w:tr2bl w:val="nil"/>
                  </w:tcBorders>
                  <w:vAlign w:val="center"/>
                </w:tcPr>
                <w:p w14:paraId="31D1A0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auto"/>
                      <w:sz w:val="21"/>
                      <w:szCs w:val="21"/>
                    </w:rPr>
                  </w:pPr>
                  <w:r>
                    <w:rPr>
                      <w:rFonts w:ascii="宋体" w:hAnsi="宋体" w:cs="宋体"/>
                      <w:color w:val="auto"/>
                      <w:sz w:val="21"/>
                      <w:szCs w:val="21"/>
                    </w:rPr>
                    <w:t>最大浓度</w:t>
                  </w:r>
                </w:p>
                <w:p w14:paraId="74428A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eastAsia="Times New Roman"/>
                      <w:color w:val="auto"/>
                      <w:sz w:val="21"/>
                      <w:szCs w:val="21"/>
                    </w:rPr>
                  </w:pPr>
                  <w:r>
                    <w:rPr>
                      <w:rFonts w:ascii="宋体" w:hAnsi="宋体" w:cs="宋体"/>
                      <w:color w:val="auto"/>
                      <w:sz w:val="21"/>
                      <w:szCs w:val="21"/>
                    </w:rPr>
                    <w:t>占标率</w:t>
                  </w:r>
                  <w:r>
                    <w:rPr>
                      <w:rFonts w:eastAsia="Times New Roman"/>
                      <w:color w:val="auto"/>
                      <w:sz w:val="21"/>
                      <w:szCs w:val="21"/>
                    </w:rPr>
                    <w:t>%</w:t>
                  </w:r>
                </w:p>
              </w:tc>
              <w:tc>
                <w:tcPr>
                  <w:tcW w:w="1036" w:type="dxa"/>
                  <w:tcBorders>
                    <w:tl2br w:val="nil"/>
                    <w:tr2bl w:val="nil"/>
                  </w:tcBorders>
                  <w:vAlign w:val="center"/>
                </w:tcPr>
                <w:p w14:paraId="0752FAD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eastAsia="Times New Roman"/>
                      <w:color w:val="auto"/>
                      <w:sz w:val="21"/>
                      <w:szCs w:val="21"/>
                    </w:rPr>
                  </w:pPr>
                  <w:r>
                    <w:rPr>
                      <w:rFonts w:ascii="宋体" w:hAnsi="宋体" w:cs="宋体"/>
                      <w:color w:val="auto"/>
                      <w:sz w:val="21"/>
                      <w:szCs w:val="21"/>
                    </w:rPr>
                    <w:t>超标率</w:t>
                  </w:r>
                  <w:r>
                    <w:rPr>
                      <w:rFonts w:eastAsia="Times New Roman"/>
                      <w:color w:val="auto"/>
                      <w:sz w:val="21"/>
                      <w:szCs w:val="21"/>
                    </w:rPr>
                    <w:t>%</w:t>
                  </w:r>
                </w:p>
              </w:tc>
              <w:tc>
                <w:tcPr>
                  <w:tcW w:w="857" w:type="dxa"/>
                  <w:tcBorders>
                    <w:tl2br w:val="nil"/>
                    <w:tr2bl w:val="nil"/>
                  </w:tcBorders>
                  <w:vAlign w:val="center"/>
                </w:tcPr>
                <w:p w14:paraId="083B03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auto"/>
                      <w:sz w:val="21"/>
                      <w:szCs w:val="21"/>
                    </w:rPr>
                  </w:pPr>
                  <w:r>
                    <w:rPr>
                      <w:rFonts w:ascii="宋体" w:hAnsi="宋体" w:cs="宋体"/>
                      <w:color w:val="auto"/>
                      <w:sz w:val="21"/>
                      <w:szCs w:val="21"/>
                    </w:rPr>
                    <w:t>达标情况</w:t>
                  </w:r>
                </w:p>
              </w:tc>
            </w:tr>
            <w:tr w14:paraId="75DBF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trPr>
              <w:tc>
                <w:tcPr>
                  <w:tcW w:w="1253" w:type="dxa"/>
                  <w:vMerge w:val="restart"/>
                  <w:tcBorders>
                    <w:tl2br w:val="nil"/>
                    <w:tr2bl w:val="nil"/>
                  </w:tcBorders>
                  <w:vAlign w:val="center"/>
                </w:tcPr>
                <w:p w14:paraId="4328CA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Arial"/>
                      <w:color w:val="auto"/>
                      <w:sz w:val="21"/>
                    </w:rPr>
                  </w:pPr>
                  <w:r>
                    <w:rPr>
                      <w:color w:val="auto"/>
                      <w:sz w:val="21"/>
                      <w:szCs w:val="21"/>
                    </w:rPr>
                    <w:t>厂区下风向西北侧1200m处渠畔村</w:t>
                  </w:r>
                </w:p>
              </w:tc>
              <w:tc>
                <w:tcPr>
                  <w:tcW w:w="1126" w:type="dxa"/>
                  <w:tcBorders>
                    <w:tl2br w:val="nil"/>
                    <w:tr2bl w:val="nil"/>
                  </w:tcBorders>
                  <w:vAlign w:val="center"/>
                </w:tcPr>
                <w:p w14:paraId="40A432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13"/>
                      <w:szCs w:val="13"/>
                    </w:rPr>
                  </w:pPr>
                  <w:r>
                    <w:rPr>
                      <w:rFonts w:hint="eastAsia"/>
                      <w:color w:val="auto"/>
                      <w:sz w:val="21"/>
                      <w:szCs w:val="21"/>
                    </w:rPr>
                    <w:t>TSP</w:t>
                  </w:r>
                </w:p>
              </w:tc>
              <w:tc>
                <w:tcPr>
                  <w:tcW w:w="1189" w:type="dxa"/>
                  <w:tcBorders>
                    <w:tl2br w:val="nil"/>
                    <w:tr2bl w:val="nil"/>
                  </w:tcBorders>
                  <w:vAlign w:val="center"/>
                </w:tcPr>
                <w:p w14:paraId="262414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eastAsia="Times New Roman"/>
                      <w:color w:val="auto"/>
                      <w:sz w:val="21"/>
                      <w:szCs w:val="21"/>
                    </w:rPr>
                    <w:t>0.</w:t>
                  </w:r>
                  <w:r>
                    <w:rPr>
                      <w:rFonts w:hint="eastAsia"/>
                      <w:color w:val="auto"/>
                      <w:sz w:val="21"/>
                      <w:szCs w:val="21"/>
                    </w:rPr>
                    <w:t>3</w:t>
                  </w:r>
                </w:p>
              </w:tc>
              <w:tc>
                <w:tcPr>
                  <w:tcW w:w="1518" w:type="dxa"/>
                  <w:tcBorders>
                    <w:tl2br w:val="nil"/>
                    <w:tr2bl w:val="nil"/>
                  </w:tcBorders>
                  <w:vAlign w:val="center"/>
                </w:tcPr>
                <w:p w14:paraId="36D98A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hint="eastAsia"/>
                      <w:color w:val="auto"/>
                      <w:sz w:val="21"/>
                      <w:szCs w:val="21"/>
                    </w:rPr>
                    <w:t>0.105～0.110</w:t>
                  </w:r>
                </w:p>
              </w:tc>
              <w:tc>
                <w:tcPr>
                  <w:tcW w:w="1451" w:type="dxa"/>
                  <w:tcBorders>
                    <w:tl2br w:val="nil"/>
                    <w:tr2bl w:val="nil"/>
                  </w:tcBorders>
                  <w:vAlign w:val="center"/>
                </w:tcPr>
                <w:p w14:paraId="58D012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hint="eastAsia"/>
                      <w:color w:val="auto"/>
                      <w:sz w:val="21"/>
                      <w:szCs w:val="21"/>
                    </w:rPr>
                    <w:t>36.7</w:t>
                  </w:r>
                </w:p>
              </w:tc>
              <w:tc>
                <w:tcPr>
                  <w:tcW w:w="1036" w:type="dxa"/>
                  <w:tcBorders>
                    <w:tl2br w:val="nil"/>
                    <w:tr2bl w:val="nil"/>
                  </w:tcBorders>
                  <w:vAlign w:val="center"/>
                </w:tcPr>
                <w:p w14:paraId="170C4D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hint="eastAsia"/>
                      <w:color w:val="auto"/>
                      <w:position w:val="-1"/>
                      <w:sz w:val="21"/>
                      <w:szCs w:val="21"/>
                    </w:rPr>
                    <w:t>0</w:t>
                  </w:r>
                </w:p>
              </w:tc>
              <w:tc>
                <w:tcPr>
                  <w:tcW w:w="857" w:type="dxa"/>
                  <w:tcBorders>
                    <w:tl2br w:val="nil"/>
                    <w:tr2bl w:val="nil"/>
                  </w:tcBorders>
                  <w:vAlign w:val="center"/>
                </w:tcPr>
                <w:p w14:paraId="4ADCC6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auto"/>
                      <w:sz w:val="21"/>
                      <w:szCs w:val="21"/>
                    </w:rPr>
                  </w:pPr>
                  <w:r>
                    <w:rPr>
                      <w:rFonts w:ascii="宋体" w:hAnsi="宋体" w:cs="宋体"/>
                      <w:color w:val="auto"/>
                      <w:sz w:val="21"/>
                      <w:szCs w:val="21"/>
                    </w:rPr>
                    <w:t>达标</w:t>
                  </w:r>
                </w:p>
              </w:tc>
            </w:tr>
            <w:tr w14:paraId="24850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trPr>
              <w:tc>
                <w:tcPr>
                  <w:tcW w:w="1253" w:type="dxa"/>
                  <w:vMerge w:val="continue"/>
                  <w:tcBorders>
                    <w:tl2br w:val="nil"/>
                    <w:tr2bl w:val="nil"/>
                  </w:tcBorders>
                  <w:vAlign w:val="center"/>
                </w:tcPr>
                <w:p w14:paraId="351803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Arial"/>
                      <w:color w:val="auto"/>
                      <w:sz w:val="21"/>
                    </w:rPr>
                  </w:pPr>
                </w:p>
              </w:tc>
              <w:tc>
                <w:tcPr>
                  <w:tcW w:w="1126" w:type="dxa"/>
                  <w:tcBorders>
                    <w:tl2br w:val="nil"/>
                    <w:tr2bl w:val="nil"/>
                  </w:tcBorders>
                  <w:vAlign w:val="center"/>
                </w:tcPr>
                <w:p w14:paraId="21163E8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eastAsia="Times New Roman"/>
                      <w:color w:val="auto"/>
                      <w:sz w:val="21"/>
                      <w:szCs w:val="21"/>
                    </w:rPr>
                  </w:pPr>
                  <w:r>
                    <w:rPr>
                      <w:rFonts w:hint="eastAsia"/>
                      <w:color w:val="auto"/>
                      <w:sz w:val="21"/>
                      <w:szCs w:val="21"/>
                    </w:rPr>
                    <w:t>非甲烷总烃</w:t>
                  </w:r>
                </w:p>
              </w:tc>
              <w:tc>
                <w:tcPr>
                  <w:tcW w:w="1189" w:type="dxa"/>
                  <w:tcBorders>
                    <w:tl2br w:val="nil"/>
                    <w:tr2bl w:val="nil"/>
                  </w:tcBorders>
                  <w:vAlign w:val="center"/>
                </w:tcPr>
                <w:p w14:paraId="60E7D7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hint="eastAsia"/>
                      <w:color w:val="auto"/>
                      <w:sz w:val="21"/>
                      <w:szCs w:val="21"/>
                    </w:rPr>
                    <w:t>2.0</w:t>
                  </w:r>
                </w:p>
              </w:tc>
              <w:tc>
                <w:tcPr>
                  <w:tcW w:w="1518" w:type="dxa"/>
                  <w:tcBorders>
                    <w:tl2br w:val="nil"/>
                    <w:tr2bl w:val="nil"/>
                  </w:tcBorders>
                  <w:vAlign w:val="center"/>
                </w:tcPr>
                <w:p w14:paraId="33F854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hint="eastAsia"/>
                      <w:color w:val="auto"/>
                      <w:sz w:val="21"/>
                      <w:szCs w:val="21"/>
                    </w:rPr>
                    <w:t>0.37～0.48</w:t>
                  </w:r>
                </w:p>
              </w:tc>
              <w:tc>
                <w:tcPr>
                  <w:tcW w:w="1451" w:type="dxa"/>
                  <w:tcBorders>
                    <w:tl2br w:val="nil"/>
                    <w:tr2bl w:val="nil"/>
                  </w:tcBorders>
                  <w:vAlign w:val="center"/>
                </w:tcPr>
                <w:p w14:paraId="6C1A83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position w:val="-1"/>
                      <w:sz w:val="21"/>
                      <w:szCs w:val="21"/>
                    </w:rPr>
                  </w:pPr>
                  <w:r>
                    <w:rPr>
                      <w:rFonts w:hint="eastAsia"/>
                      <w:color w:val="auto"/>
                      <w:position w:val="-1"/>
                      <w:sz w:val="21"/>
                      <w:szCs w:val="21"/>
                    </w:rPr>
                    <w:t>24.0</w:t>
                  </w:r>
                </w:p>
              </w:tc>
              <w:tc>
                <w:tcPr>
                  <w:tcW w:w="1036" w:type="dxa"/>
                  <w:tcBorders>
                    <w:tl2br w:val="nil"/>
                    <w:tr2bl w:val="nil"/>
                  </w:tcBorders>
                  <w:vAlign w:val="center"/>
                </w:tcPr>
                <w:p w14:paraId="1B8E69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position w:val="-1"/>
                      <w:sz w:val="21"/>
                      <w:szCs w:val="21"/>
                    </w:rPr>
                  </w:pPr>
                  <w:r>
                    <w:rPr>
                      <w:rFonts w:hint="eastAsia"/>
                      <w:color w:val="auto"/>
                      <w:position w:val="-1"/>
                      <w:sz w:val="21"/>
                      <w:szCs w:val="21"/>
                    </w:rPr>
                    <w:t>0</w:t>
                  </w:r>
                </w:p>
              </w:tc>
              <w:tc>
                <w:tcPr>
                  <w:tcW w:w="857" w:type="dxa"/>
                  <w:tcBorders>
                    <w:tl2br w:val="nil"/>
                    <w:tr2bl w:val="nil"/>
                  </w:tcBorders>
                  <w:vAlign w:val="center"/>
                </w:tcPr>
                <w:p w14:paraId="4FE2D4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auto"/>
                      <w:sz w:val="21"/>
                      <w:szCs w:val="21"/>
                    </w:rPr>
                  </w:pPr>
                  <w:r>
                    <w:rPr>
                      <w:rFonts w:ascii="宋体" w:hAnsi="宋体" w:cs="宋体"/>
                      <w:color w:val="auto"/>
                      <w:sz w:val="21"/>
                      <w:szCs w:val="21"/>
                    </w:rPr>
                    <w:t>达标</w:t>
                  </w:r>
                </w:p>
              </w:tc>
            </w:tr>
            <w:tr w14:paraId="2C5EB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trPr>
              <w:tc>
                <w:tcPr>
                  <w:tcW w:w="1253" w:type="dxa"/>
                  <w:vMerge w:val="continue"/>
                  <w:tcBorders>
                    <w:tl2br w:val="nil"/>
                    <w:tr2bl w:val="nil"/>
                  </w:tcBorders>
                  <w:vAlign w:val="center"/>
                </w:tcPr>
                <w:p w14:paraId="31A671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Arial"/>
                      <w:color w:val="auto"/>
                      <w:sz w:val="21"/>
                    </w:rPr>
                  </w:pPr>
                </w:p>
              </w:tc>
              <w:tc>
                <w:tcPr>
                  <w:tcW w:w="1126" w:type="dxa"/>
                  <w:tcBorders>
                    <w:tl2br w:val="nil"/>
                    <w:tr2bl w:val="nil"/>
                  </w:tcBorders>
                  <w:vAlign w:val="center"/>
                </w:tcPr>
                <w:p w14:paraId="183E0C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hint="eastAsia"/>
                      <w:color w:val="auto"/>
                      <w:sz w:val="21"/>
                      <w:szCs w:val="21"/>
                    </w:rPr>
                    <w:t>硫酸雾</w:t>
                  </w:r>
                </w:p>
              </w:tc>
              <w:tc>
                <w:tcPr>
                  <w:tcW w:w="1189" w:type="dxa"/>
                  <w:tcBorders>
                    <w:tl2br w:val="nil"/>
                    <w:tr2bl w:val="nil"/>
                  </w:tcBorders>
                  <w:vAlign w:val="center"/>
                </w:tcPr>
                <w:p w14:paraId="26A046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hint="eastAsia"/>
                      <w:color w:val="auto"/>
                      <w:sz w:val="21"/>
                      <w:szCs w:val="21"/>
                    </w:rPr>
                    <w:t>0.3</w:t>
                  </w:r>
                </w:p>
              </w:tc>
              <w:tc>
                <w:tcPr>
                  <w:tcW w:w="1518" w:type="dxa"/>
                  <w:tcBorders>
                    <w:tl2br w:val="nil"/>
                    <w:tr2bl w:val="nil"/>
                  </w:tcBorders>
                  <w:vAlign w:val="center"/>
                </w:tcPr>
                <w:p w14:paraId="173D2C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hint="eastAsia"/>
                      <w:color w:val="auto"/>
                      <w:sz w:val="21"/>
                      <w:szCs w:val="21"/>
                    </w:rPr>
                    <w:t>ND</w:t>
                  </w:r>
                </w:p>
              </w:tc>
              <w:tc>
                <w:tcPr>
                  <w:tcW w:w="1451" w:type="dxa"/>
                  <w:tcBorders>
                    <w:tl2br w:val="nil"/>
                    <w:tr2bl w:val="nil"/>
                  </w:tcBorders>
                  <w:vAlign w:val="center"/>
                </w:tcPr>
                <w:p w14:paraId="1106CB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hint="eastAsia"/>
                      <w:color w:val="auto"/>
                      <w:position w:val="-1"/>
                      <w:sz w:val="21"/>
                      <w:szCs w:val="21"/>
                    </w:rPr>
                    <w:t>/</w:t>
                  </w:r>
                </w:p>
              </w:tc>
              <w:tc>
                <w:tcPr>
                  <w:tcW w:w="1036" w:type="dxa"/>
                  <w:tcBorders>
                    <w:tl2br w:val="nil"/>
                    <w:tr2bl w:val="nil"/>
                  </w:tcBorders>
                  <w:vAlign w:val="center"/>
                </w:tcPr>
                <w:p w14:paraId="568D9F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color w:val="auto"/>
                      <w:sz w:val="21"/>
                      <w:szCs w:val="21"/>
                    </w:rPr>
                  </w:pPr>
                  <w:r>
                    <w:rPr>
                      <w:rFonts w:hint="eastAsia"/>
                      <w:color w:val="auto"/>
                      <w:position w:val="-1"/>
                      <w:sz w:val="21"/>
                      <w:szCs w:val="21"/>
                    </w:rPr>
                    <w:t>0</w:t>
                  </w:r>
                </w:p>
              </w:tc>
              <w:tc>
                <w:tcPr>
                  <w:tcW w:w="857" w:type="dxa"/>
                  <w:tcBorders>
                    <w:tl2br w:val="nil"/>
                    <w:tr2bl w:val="nil"/>
                  </w:tcBorders>
                  <w:vAlign w:val="center"/>
                </w:tcPr>
                <w:p w14:paraId="440ACA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auto"/>
                      <w:sz w:val="21"/>
                      <w:szCs w:val="21"/>
                    </w:rPr>
                  </w:pPr>
                  <w:r>
                    <w:rPr>
                      <w:rFonts w:ascii="宋体" w:hAnsi="宋体" w:cs="宋体"/>
                      <w:color w:val="auto"/>
                      <w:sz w:val="21"/>
                      <w:szCs w:val="21"/>
                    </w:rPr>
                    <w:t>达标</w:t>
                  </w:r>
                </w:p>
              </w:tc>
            </w:tr>
            <w:bookmarkEnd w:id="2"/>
          </w:tbl>
          <w:p w14:paraId="312C8F87">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color w:val="auto"/>
              </w:rPr>
            </w:pPr>
            <w:r>
              <w:rPr>
                <w:color w:val="auto"/>
              </w:rPr>
              <w:t>由以上分析可知，项目区域特征污染物TSP满足</w:t>
            </w:r>
            <w:r>
              <w:rPr>
                <w:rFonts w:hint="default" w:ascii="Times New Roman" w:hAnsi="Times New Roman" w:eastAsia="宋体" w:cs="Times New Roman"/>
                <w:color w:val="0000FF"/>
                <w:sz w:val="24"/>
                <w:szCs w:val="24"/>
                <w:highlight w:val="none"/>
                <w:lang w:val="en-US" w:eastAsia="zh-CN"/>
              </w:rPr>
              <w:t>《环境空气质量标准》（GB3095-2026）中二级标准</w:t>
            </w:r>
            <w:commentRangeStart w:id="32"/>
            <w:r>
              <w:rPr>
                <w:color w:val="0000FF"/>
              </w:rPr>
              <w:t>要求</w:t>
            </w:r>
            <w:commentRangeEnd w:id="32"/>
            <w:r>
              <w:rPr>
                <w:color w:val="auto"/>
              </w:rPr>
              <w:commentReference w:id="32"/>
            </w:r>
            <w:r>
              <w:rPr>
                <w:rFonts w:hint="eastAsia"/>
                <w:color w:val="auto"/>
              </w:rPr>
              <w:t>，硫酸雾满足《环境影响评价技术导则大气环境》（HJ2.2-2018）附录D其他污染物空气质量浓度参考限值，非甲烷总烃小时值满足河北省地方标准《环境空气质量 非甲烷总烃限值》（DB13/1577-2012）二级标准。</w:t>
            </w:r>
          </w:p>
          <w:p w14:paraId="5D0E172D">
            <w:pPr>
              <w:keepNext w:val="0"/>
              <w:keepLines w:val="0"/>
              <w:pageBreakBefore w:val="0"/>
              <w:kinsoku/>
              <w:wordWrap/>
              <w:overflowPunct/>
              <w:topLinePunct w:val="0"/>
              <w:autoSpaceDE/>
              <w:autoSpaceDN/>
              <w:bidi w:val="0"/>
              <w:adjustRightInd w:val="0"/>
              <w:snapToGrid w:val="0"/>
              <w:spacing w:line="500" w:lineRule="exact"/>
              <w:ind w:firstLine="482" w:firstLineChars="200"/>
              <w:textAlignment w:val="auto"/>
              <w:rPr>
                <w:b/>
                <w:bCs/>
                <w:color w:val="auto"/>
              </w:rPr>
            </w:pPr>
            <w:r>
              <w:rPr>
                <w:b/>
                <w:bCs/>
                <w:color w:val="auto"/>
              </w:rPr>
              <w:t>2、地表水环境质量现状</w:t>
            </w:r>
          </w:p>
          <w:p w14:paraId="6B1C4505">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color w:val="auto"/>
              </w:rPr>
            </w:pPr>
            <w:r>
              <w:rPr>
                <w:rFonts w:hint="eastAsia"/>
                <w:color w:val="auto"/>
              </w:rPr>
              <w:t>本项目产生的</w:t>
            </w:r>
            <w:r>
              <w:rPr>
                <w:rFonts w:hint="eastAsia"/>
                <w:color w:val="auto"/>
                <w:lang w:val="en-US" w:eastAsia="zh-CN"/>
              </w:rPr>
              <w:t>生活污水</w:t>
            </w:r>
            <w:r>
              <w:rPr>
                <w:rFonts w:hint="eastAsia"/>
                <w:color w:val="auto"/>
              </w:rPr>
              <w:t>经预处理后排入蒙西工业园区</w:t>
            </w:r>
            <w:r>
              <w:rPr>
                <w:rFonts w:hint="eastAsia"/>
                <w:color w:val="auto"/>
                <w:lang w:val="en-US" w:eastAsia="zh-CN"/>
              </w:rPr>
              <w:t>生活</w:t>
            </w:r>
            <w:r>
              <w:rPr>
                <w:rFonts w:hint="eastAsia"/>
                <w:color w:val="auto"/>
              </w:rPr>
              <w:t>污水处理厂，</w:t>
            </w:r>
            <w:r>
              <w:rPr>
                <w:rFonts w:hint="eastAsia"/>
                <w:color w:val="auto"/>
                <w:lang w:val="en-US" w:eastAsia="zh-CN"/>
              </w:rPr>
              <w:t>生产废水经处理后回用不外排，</w:t>
            </w:r>
            <w:r>
              <w:rPr>
                <w:rFonts w:hint="eastAsia"/>
                <w:color w:val="auto"/>
              </w:rPr>
              <w:t>根据《建设项目环境影响报告表编制技术指南（污染影响类）》（试行），本次评价不进行地表水环境质量现状监测</w:t>
            </w:r>
            <w:r>
              <w:rPr>
                <w:color w:val="auto"/>
                <w:lang w:val="fr-FR"/>
              </w:rPr>
              <w:t>。</w:t>
            </w:r>
          </w:p>
          <w:p w14:paraId="720D383F">
            <w:pPr>
              <w:keepNext w:val="0"/>
              <w:keepLines w:val="0"/>
              <w:pageBreakBefore w:val="0"/>
              <w:kinsoku/>
              <w:wordWrap/>
              <w:overflowPunct/>
              <w:topLinePunct w:val="0"/>
              <w:autoSpaceDE/>
              <w:autoSpaceDN/>
              <w:bidi w:val="0"/>
              <w:adjustRightInd w:val="0"/>
              <w:snapToGrid w:val="0"/>
              <w:spacing w:line="500" w:lineRule="exact"/>
              <w:ind w:firstLine="482" w:firstLineChars="200"/>
              <w:textAlignment w:val="auto"/>
              <w:rPr>
                <w:b/>
                <w:bCs/>
                <w:color w:val="auto"/>
              </w:rPr>
            </w:pPr>
            <w:r>
              <w:rPr>
                <w:b/>
                <w:bCs/>
                <w:color w:val="auto"/>
              </w:rPr>
              <w:t>3</w:t>
            </w:r>
            <w:r>
              <w:rPr>
                <w:rFonts w:hint="eastAsia"/>
                <w:b/>
                <w:bCs/>
                <w:color w:val="auto"/>
              </w:rPr>
              <w:t>、</w:t>
            </w:r>
            <w:r>
              <w:rPr>
                <w:b/>
                <w:bCs/>
                <w:color w:val="auto"/>
              </w:rPr>
              <w:t>声环境质量</w:t>
            </w:r>
            <w:r>
              <w:rPr>
                <w:rFonts w:hint="eastAsia"/>
                <w:b/>
                <w:bCs/>
                <w:color w:val="auto"/>
              </w:rPr>
              <w:t>现状</w:t>
            </w:r>
          </w:p>
          <w:p w14:paraId="1F3E886B">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color w:val="auto"/>
              </w:rPr>
            </w:pPr>
            <w:r>
              <w:rPr>
                <w:color w:val="auto"/>
              </w:rPr>
              <w:t>根据《建设项目环境影响报告表编制技术指南（污染影响类）》（试行），厂界外周边50米范围内存在声环境保护目标的建设项目，应监测保护目标声环境质量现状并评价达标情况。根据现场踏勘本项目厂界范围50米范围内无声环境保护目标，因此本次评价不进行声环境质量现状监测。</w:t>
            </w:r>
          </w:p>
          <w:p w14:paraId="1F34D5D4">
            <w:pPr>
              <w:keepNext w:val="0"/>
              <w:keepLines w:val="0"/>
              <w:pageBreakBefore w:val="0"/>
              <w:kinsoku/>
              <w:wordWrap/>
              <w:overflowPunct/>
              <w:topLinePunct w:val="0"/>
              <w:autoSpaceDE/>
              <w:autoSpaceDN/>
              <w:bidi w:val="0"/>
              <w:spacing w:line="500" w:lineRule="exact"/>
              <w:ind w:firstLine="482" w:firstLineChars="200"/>
              <w:jc w:val="left"/>
              <w:textAlignment w:val="auto"/>
              <w:rPr>
                <w:b/>
                <w:bCs/>
                <w:color w:val="auto"/>
              </w:rPr>
            </w:pPr>
            <w:r>
              <w:rPr>
                <w:b/>
                <w:bCs/>
                <w:color w:val="auto"/>
              </w:rPr>
              <w:t>4、地下水环境现状</w:t>
            </w:r>
          </w:p>
          <w:p w14:paraId="170F62B0">
            <w:pPr>
              <w:pStyle w:val="36"/>
              <w:keepNext w:val="0"/>
              <w:keepLines w:val="0"/>
              <w:pageBreakBefore w:val="0"/>
              <w:kinsoku/>
              <w:wordWrap/>
              <w:overflowPunct/>
              <w:topLinePunct w:val="0"/>
              <w:autoSpaceDE/>
              <w:autoSpaceDN/>
              <w:bidi w:val="0"/>
              <w:spacing w:before="0" w:after="0" w:line="500" w:lineRule="exact"/>
              <w:ind w:right="0" w:firstLine="480" w:firstLineChars="200"/>
              <w:jc w:val="left"/>
              <w:textAlignment w:val="auto"/>
              <w:rPr>
                <w:color w:val="auto"/>
                <w:sz w:val="24"/>
                <w:szCs w:val="24"/>
              </w:rPr>
            </w:pPr>
            <w:r>
              <w:rPr>
                <w:color w:val="auto"/>
                <w:sz w:val="24"/>
              </w:rPr>
              <w:t>本次评价</w:t>
            </w:r>
            <w:r>
              <w:rPr>
                <w:rFonts w:hint="eastAsia"/>
                <w:color w:val="auto"/>
                <w:sz w:val="24"/>
              </w:rPr>
              <w:t>由</w:t>
            </w:r>
            <w:r>
              <w:rPr>
                <w:color w:val="auto"/>
                <w:sz w:val="24"/>
              </w:rPr>
              <w:t>建设单位委托</w:t>
            </w:r>
            <w:r>
              <w:rPr>
                <w:rFonts w:hint="eastAsia"/>
                <w:color w:val="auto"/>
                <w:sz w:val="24"/>
              </w:rPr>
              <w:t>内蒙古泽铭</w:t>
            </w:r>
            <w:r>
              <w:rPr>
                <w:color w:val="auto"/>
                <w:sz w:val="24"/>
              </w:rPr>
              <w:t>技术</w:t>
            </w:r>
            <w:r>
              <w:rPr>
                <w:rFonts w:hint="eastAsia"/>
                <w:color w:val="auto"/>
                <w:sz w:val="24"/>
              </w:rPr>
              <w:t>检测</w:t>
            </w:r>
            <w:r>
              <w:rPr>
                <w:color w:val="auto"/>
                <w:sz w:val="24"/>
              </w:rPr>
              <w:t>有限公司</w:t>
            </w:r>
            <w:r>
              <w:rPr>
                <w:rFonts w:hint="eastAsia"/>
                <w:color w:val="auto"/>
                <w:sz w:val="24"/>
              </w:rPr>
              <w:t>对</w:t>
            </w:r>
            <w:r>
              <w:rPr>
                <w:rFonts w:hint="eastAsia"/>
                <w:color w:val="auto"/>
                <w:sz w:val="24"/>
                <w:szCs w:val="24"/>
              </w:rPr>
              <w:t>地下水环境现状进行监测，监测点位为回回圪旦村水井，位于厂区下游，距离厂区西0.9km，监测时间为2025年11月13日，监测1次。监测结果见下表：</w:t>
            </w:r>
          </w:p>
          <w:p w14:paraId="28152483">
            <w:pPr>
              <w:pStyle w:val="36"/>
              <w:spacing w:before="0" w:after="0" w:line="500" w:lineRule="exact"/>
              <w:ind w:right="0" w:firstLine="2168" w:firstLineChars="900"/>
              <w:jc w:val="both"/>
              <w:rPr>
                <w:b/>
                <w:bCs/>
                <w:color w:val="auto"/>
                <w:sz w:val="24"/>
                <w:szCs w:val="24"/>
              </w:rPr>
            </w:pPr>
            <w:r>
              <w:rPr>
                <w:rFonts w:hint="eastAsia"/>
                <w:b/>
                <w:bCs/>
                <w:color w:val="auto"/>
                <w:sz w:val="24"/>
                <w:szCs w:val="24"/>
              </w:rPr>
              <w:t>表3-</w:t>
            </w:r>
            <w:r>
              <w:rPr>
                <w:rFonts w:hint="eastAsia"/>
                <w:b/>
                <w:bCs/>
                <w:color w:val="auto"/>
                <w:sz w:val="24"/>
                <w:szCs w:val="24"/>
                <w:lang w:val="en-US" w:eastAsia="zh-CN"/>
              </w:rPr>
              <w:t>4</w:t>
            </w:r>
            <w:r>
              <w:rPr>
                <w:rFonts w:hint="eastAsia"/>
                <w:b/>
                <w:bCs/>
                <w:color w:val="auto"/>
                <w:sz w:val="24"/>
                <w:szCs w:val="24"/>
              </w:rPr>
              <w:t xml:space="preserve">        地下水水位信息</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1572"/>
              <w:gridCol w:w="1592"/>
              <w:gridCol w:w="1019"/>
              <w:gridCol w:w="915"/>
              <w:gridCol w:w="1094"/>
              <w:gridCol w:w="926"/>
            </w:tblGrid>
            <w:tr w14:paraId="545BE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89" w:type="pct"/>
                  <w:vMerge w:val="restart"/>
                  <w:vAlign w:val="center"/>
                </w:tcPr>
                <w:p w14:paraId="1776C26C">
                  <w:pPr>
                    <w:adjustRightInd w:val="0"/>
                    <w:snapToGrid w:val="0"/>
                    <w:spacing w:line="340" w:lineRule="exact"/>
                    <w:jc w:val="center"/>
                    <w:rPr>
                      <w:snapToGrid w:val="0"/>
                      <w:color w:val="auto"/>
                      <w:sz w:val="21"/>
                      <w:szCs w:val="21"/>
                    </w:rPr>
                  </w:pPr>
                  <w:r>
                    <w:rPr>
                      <w:snapToGrid w:val="0"/>
                      <w:color w:val="auto"/>
                      <w:sz w:val="21"/>
                      <w:szCs w:val="21"/>
                    </w:rPr>
                    <w:t>点位名称</w:t>
                  </w:r>
                </w:p>
              </w:tc>
              <w:tc>
                <w:tcPr>
                  <w:tcW w:w="1870" w:type="pct"/>
                  <w:gridSpan w:val="2"/>
                  <w:vAlign w:val="center"/>
                </w:tcPr>
                <w:p w14:paraId="7A63210D">
                  <w:pPr>
                    <w:spacing w:line="360" w:lineRule="exact"/>
                    <w:jc w:val="center"/>
                    <w:rPr>
                      <w:snapToGrid w:val="0"/>
                      <w:color w:val="auto"/>
                      <w:sz w:val="21"/>
                      <w:szCs w:val="21"/>
                    </w:rPr>
                  </w:pPr>
                  <w:r>
                    <w:rPr>
                      <w:color w:val="auto"/>
                      <w:sz w:val="21"/>
                      <w:szCs w:val="21"/>
                    </w:rPr>
                    <w:t>坐标</w:t>
                  </w:r>
                </w:p>
              </w:tc>
              <w:tc>
                <w:tcPr>
                  <w:tcW w:w="603" w:type="pct"/>
                  <w:vMerge w:val="restart"/>
                  <w:vAlign w:val="center"/>
                </w:tcPr>
                <w:p w14:paraId="75EFAB5D">
                  <w:pPr>
                    <w:adjustRightInd w:val="0"/>
                    <w:snapToGrid w:val="0"/>
                    <w:spacing w:line="340" w:lineRule="exact"/>
                    <w:jc w:val="center"/>
                    <w:rPr>
                      <w:snapToGrid w:val="0"/>
                      <w:color w:val="auto"/>
                      <w:sz w:val="21"/>
                      <w:szCs w:val="21"/>
                    </w:rPr>
                  </w:pPr>
                  <w:r>
                    <w:rPr>
                      <w:snapToGrid w:val="0"/>
                      <w:color w:val="auto"/>
                      <w:sz w:val="21"/>
                      <w:szCs w:val="21"/>
                    </w:rPr>
                    <w:t>水位埋深（m）</w:t>
                  </w:r>
                </w:p>
              </w:tc>
              <w:tc>
                <w:tcPr>
                  <w:tcW w:w="541" w:type="pct"/>
                  <w:vMerge w:val="restart"/>
                  <w:vAlign w:val="center"/>
                </w:tcPr>
                <w:p w14:paraId="13684736">
                  <w:pPr>
                    <w:adjustRightInd w:val="0"/>
                    <w:snapToGrid w:val="0"/>
                    <w:spacing w:line="340" w:lineRule="exact"/>
                    <w:jc w:val="center"/>
                    <w:rPr>
                      <w:snapToGrid w:val="0"/>
                      <w:color w:val="auto"/>
                      <w:sz w:val="21"/>
                      <w:szCs w:val="21"/>
                    </w:rPr>
                  </w:pPr>
                  <w:r>
                    <w:rPr>
                      <w:snapToGrid w:val="0"/>
                      <w:color w:val="auto"/>
                      <w:sz w:val="21"/>
                      <w:szCs w:val="21"/>
                    </w:rPr>
                    <w:t>井深（m）</w:t>
                  </w:r>
                </w:p>
              </w:tc>
              <w:tc>
                <w:tcPr>
                  <w:tcW w:w="647" w:type="pct"/>
                  <w:vMerge w:val="restart"/>
                  <w:vAlign w:val="center"/>
                </w:tcPr>
                <w:p w14:paraId="7F164F22">
                  <w:pPr>
                    <w:adjustRightInd w:val="0"/>
                    <w:snapToGrid w:val="0"/>
                    <w:spacing w:line="340" w:lineRule="exact"/>
                    <w:jc w:val="center"/>
                    <w:rPr>
                      <w:snapToGrid w:val="0"/>
                      <w:color w:val="auto"/>
                      <w:sz w:val="21"/>
                      <w:szCs w:val="21"/>
                    </w:rPr>
                  </w:pPr>
                  <w:r>
                    <w:rPr>
                      <w:snapToGrid w:val="0"/>
                      <w:color w:val="auto"/>
                      <w:sz w:val="21"/>
                      <w:szCs w:val="21"/>
                    </w:rPr>
                    <w:t>井口高程（m）</w:t>
                  </w:r>
                </w:p>
              </w:tc>
              <w:tc>
                <w:tcPr>
                  <w:tcW w:w="548" w:type="pct"/>
                  <w:vMerge w:val="restart"/>
                  <w:vAlign w:val="center"/>
                </w:tcPr>
                <w:p w14:paraId="4134083D">
                  <w:pPr>
                    <w:adjustRightInd w:val="0"/>
                    <w:snapToGrid w:val="0"/>
                    <w:spacing w:line="340" w:lineRule="exact"/>
                    <w:jc w:val="center"/>
                    <w:rPr>
                      <w:snapToGrid w:val="0"/>
                      <w:color w:val="auto"/>
                      <w:sz w:val="21"/>
                      <w:szCs w:val="21"/>
                    </w:rPr>
                  </w:pPr>
                  <w:r>
                    <w:rPr>
                      <w:snapToGrid w:val="0"/>
                      <w:color w:val="auto"/>
                      <w:sz w:val="21"/>
                      <w:szCs w:val="21"/>
                    </w:rPr>
                    <w:t>水温（℃）</w:t>
                  </w:r>
                </w:p>
              </w:tc>
            </w:tr>
            <w:tr w14:paraId="3B32E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pct"/>
                  <w:vMerge w:val="continue"/>
                  <w:vAlign w:val="center"/>
                </w:tcPr>
                <w:p w14:paraId="38B1D7D4">
                  <w:pPr>
                    <w:adjustRightInd w:val="0"/>
                    <w:snapToGrid w:val="0"/>
                    <w:spacing w:line="340" w:lineRule="exact"/>
                    <w:jc w:val="center"/>
                    <w:rPr>
                      <w:snapToGrid w:val="0"/>
                      <w:color w:val="auto"/>
                      <w:sz w:val="21"/>
                      <w:szCs w:val="21"/>
                    </w:rPr>
                  </w:pPr>
                </w:p>
              </w:tc>
              <w:tc>
                <w:tcPr>
                  <w:tcW w:w="929" w:type="pct"/>
                  <w:vAlign w:val="center"/>
                </w:tcPr>
                <w:p w14:paraId="1D4F6A50">
                  <w:pPr>
                    <w:spacing w:line="360" w:lineRule="exact"/>
                    <w:jc w:val="center"/>
                    <w:rPr>
                      <w:snapToGrid w:val="0"/>
                      <w:color w:val="auto"/>
                      <w:sz w:val="21"/>
                      <w:szCs w:val="21"/>
                    </w:rPr>
                  </w:pPr>
                  <w:r>
                    <w:rPr>
                      <w:color w:val="auto"/>
                      <w:sz w:val="21"/>
                      <w:szCs w:val="21"/>
                    </w:rPr>
                    <w:t>经度（E）</w:t>
                  </w:r>
                </w:p>
              </w:tc>
              <w:tc>
                <w:tcPr>
                  <w:tcW w:w="940" w:type="pct"/>
                  <w:vAlign w:val="center"/>
                </w:tcPr>
                <w:p w14:paraId="7B875F04">
                  <w:pPr>
                    <w:spacing w:line="360" w:lineRule="exact"/>
                    <w:jc w:val="center"/>
                    <w:rPr>
                      <w:snapToGrid w:val="0"/>
                      <w:color w:val="auto"/>
                      <w:sz w:val="21"/>
                      <w:szCs w:val="21"/>
                    </w:rPr>
                  </w:pPr>
                  <w:r>
                    <w:rPr>
                      <w:color w:val="auto"/>
                      <w:sz w:val="21"/>
                      <w:szCs w:val="21"/>
                    </w:rPr>
                    <w:t>纬度（N）</w:t>
                  </w:r>
                </w:p>
              </w:tc>
              <w:tc>
                <w:tcPr>
                  <w:tcW w:w="603" w:type="pct"/>
                  <w:vMerge w:val="continue"/>
                  <w:vAlign w:val="center"/>
                </w:tcPr>
                <w:p w14:paraId="7AA73DD0">
                  <w:pPr>
                    <w:adjustRightInd w:val="0"/>
                    <w:snapToGrid w:val="0"/>
                    <w:spacing w:line="340" w:lineRule="exact"/>
                    <w:jc w:val="center"/>
                    <w:rPr>
                      <w:snapToGrid w:val="0"/>
                      <w:color w:val="auto"/>
                      <w:sz w:val="21"/>
                      <w:szCs w:val="21"/>
                    </w:rPr>
                  </w:pPr>
                </w:p>
              </w:tc>
              <w:tc>
                <w:tcPr>
                  <w:tcW w:w="541" w:type="pct"/>
                  <w:vMerge w:val="continue"/>
                  <w:vAlign w:val="center"/>
                </w:tcPr>
                <w:p w14:paraId="136B2CA3">
                  <w:pPr>
                    <w:adjustRightInd w:val="0"/>
                    <w:snapToGrid w:val="0"/>
                    <w:spacing w:line="340" w:lineRule="exact"/>
                    <w:jc w:val="center"/>
                    <w:rPr>
                      <w:snapToGrid w:val="0"/>
                      <w:color w:val="auto"/>
                      <w:sz w:val="21"/>
                      <w:szCs w:val="21"/>
                    </w:rPr>
                  </w:pPr>
                </w:p>
              </w:tc>
              <w:tc>
                <w:tcPr>
                  <w:tcW w:w="647" w:type="pct"/>
                  <w:vMerge w:val="continue"/>
                  <w:vAlign w:val="center"/>
                </w:tcPr>
                <w:p w14:paraId="6131F868">
                  <w:pPr>
                    <w:adjustRightInd w:val="0"/>
                    <w:snapToGrid w:val="0"/>
                    <w:spacing w:line="340" w:lineRule="exact"/>
                    <w:jc w:val="center"/>
                    <w:rPr>
                      <w:snapToGrid w:val="0"/>
                      <w:color w:val="auto"/>
                      <w:sz w:val="21"/>
                      <w:szCs w:val="21"/>
                    </w:rPr>
                  </w:pPr>
                </w:p>
              </w:tc>
              <w:tc>
                <w:tcPr>
                  <w:tcW w:w="548" w:type="pct"/>
                  <w:vMerge w:val="continue"/>
                  <w:vAlign w:val="center"/>
                </w:tcPr>
                <w:p w14:paraId="1588AE68">
                  <w:pPr>
                    <w:adjustRightInd w:val="0"/>
                    <w:snapToGrid w:val="0"/>
                    <w:spacing w:line="340" w:lineRule="exact"/>
                    <w:jc w:val="center"/>
                    <w:rPr>
                      <w:snapToGrid w:val="0"/>
                      <w:color w:val="auto"/>
                      <w:sz w:val="21"/>
                      <w:szCs w:val="21"/>
                    </w:rPr>
                  </w:pPr>
                </w:p>
              </w:tc>
            </w:tr>
            <w:tr w14:paraId="7BB1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pct"/>
                  <w:vAlign w:val="center"/>
                </w:tcPr>
                <w:p w14:paraId="209C0651">
                  <w:pPr>
                    <w:adjustRightInd w:val="0"/>
                    <w:snapToGrid w:val="0"/>
                    <w:spacing w:line="340" w:lineRule="exact"/>
                    <w:jc w:val="center"/>
                    <w:rPr>
                      <w:snapToGrid w:val="0"/>
                      <w:color w:val="auto"/>
                      <w:sz w:val="21"/>
                      <w:szCs w:val="21"/>
                    </w:rPr>
                  </w:pPr>
                  <w:r>
                    <w:rPr>
                      <w:snapToGrid w:val="0"/>
                      <w:color w:val="auto"/>
                      <w:sz w:val="21"/>
                      <w:szCs w:val="21"/>
                    </w:rPr>
                    <w:t>1#厂区下游回回圪旦村</w:t>
                  </w:r>
                </w:p>
              </w:tc>
              <w:tc>
                <w:tcPr>
                  <w:tcW w:w="929" w:type="pct"/>
                  <w:vAlign w:val="center"/>
                </w:tcPr>
                <w:p w14:paraId="6D040E35">
                  <w:pPr>
                    <w:spacing w:line="360" w:lineRule="exact"/>
                    <w:jc w:val="center"/>
                    <w:rPr>
                      <w:snapToGrid w:val="0"/>
                      <w:color w:val="auto"/>
                      <w:sz w:val="21"/>
                      <w:szCs w:val="21"/>
                    </w:rPr>
                  </w:pPr>
                  <w:r>
                    <w:rPr>
                      <w:rFonts w:hint="eastAsia" w:eastAsia="Times New Roman"/>
                      <w:bCs/>
                      <w:color w:val="auto"/>
                      <w:sz w:val="21"/>
                      <w:szCs w:val="21"/>
                    </w:rPr>
                    <w:t>106</w:t>
                  </w:r>
                  <w:r>
                    <w:rPr>
                      <w:rFonts w:eastAsia="Times New Roman"/>
                      <w:bCs/>
                      <w:color w:val="auto"/>
                      <w:sz w:val="21"/>
                      <w:szCs w:val="21"/>
                    </w:rPr>
                    <w:t>°</w:t>
                  </w:r>
                  <w:r>
                    <w:rPr>
                      <w:rFonts w:hint="eastAsia" w:eastAsia="Times New Roman"/>
                      <w:bCs/>
                      <w:color w:val="auto"/>
                      <w:sz w:val="21"/>
                      <w:szCs w:val="21"/>
                    </w:rPr>
                    <w:t>45</w:t>
                  </w:r>
                  <w:r>
                    <w:rPr>
                      <w:rFonts w:eastAsia="Times New Roman"/>
                      <w:bCs/>
                      <w:color w:val="auto"/>
                      <w:sz w:val="21"/>
                      <w:szCs w:val="21"/>
                    </w:rPr>
                    <w:t>′</w:t>
                  </w:r>
                  <w:r>
                    <w:rPr>
                      <w:rFonts w:hint="eastAsia" w:eastAsia="Times New Roman"/>
                      <w:bCs/>
                      <w:color w:val="auto"/>
                      <w:sz w:val="21"/>
                      <w:szCs w:val="21"/>
                    </w:rPr>
                    <w:t>18.28</w:t>
                  </w:r>
                  <w:r>
                    <w:rPr>
                      <w:rFonts w:eastAsia="Times New Roman"/>
                      <w:bCs/>
                      <w:color w:val="auto"/>
                      <w:sz w:val="21"/>
                      <w:szCs w:val="21"/>
                    </w:rPr>
                    <w:t>″</w:t>
                  </w:r>
                </w:p>
              </w:tc>
              <w:tc>
                <w:tcPr>
                  <w:tcW w:w="940" w:type="pct"/>
                  <w:vAlign w:val="center"/>
                </w:tcPr>
                <w:p w14:paraId="5281BCF5">
                  <w:pPr>
                    <w:spacing w:line="360" w:lineRule="exact"/>
                    <w:jc w:val="center"/>
                    <w:rPr>
                      <w:snapToGrid w:val="0"/>
                      <w:color w:val="auto"/>
                      <w:sz w:val="21"/>
                      <w:szCs w:val="21"/>
                    </w:rPr>
                  </w:pPr>
                  <w:r>
                    <w:rPr>
                      <w:rFonts w:hint="eastAsia"/>
                      <w:color w:val="auto"/>
                      <w:sz w:val="21"/>
                      <w:szCs w:val="21"/>
                    </w:rPr>
                    <w:t>39</w:t>
                  </w:r>
                  <w:r>
                    <w:rPr>
                      <w:rFonts w:eastAsia="Times New Roman"/>
                      <w:bCs/>
                      <w:color w:val="auto"/>
                      <w:sz w:val="21"/>
                      <w:szCs w:val="21"/>
                    </w:rPr>
                    <w:t>°</w:t>
                  </w:r>
                  <w:r>
                    <w:rPr>
                      <w:rFonts w:hint="eastAsia"/>
                      <w:color w:val="auto"/>
                      <w:sz w:val="21"/>
                      <w:szCs w:val="21"/>
                    </w:rPr>
                    <w:t>52</w:t>
                  </w:r>
                  <w:r>
                    <w:rPr>
                      <w:color w:val="auto"/>
                      <w:sz w:val="21"/>
                      <w:szCs w:val="21"/>
                    </w:rPr>
                    <w:t>′</w:t>
                  </w:r>
                  <w:r>
                    <w:rPr>
                      <w:rFonts w:hint="eastAsia"/>
                      <w:color w:val="auto"/>
                      <w:sz w:val="21"/>
                      <w:szCs w:val="21"/>
                    </w:rPr>
                    <w:t>40.97</w:t>
                  </w:r>
                  <w:r>
                    <w:rPr>
                      <w:color w:val="auto"/>
                      <w:sz w:val="21"/>
                      <w:szCs w:val="21"/>
                    </w:rPr>
                    <w:t>″</w:t>
                  </w:r>
                </w:p>
              </w:tc>
              <w:tc>
                <w:tcPr>
                  <w:tcW w:w="603" w:type="pct"/>
                  <w:vAlign w:val="center"/>
                </w:tcPr>
                <w:p w14:paraId="1C83C0C5">
                  <w:pPr>
                    <w:adjustRightInd w:val="0"/>
                    <w:snapToGrid w:val="0"/>
                    <w:spacing w:line="340" w:lineRule="exact"/>
                    <w:jc w:val="center"/>
                    <w:rPr>
                      <w:snapToGrid w:val="0"/>
                      <w:color w:val="auto"/>
                      <w:sz w:val="21"/>
                      <w:szCs w:val="21"/>
                    </w:rPr>
                  </w:pPr>
                  <w:r>
                    <w:rPr>
                      <w:snapToGrid w:val="0"/>
                      <w:color w:val="auto"/>
                      <w:sz w:val="21"/>
                      <w:szCs w:val="21"/>
                    </w:rPr>
                    <w:t>69.5</w:t>
                  </w:r>
                </w:p>
              </w:tc>
              <w:tc>
                <w:tcPr>
                  <w:tcW w:w="541" w:type="pct"/>
                  <w:vAlign w:val="center"/>
                </w:tcPr>
                <w:p w14:paraId="6780E515">
                  <w:pPr>
                    <w:adjustRightInd w:val="0"/>
                    <w:snapToGrid w:val="0"/>
                    <w:spacing w:line="340" w:lineRule="exact"/>
                    <w:jc w:val="center"/>
                    <w:rPr>
                      <w:snapToGrid w:val="0"/>
                      <w:color w:val="auto"/>
                      <w:sz w:val="21"/>
                      <w:szCs w:val="21"/>
                    </w:rPr>
                  </w:pPr>
                  <w:r>
                    <w:rPr>
                      <w:snapToGrid w:val="0"/>
                      <w:color w:val="auto"/>
                      <w:sz w:val="21"/>
                      <w:szCs w:val="21"/>
                    </w:rPr>
                    <w:t>86.2</w:t>
                  </w:r>
                </w:p>
              </w:tc>
              <w:tc>
                <w:tcPr>
                  <w:tcW w:w="647" w:type="pct"/>
                  <w:vAlign w:val="center"/>
                </w:tcPr>
                <w:p w14:paraId="324445A8">
                  <w:pPr>
                    <w:adjustRightInd w:val="0"/>
                    <w:snapToGrid w:val="0"/>
                    <w:spacing w:line="340" w:lineRule="exact"/>
                    <w:jc w:val="center"/>
                    <w:rPr>
                      <w:snapToGrid w:val="0"/>
                      <w:color w:val="auto"/>
                      <w:sz w:val="21"/>
                      <w:szCs w:val="21"/>
                    </w:rPr>
                  </w:pPr>
                  <w:r>
                    <w:rPr>
                      <w:snapToGrid w:val="0"/>
                      <w:color w:val="auto"/>
                      <w:sz w:val="21"/>
                      <w:szCs w:val="21"/>
                    </w:rPr>
                    <w:t>1088.4</w:t>
                  </w:r>
                </w:p>
              </w:tc>
              <w:tc>
                <w:tcPr>
                  <w:tcW w:w="548" w:type="pct"/>
                  <w:vAlign w:val="center"/>
                </w:tcPr>
                <w:p w14:paraId="2DBE3930">
                  <w:pPr>
                    <w:adjustRightInd w:val="0"/>
                    <w:snapToGrid w:val="0"/>
                    <w:spacing w:line="340" w:lineRule="exact"/>
                    <w:jc w:val="center"/>
                    <w:rPr>
                      <w:snapToGrid w:val="0"/>
                      <w:color w:val="auto"/>
                      <w:sz w:val="21"/>
                      <w:szCs w:val="21"/>
                    </w:rPr>
                  </w:pPr>
                  <w:r>
                    <w:rPr>
                      <w:snapToGrid w:val="0"/>
                      <w:color w:val="auto"/>
                      <w:sz w:val="21"/>
                      <w:szCs w:val="21"/>
                    </w:rPr>
                    <w:t>5.9</w:t>
                  </w:r>
                </w:p>
              </w:tc>
            </w:tr>
          </w:tbl>
          <w:p w14:paraId="23B0FDE5">
            <w:pPr>
              <w:pStyle w:val="36"/>
              <w:spacing w:before="0" w:after="0" w:line="500" w:lineRule="exact"/>
              <w:ind w:right="0"/>
              <w:rPr>
                <w:b/>
                <w:bCs/>
                <w:color w:val="auto"/>
                <w:sz w:val="24"/>
                <w:szCs w:val="24"/>
              </w:rPr>
            </w:pPr>
            <w:r>
              <w:rPr>
                <w:rFonts w:hint="eastAsia"/>
                <w:b/>
                <w:bCs/>
                <w:color w:val="auto"/>
                <w:sz w:val="24"/>
                <w:szCs w:val="24"/>
              </w:rPr>
              <w:t>表3-</w:t>
            </w:r>
            <w:r>
              <w:rPr>
                <w:rFonts w:hint="eastAsia"/>
                <w:b/>
                <w:bCs/>
                <w:color w:val="auto"/>
                <w:sz w:val="24"/>
                <w:szCs w:val="24"/>
                <w:lang w:val="en-US" w:eastAsia="zh-CN"/>
              </w:rPr>
              <w:t>5</w:t>
            </w:r>
            <w:r>
              <w:rPr>
                <w:rFonts w:hint="eastAsia"/>
                <w:b/>
                <w:bCs/>
                <w:color w:val="auto"/>
                <w:sz w:val="24"/>
                <w:szCs w:val="24"/>
              </w:rPr>
              <w:t xml:space="preserve">  地下水环境质量现状监测结果表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3"/>
              <w:gridCol w:w="1289"/>
              <w:gridCol w:w="1329"/>
              <w:gridCol w:w="1410"/>
              <w:gridCol w:w="1410"/>
              <w:gridCol w:w="1412"/>
            </w:tblGrid>
            <w:tr w14:paraId="0D62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73190899">
                  <w:pPr>
                    <w:pStyle w:val="36"/>
                    <w:spacing w:before="0" w:after="0" w:line="320" w:lineRule="exact"/>
                    <w:ind w:right="0"/>
                    <w:rPr>
                      <w:color w:val="auto"/>
                      <w:sz w:val="21"/>
                      <w:szCs w:val="21"/>
                    </w:rPr>
                  </w:pPr>
                  <w:r>
                    <w:rPr>
                      <w:rFonts w:hint="eastAsia"/>
                      <w:color w:val="auto"/>
                      <w:sz w:val="21"/>
                      <w:szCs w:val="21"/>
                    </w:rPr>
                    <w:t>监测项目</w:t>
                  </w:r>
                </w:p>
              </w:tc>
              <w:tc>
                <w:tcPr>
                  <w:tcW w:w="763" w:type="pct"/>
                  <w:vAlign w:val="center"/>
                </w:tcPr>
                <w:p w14:paraId="15AB8736">
                  <w:pPr>
                    <w:pStyle w:val="36"/>
                    <w:spacing w:before="0" w:after="0" w:line="320" w:lineRule="exact"/>
                    <w:ind w:right="0"/>
                    <w:rPr>
                      <w:color w:val="auto"/>
                      <w:sz w:val="21"/>
                      <w:szCs w:val="21"/>
                    </w:rPr>
                  </w:pPr>
                  <w:r>
                    <w:rPr>
                      <w:rFonts w:hint="eastAsia"/>
                      <w:color w:val="auto"/>
                      <w:sz w:val="21"/>
                      <w:szCs w:val="21"/>
                    </w:rPr>
                    <w:t>单位</w:t>
                  </w:r>
                </w:p>
              </w:tc>
              <w:tc>
                <w:tcPr>
                  <w:tcW w:w="786" w:type="pct"/>
                  <w:vAlign w:val="center"/>
                </w:tcPr>
                <w:p w14:paraId="42E8A7E4">
                  <w:pPr>
                    <w:pStyle w:val="36"/>
                    <w:spacing w:before="0" w:after="0" w:line="320" w:lineRule="exact"/>
                    <w:ind w:right="0"/>
                    <w:rPr>
                      <w:color w:val="auto"/>
                      <w:sz w:val="21"/>
                      <w:szCs w:val="21"/>
                    </w:rPr>
                  </w:pPr>
                  <w:r>
                    <w:rPr>
                      <w:rFonts w:hint="eastAsia"/>
                      <w:color w:val="auto"/>
                      <w:sz w:val="21"/>
                      <w:szCs w:val="21"/>
                    </w:rPr>
                    <w:t>监测结果</w:t>
                  </w:r>
                </w:p>
              </w:tc>
              <w:tc>
                <w:tcPr>
                  <w:tcW w:w="833" w:type="pct"/>
                  <w:vAlign w:val="center"/>
                </w:tcPr>
                <w:p w14:paraId="24E357F4">
                  <w:pPr>
                    <w:pStyle w:val="36"/>
                    <w:spacing w:before="0" w:after="0" w:line="320" w:lineRule="exact"/>
                    <w:ind w:right="0"/>
                    <w:rPr>
                      <w:color w:val="auto"/>
                      <w:sz w:val="21"/>
                      <w:szCs w:val="21"/>
                    </w:rPr>
                  </w:pPr>
                  <w:r>
                    <w:rPr>
                      <w:rFonts w:hint="eastAsia"/>
                      <w:color w:val="auto"/>
                      <w:sz w:val="21"/>
                      <w:szCs w:val="21"/>
                    </w:rPr>
                    <w:t>标准指数</w:t>
                  </w:r>
                </w:p>
              </w:tc>
              <w:tc>
                <w:tcPr>
                  <w:tcW w:w="833" w:type="pct"/>
                  <w:vAlign w:val="center"/>
                </w:tcPr>
                <w:p w14:paraId="3939F0CB">
                  <w:pPr>
                    <w:pStyle w:val="36"/>
                    <w:spacing w:before="0" w:after="0" w:line="320" w:lineRule="exact"/>
                    <w:ind w:right="0"/>
                    <w:rPr>
                      <w:color w:val="auto"/>
                      <w:sz w:val="21"/>
                      <w:szCs w:val="21"/>
                    </w:rPr>
                  </w:pPr>
                  <w:r>
                    <w:rPr>
                      <w:rFonts w:hint="eastAsia"/>
                      <w:color w:val="auto"/>
                      <w:sz w:val="21"/>
                      <w:szCs w:val="21"/>
                    </w:rPr>
                    <w:t>标准值</w:t>
                  </w:r>
                </w:p>
              </w:tc>
              <w:tc>
                <w:tcPr>
                  <w:tcW w:w="834" w:type="pct"/>
                  <w:vAlign w:val="center"/>
                </w:tcPr>
                <w:p w14:paraId="22C4D32F">
                  <w:pPr>
                    <w:pStyle w:val="36"/>
                    <w:spacing w:before="0" w:after="0" w:line="320" w:lineRule="exact"/>
                    <w:ind w:right="0"/>
                    <w:rPr>
                      <w:color w:val="auto"/>
                      <w:sz w:val="21"/>
                      <w:szCs w:val="21"/>
                    </w:rPr>
                  </w:pPr>
                  <w:r>
                    <w:rPr>
                      <w:rFonts w:hint="eastAsia"/>
                      <w:color w:val="auto"/>
                      <w:sz w:val="21"/>
                      <w:szCs w:val="21"/>
                    </w:rPr>
                    <w:t>达标情况</w:t>
                  </w:r>
                </w:p>
              </w:tc>
            </w:tr>
            <w:tr w14:paraId="4448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037406DF">
                  <w:pPr>
                    <w:jc w:val="center"/>
                    <w:rPr>
                      <w:color w:val="auto"/>
                      <w:sz w:val="21"/>
                      <w:szCs w:val="21"/>
                    </w:rPr>
                  </w:pPr>
                  <w:r>
                    <w:rPr>
                      <w:color w:val="auto"/>
                      <w:sz w:val="21"/>
                      <w:szCs w:val="21"/>
                    </w:rPr>
                    <w:t>氯化物</w:t>
                  </w:r>
                </w:p>
              </w:tc>
              <w:tc>
                <w:tcPr>
                  <w:tcW w:w="763" w:type="pct"/>
                  <w:vAlign w:val="center"/>
                </w:tcPr>
                <w:p w14:paraId="2C6E0795">
                  <w:pPr>
                    <w:jc w:val="center"/>
                    <w:rPr>
                      <w:color w:val="auto"/>
                      <w:sz w:val="21"/>
                      <w:szCs w:val="21"/>
                    </w:rPr>
                  </w:pPr>
                  <w:r>
                    <w:rPr>
                      <w:rFonts w:hint="eastAsia"/>
                      <w:snapToGrid w:val="0"/>
                      <w:color w:val="auto"/>
                      <w:kern w:val="0"/>
                      <w:sz w:val="21"/>
                      <w:szCs w:val="21"/>
                    </w:rPr>
                    <w:t>mg/L</w:t>
                  </w:r>
                </w:p>
              </w:tc>
              <w:tc>
                <w:tcPr>
                  <w:tcW w:w="786" w:type="pct"/>
                  <w:vAlign w:val="center"/>
                </w:tcPr>
                <w:p w14:paraId="093B26BB">
                  <w:pPr>
                    <w:jc w:val="center"/>
                    <w:rPr>
                      <w:color w:val="auto"/>
                      <w:sz w:val="21"/>
                      <w:szCs w:val="21"/>
                    </w:rPr>
                  </w:pPr>
                  <w:r>
                    <w:rPr>
                      <w:rFonts w:hint="eastAsia"/>
                      <w:snapToGrid w:val="0"/>
                      <w:color w:val="auto"/>
                      <w:kern w:val="0"/>
                      <w:sz w:val="21"/>
                      <w:szCs w:val="21"/>
                    </w:rPr>
                    <w:t>534</w:t>
                  </w:r>
                </w:p>
              </w:tc>
              <w:tc>
                <w:tcPr>
                  <w:tcW w:w="833" w:type="pct"/>
                  <w:vAlign w:val="center"/>
                </w:tcPr>
                <w:p w14:paraId="09851218">
                  <w:pPr>
                    <w:widowControl/>
                    <w:jc w:val="center"/>
                    <w:textAlignment w:val="center"/>
                    <w:rPr>
                      <w:color w:val="auto"/>
                      <w:sz w:val="21"/>
                      <w:szCs w:val="21"/>
                    </w:rPr>
                  </w:pPr>
                  <w:r>
                    <w:rPr>
                      <w:color w:val="auto"/>
                      <w:kern w:val="0"/>
                      <w:sz w:val="21"/>
                      <w:szCs w:val="21"/>
                      <w:lang w:bidi="ar"/>
                    </w:rPr>
                    <w:t xml:space="preserve">2.136 </w:t>
                  </w:r>
                </w:p>
              </w:tc>
              <w:tc>
                <w:tcPr>
                  <w:tcW w:w="833" w:type="pct"/>
                  <w:vAlign w:val="center"/>
                </w:tcPr>
                <w:p w14:paraId="207C4291">
                  <w:pPr>
                    <w:jc w:val="center"/>
                    <w:rPr>
                      <w:color w:val="auto"/>
                      <w:sz w:val="21"/>
                      <w:szCs w:val="21"/>
                    </w:rPr>
                  </w:pPr>
                  <w:r>
                    <w:rPr>
                      <w:rFonts w:hint="eastAsia"/>
                      <w:snapToGrid w:val="0"/>
                      <w:color w:val="auto"/>
                      <w:kern w:val="0"/>
                      <w:sz w:val="21"/>
                      <w:szCs w:val="21"/>
                    </w:rPr>
                    <w:t>250</w:t>
                  </w:r>
                </w:p>
              </w:tc>
              <w:tc>
                <w:tcPr>
                  <w:tcW w:w="834" w:type="pct"/>
                  <w:vAlign w:val="center"/>
                </w:tcPr>
                <w:p w14:paraId="26B74E1C">
                  <w:pPr>
                    <w:pStyle w:val="36"/>
                    <w:spacing w:before="0" w:after="0" w:line="320" w:lineRule="exact"/>
                    <w:ind w:right="0"/>
                    <w:rPr>
                      <w:color w:val="auto"/>
                      <w:sz w:val="21"/>
                      <w:szCs w:val="21"/>
                    </w:rPr>
                  </w:pPr>
                  <w:r>
                    <w:rPr>
                      <w:rFonts w:hint="eastAsia"/>
                      <w:color w:val="auto"/>
                      <w:sz w:val="21"/>
                      <w:szCs w:val="21"/>
                    </w:rPr>
                    <w:t>超标</w:t>
                  </w:r>
                </w:p>
              </w:tc>
            </w:tr>
            <w:tr w14:paraId="69E48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54B1D4AE">
                  <w:pPr>
                    <w:jc w:val="center"/>
                    <w:rPr>
                      <w:color w:val="auto"/>
                      <w:sz w:val="21"/>
                      <w:szCs w:val="21"/>
                    </w:rPr>
                  </w:pPr>
                  <w:r>
                    <w:rPr>
                      <w:bCs/>
                      <w:color w:val="auto"/>
                      <w:sz w:val="21"/>
                      <w:szCs w:val="21"/>
                    </w:rPr>
                    <w:t>硫酸</w:t>
                  </w:r>
                  <w:r>
                    <w:rPr>
                      <w:rFonts w:hint="eastAsia"/>
                      <w:bCs/>
                      <w:color w:val="auto"/>
                      <w:sz w:val="21"/>
                      <w:szCs w:val="21"/>
                    </w:rPr>
                    <w:t>盐</w:t>
                  </w:r>
                </w:p>
              </w:tc>
              <w:tc>
                <w:tcPr>
                  <w:tcW w:w="763" w:type="pct"/>
                  <w:vAlign w:val="center"/>
                </w:tcPr>
                <w:p w14:paraId="3339DFA1">
                  <w:pPr>
                    <w:jc w:val="center"/>
                    <w:rPr>
                      <w:color w:val="auto"/>
                      <w:sz w:val="21"/>
                      <w:szCs w:val="21"/>
                    </w:rPr>
                  </w:pPr>
                  <w:r>
                    <w:rPr>
                      <w:rFonts w:hint="eastAsia"/>
                      <w:snapToGrid w:val="0"/>
                      <w:color w:val="auto"/>
                      <w:kern w:val="0"/>
                      <w:sz w:val="21"/>
                      <w:szCs w:val="21"/>
                    </w:rPr>
                    <w:t>mg/L</w:t>
                  </w:r>
                </w:p>
              </w:tc>
              <w:tc>
                <w:tcPr>
                  <w:tcW w:w="786" w:type="pct"/>
                  <w:vAlign w:val="center"/>
                </w:tcPr>
                <w:p w14:paraId="26560FDE">
                  <w:pPr>
                    <w:jc w:val="center"/>
                    <w:rPr>
                      <w:color w:val="auto"/>
                      <w:sz w:val="21"/>
                      <w:szCs w:val="21"/>
                    </w:rPr>
                  </w:pPr>
                  <w:r>
                    <w:rPr>
                      <w:rFonts w:hint="eastAsia"/>
                      <w:snapToGrid w:val="0"/>
                      <w:color w:val="auto"/>
                      <w:kern w:val="0"/>
                      <w:sz w:val="21"/>
                      <w:szCs w:val="21"/>
                    </w:rPr>
                    <w:t>206</w:t>
                  </w:r>
                </w:p>
              </w:tc>
              <w:tc>
                <w:tcPr>
                  <w:tcW w:w="833" w:type="pct"/>
                  <w:vAlign w:val="center"/>
                </w:tcPr>
                <w:p w14:paraId="73F1A319">
                  <w:pPr>
                    <w:widowControl/>
                    <w:jc w:val="center"/>
                    <w:textAlignment w:val="center"/>
                    <w:rPr>
                      <w:color w:val="auto"/>
                      <w:sz w:val="21"/>
                      <w:szCs w:val="21"/>
                    </w:rPr>
                  </w:pPr>
                  <w:r>
                    <w:rPr>
                      <w:color w:val="auto"/>
                      <w:kern w:val="0"/>
                      <w:sz w:val="21"/>
                      <w:szCs w:val="21"/>
                      <w:lang w:bidi="ar"/>
                    </w:rPr>
                    <w:t xml:space="preserve">0.824 </w:t>
                  </w:r>
                </w:p>
              </w:tc>
              <w:tc>
                <w:tcPr>
                  <w:tcW w:w="833" w:type="pct"/>
                  <w:vAlign w:val="center"/>
                </w:tcPr>
                <w:p w14:paraId="40D71C0E">
                  <w:pPr>
                    <w:jc w:val="center"/>
                    <w:rPr>
                      <w:color w:val="auto"/>
                      <w:sz w:val="21"/>
                      <w:szCs w:val="21"/>
                    </w:rPr>
                  </w:pPr>
                  <w:r>
                    <w:rPr>
                      <w:rFonts w:hint="eastAsia"/>
                      <w:snapToGrid w:val="0"/>
                      <w:color w:val="auto"/>
                      <w:kern w:val="0"/>
                      <w:sz w:val="21"/>
                      <w:szCs w:val="21"/>
                    </w:rPr>
                    <w:t>250</w:t>
                  </w:r>
                </w:p>
              </w:tc>
              <w:tc>
                <w:tcPr>
                  <w:tcW w:w="834" w:type="pct"/>
                  <w:vAlign w:val="center"/>
                </w:tcPr>
                <w:p w14:paraId="0F017AF1">
                  <w:pPr>
                    <w:widowControl/>
                    <w:snapToGrid w:val="0"/>
                    <w:spacing w:line="320" w:lineRule="exact"/>
                    <w:jc w:val="center"/>
                    <w:rPr>
                      <w:color w:val="auto"/>
                      <w:sz w:val="21"/>
                      <w:szCs w:val="21"/>
                    </w:rPr>
                  </w:pPr>
                  <w:r>
                    <w:rPr>
                      <w:rFonts w:hint="eastAsia"/>
                      <w:color w:val="auto"/>
                      <w:sz w:val="21"/>
                      <w:szCs w:val="21"/>
                    </w:rPr>
                    <w:t>达标</w:t>
                  </w:r>
                </w:p>
              </w:tc>
            </w:tr>
            <w:tr w14:paraId="68F8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3459A2D1">
                  <w:pPr>
                    <w:jc w:val="center"/>
                    <w:rPr>
                      <w:color w:val="auto"/>
                      <w:sz w:val="21"/>
                      <w:szCs w:val="21"/>
                    </w:rPr>
                  </w:pPr>
                  <w:r>
                    <w:rPr>
                      <w:rFonts w:hint="eastAsia"/>
                      <w:snapToGrid w:val="0"/>
                      <w:color w:val="auto"/>
                      <w:kern w:val="0"/>
                      <w:sz w:val="21"/>
                      <w:szCs w:val="21"/>
                    </w:rPr>
                    <w:t>pH</w:t>
                  </w:r>
                </w:p>
              </w:tc>
              <w:tc>
                <w:tcPr>
                  <w:tcW w:w="763" w:type="pct"/>
                  <w:vAlign w:val="center"/>
                </w:tcPr>
                <w:p w14:paraId="0715ADCD">
                  <w:pPr>
                    <w:jc w:val="center"/>
                    <w:rPr>
                      <w:color w:val="auto"/>
                      <w:sz w:val="21"/>
                      <w:szCs w:val="21"/>
                    </w:rPr>
                  </w:pPr>
                  <w:r>
                    <w:rPr>
                      <w:rFonts w:hint="eastAsia"/>
                      <w:snapToGrid w:val="0"/>
                      <w:color w:val="auto"/>
                      <w:kern w:val="0"/>
                      <w:sz w:val="21"/>
                      <w:szCs w:val="21"/>
                    </w:rPr>
                    <w:t>无量纲</w:t>
                  </w:r>
                </w:p>
              </w:tc>
              <w:tc>
                <w:tcPr>
                  <w:tcW w:w="786" w:type="pct"/>
                  <w:vAlign w:val="center"/>
                </w:tcPr>
                <w:p w14:paraId="64E99831">
                  <w:pPr>
                    <w:jc w:val="center"/>
                    <w:rPr>
                      <w:color w:val="auto"/>
                      <w:sz w:val="21"/>
                      <w:szCs w:val="21"/>
                    </w:rPr>
                  </w:pPr>
                  <w:r>
                    <w:rPr>
                      <w:rFonts w:hint="eastAsia"/>
                      <w:snapToGrid w:val="0"/>
                      <w:color w:val="auto"/>
                      <w:kern w:val="0"/>
                      <w:sz w:val="21"/>
                      <w:szCs w:val="21"/>
                    </w:rPr>
                    <w:t>7.1</w:t>
                  </w:r>
                </w:p>
              </w:tc>
              <w:tc>
                <w:tcPr>
                  <w:tcW w:w="833" w:type="pct"/>
                  <w:vAlign w:val="center"/>
                </w:tcPr>
                <w:p w14:paraId="3AB5DD9D">
                  <w:pPr>
                    <w:widowControl/>
                    <w:jc w:val="center"/>
                    <w:textAlignment w:val="center"/>
                    <w:rPr>
                      <w:color w:val="auto"/>
                      <w:sz w:val="21"/>
                      <w:szCs w:val="21"/>
                    </w:rPr>
                  </w:pPr>
                  <w:r>
                    <w:rPr>
                      <w:color w:val="auto"/>
                      <w:kern w:val="0"/>
                      <w:sz w:val="21"/>
                      <w:szCs w:val="21"/>
                      <w:lang w:bidi="ar"/>
                    </w:rPr>
                    <w:t xml:space="preserve">0.067 </w:t>
                  </w:r>
                </w:p>
              </w:tc>
              <w:tc>
                <w:tcPr>
                  <w:tcW w:w="833" w:type="pct"/>
                  <w:vAlign w:val="center"/>
                </w:tcPr>
                <w:p w14:paraId="58364E77">
                  <w:pPr>
                    <w:jc w:val="center"/>
                    <w:rPr>
                      <w:color w:val="auto"/>
                      <w:sz w:val="21"/>
                      <w:szCs w:val="21"/>
                    </w:rPr>
                  </w:pPr>
                  <w:r>
                    <w:rPr>
                      <w:rFonts w:hint="eastAsia"/>
                      <w:snapToGrid w:val="0"/>
                      <w:color w:val="auto"/>
                      <w:kern w:val="0"/>
                      <w:sz w:val="21"/>
                      <w:szCs w:val="21"/>
                    </w:rPr>
                    <w:t>6.5-8.5</w:t>
                  </w:r>
                </w:p>
              </w:tc>
              <w:tc>
                <w:tcPr>
                  <w:tcW w:w="834" w:type="pct"/>
                  <w:vAlign w:val="center"/>
                </w:tcPr>
                <w:p w14:paraId="49404D2A">
                  <w:pPr>
                    <w:widowControl/>
                    <w:snapToGrid w:val="0"/>
                    <w:spacing w:line="320" w:lineRule="exact"/>
                    <w:jc w:val="center"/>
                    <w:rPr>
                      <w:color w:val="auto"/>
                      <w:sz w:val="21"/>
                      <w:szCs w:val="21"/>
                    </w:rPr>
                  </w:pPr>
                  <w:r>
                    <w:rPr>
                      <w:rFonts w:hint="eastAsia"/>
                      <w:color w:val="auto"/>
                      <w:sz w:val="21"/>
                      <w:szCs w:val="21"/>
                    </w:rPr>
                    <w:t>达标</w:t>
                  </w:r>
                </w:p>
              </w:tc>
            </w:tr>
            <w:tr w14:paraId="5A97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76B675A5">
                  <w:pPr>
                    <w:spacing w:line="320" w:lineRule="exact"/>
                    <w:jc w:val="center"/>
                    <w:rPr>
                      <w:color w:val="auto"/>
                      <w:sz w:val="21"/>
                      <w:szCs w:val="21"/>
                    </w:rPr>
                  </w:pPr>
                  <w:r>
                    <w:rPr>
                      <w:rFonts w:hint="eastAsia" w:ascii="宋体" w:hAnsi="宋体"/>
                      <w:color w:val="auto"/>
                      <w:sz w:val="21"/>
                      <w:szCs w:val="21"/>
                    </w:rPr>
                    <w:t>氨氮</w:t>
                  </w:r>
                </w:p>
              </w:tc>
              <w:tc>
                <w:tcPr>
                  <w:tcW w:w="763" w:type="pct"/>
                  <w:vAlign w:val="center"/>
                </w:tcPr>
                <w:p w14:paraId="147F9B3F">
                  <w:pPr>
                    <w:jc w:val="center"/>
                    <w:rPr>
                      <w:color w:val="auto"/>
                      <w:sz w:val="21"/>
                      <w:szCs w:val="21"/>
                    </w:rPr>
                  </w:pPr>
                  <w:r>
                    <w:rPr>
                      <w:rFonts w:hint="eastAsia"/>
                      <w:snapToGrid w:val="0"/>
                      <w:color w:val="auto"/>
                      <w:kern w:val="0"/>
                      <w:sz w:val="21"/>
                      <w:szCs w:val="21"/>
                    </w:rPr>
                    <w:t>mg/L</w:t>
                  </w:r>
                </w:p>
              </w:tc>
              <w:tc>
                <w:tcPr>
                  <w:tcW w:w="786" w:type="pct"/>
                  <w:vAlign w:val="center"/>
                </w:tcPr>
                <w:p w14:paraId="0B6DAFF2">
                  <w:pPr>
                    <w:jc w:val="center"/>
                    <w:rPr>
                      <w:color w:val="auto"/>
                      <w:sz w:val="21"/>
                      <w:szCs w:val="21"/>
                    </w:rPr>
                  </w:pPr>
                  <w:r>
                    <w:rPr>
                      <w:rFonts w:hint="eastAsia"/>
                      <w:snapToGrid w:val="0"/>
                      <w:color w:val="auto"/>
                      <w:kern w:val="0"/>
                      <w:sz w:val="21"/>
                      <w:szCs w:val="21"/>
                    </w:rPr>
                    <w:t>0.038</w:t>
                  </w:r>
                </w:p>
              </w:tc>
              <w:tc>
                <w:tcPr>
                  <w:tcW w:w="833" w:type="pct"/>
                  <w:vAlign w:val="center"/>
                </w:tcPr>
                <w:p w14:paraId="3FED792A">
                  <w:pPr>
                    <w:widowControl/>
                    <w:jc w:val="center"/>
                    <w:textAlignment w:val="center"/>
                    <w:rPr>
                      <w:color w:val="auto"/>
                      <w:sz w:val="21"/>
                      <w:szCs w:val="21"/>
                    </w:rPr>
                  </w:pPr>
                  <w:r>
                    <w:rPr>
                      <w:color w:val="auto"/>
                      <w:kern w:val="0"/>
                      <w:sz w:val="21"/>
                      <w:szCs w:val="21"/>
                      <w:lang w:bidi="ar"/>
                    </w:rPr>
                    <w:t xml:space="preserve">0.076 </w:t>
                  </w:r>
                </w:p>
              </w:tc>
              <w:tc>
                <w:tcPr>
                  <w:tcW w:w="833" w:type="pct"/>
                  <w:vAlign w:val="center"/>
                </w:tcPr>
                <w:p w14:paraId="4D90F2AF">
                  <w:pPr>
                    <w:jc w:val="center"/>
                    <w:rPr>
                      <w:color w:val="auto"/>
                      <w:sz w:val="21"/>
                      <w:szCs w:val="21"/>
                    </w:rPr>
                  </w:pPr>
                  <w:r>
                    <w:rPr>
                      <w:rFonts w:hint="eastAsia"/>
                      <w:snapToGrid w:val="0"/>
                      <w:color w:val="auto"/>
                      <w:kern w:val="0"/>
                      <w:sz w:val="21"/>
                      <w:szCs w:val="21"/>
                    </w:rPr>
                    <w:t>0.50</w:t>
                  </w:r>
                </w:p>
              </w:tc>
              <w:tc>
                <w:tcPr>
                  <w:tcW w:w="834" w:type="pct"/>
                  <w:vAlign w:val="center"/>
                </w:tcPr>
                <w:p w14:paraId="289162DB">
                  <w:pPr>
                    <w:widowControl/>
                    <w:snapToGrid w:val="0"/>
                    <w:spacing w:line="320" w:lineRule="exact"/>
                    <w:jc w:val="center"/>
                    <w:rPr>
                      <w:color w:val="auto"/>
                      <w:sz w:val="21"/>
                      <w:szCs w:val="21"/>
                    </w:rPr>
                  </w:pPr>
                  <w:r>
                    <w:rPr>
                      <w:rFonts w:hint="eastAsia"/>
                      <w:color w:val="auto"/>
                      <w:sz w:val="21"/>
                      <w:szCs w:val="21"/>
                    </w:rPr>
                    <w:t>达标</w:t>
                  </w:r>
                </w:p>
              </w:tc>
            </w:tr>
            <w:tr w14:paraId="293E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70B650EB">
                  <w:pPr>
                    <w:jc w:val="center"/>
                    <w:rPr>
                      <w:color w:val="auto"/>
                      <w:sz w:val="21"/>
                      <w:szCs w:val="21"/>
                    </w:rPr>
                  </w:pPr>
                  <w:r>
                    <w:rPr>
                      <w:color w:val="auto"/>
                      <w:sz w:val="21"/>
                      <w:szCs w:val="21"/>
                    </w:rPr>
                    <w:t>硝酸盐氮</w:t>
                  </w:r>
                </w:p>
              </w:tc>
              <w:tc>
                <w:tcPr>
                  <w:tcW w:w="763" w:type="pct"/>
                  <w:vAlign w:val="center"/>
                </w:tcPr>
                <w:p w14:paraId="5B5E41A6">
                  <w:pPr>
                    <w:jc w:val="center"/>
                    <w:rPr>
                      <w:color w:val="auto"/>
                      <w:sz w:val="21"/>
                      <w:szCs w:val="21"/>
                    </w:rPr>
                  </w:pPr>
                  <w:r>
                    <w:rPr>
                      <w:rFonts w:hint="eastAsia"/>
                      <w:snapToGrid w:val="0"/>
                      <w:color w:val="auto"/>
                      <w:kern w:val="0"/>
                      <w:sz w:val="21"/>
                      <w:szCs w:val="21"/>
                    </w:rPr>
                    <w:t>mg/L</w:t>
                  </w:r>
                </w:p>
              </w:tc>
              <w:tc>
                <w:tcPr>
                  <w:tcW w:w="786" w:type="pct"/>
                  <w:vAlign w:val="center"/>
                </w:tcPr>
                <w:p w14:paraId="69505C37">
                  <w:pPr>
                    <w:jc w:val="center"/>
                    <w:rPr>
                      <w:color w:val="auto"/>
                      <w:sz w:val="21"/>
                      <w:szCs w:val="21"/>
                    </w:rPr>
                  </w:pPr>
                  <w:r>
                    <w:rPr>
                      <w:rFonts w:hint="eastAsia"/>
                      <w:snapToGrid w:val="0"/>
                      <w:color w:val="auto"/>
                      <w:kern w:val="0"/>
                      <w:sz w:val="21"/>
                      <w:szCs w:val="21"/>
                    </w:rPr>
                    <w:t>1.90</w:t>
                  </w:r>
                </w:p>
              </w:tc>
              <w:tc>
                <w:tcPr>
                  <w:tcW w:w="833" w:type="pct"/>
                  <w:vAlign w:val="center"/>
                </w:tcPr>
                <w:p w14:paraId="33C63D6D">
                  <w:pPr>
                    <w:widowControl/>
                    <w:jc w:val="center"/>
                    <w:textAlignment w:val="center"/>
                    <w:rPr>
                      <w:color w:val="auto"/>
                      <w:sz w:val="21"/>
                      <w:szCs w:val="21"/>
                    </w:rPr>
                  </w:pPr>
                  <w:r>
                    <w:rPr>
                      <w:color w:val="auto"/>
                      <w:kern w:val="0"/>
                      <w:sz w:val="21"/>
                      <w:szCs w:val="21"/>
                      <w:lang w:bidi="ar"/>
                    </w:rPr>
                    <w:t xml:space="preserve">0.095 </w:t>
                  </w:r>
                </w:p>
              </w:tc>
              <w:tc>
                <w:tcPr>
                  <w:tcW w:w="833" w:type="pct"/>
                  <w:vAlign w:val="center"/>
                </w:tcPr>
                <w:p w14:paraId="7B2F035D">
                  <w:pPr>
                    <w:jc w:val="center"/>
                    <w:rPr>
                      <w:color w:val="auto"/>
                      <w:sz w:val="21"/>
                      <w:szCs w:val="21"/>
                    </w:rPr>
                  </w:pPr>
                  <w:r>
                    <w:rPr>
                      <w:rFonts w:hint="eastAsia"/>
                      <w:snapToGrid w:val="0"/>
                      <w:color w:val="auto"/>
                      <w:kern w:val="0"/>
                      <w:sz w:val="21"/>
                      <w:szCs w:val="21"/>
                    </w:rPr>
                    <w:t>20.0</w:t>
                  </w:r>
                </w:p>
              </w:tc>
              <w:tc>
                <w:tcPr>
                  <w:tcW w:w="834" w:type="pct"/>
                  <w:vAlign w:val="center"/>
                </w:tcPr>
                <w:p w14:paraId="30CE0A3A">
                  <w:pPr>
                    <w:widowControl/>
                    <w:snapToGrid w:val="0"/>
                    <w:spacing w:line="320" w:lineRule="exact"/>
                    <w:jc w:val="center"/>
                    <w:rPr>
                      <w:color w:val="auto"/>
                      <w:sz w:val="21"/>
                      <w:szCs w:val="21"/>
                    </w:rPr>
                  </w:pPr>
                  <w:r>
                    <w:rPr>
                      <w:rFonts w:hint="eastAsia"/>
                      <w:color w:val="auto"/>
                      <w:sz w:val="21"/>
                      <w:szCs w:val="21"/>
                    </w:rPr>
                    <w:t>达标</w:t>
                  </w:r>
                </w:p>
              </w:tc>
            </w:tr>
            <w:tr w14:paraId="569D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0B3BC145">
                  <w:pPr>
                    <w:jc w:val="center"/>
                    <w:rPr>
                      <w:color w:val="auto"/>
                      <w:sz w:val="21"/>
                      <w:szCs w:val="21"/>
                    </w:rPr>
                  </w:pPr>
                  <w:r>
                    <w:rPr>
                      <w:color w:val="auto"/>
                      <w:sz w:val="21"/>
                      <w:szCs w:val="21"/>
                    </w:rPr>
                    <w:t>亚硝酸盐氮</w:t>
                  </w:r>
                </w:p>
              </w:tc>
              <w:tc>
                <w:tcPr>
                  <w:tcW w:w="763" w:type="pct"/>
                  <w:vAlign w:val="center"/>
                </w:tcPr>
                <w:p w14:paraId="6A24F1C4">
                  <w:pPr>
                    <w:jc w:val="center"/>
                    <w:rPr>
                      <w:color w:val="auto"/>
                      <w:sz w:val="21"/>
                      <w:szCs w:val="21"/>
                    </w:rPr>
                  </w:pPr>
                  <w:r>
                    <w:rPr>
                      <w:rFonts w:hint="eastAsia"/>
                      <w:snapToGrid w:val="0"/>
                      <w:color w:val="auto"/>
                      <w:kern w:val="0"/>
                      <w:sz w:val="21"/>
                      <w:szCs w:val="21"/>
                    </w:rPr>
                    <w:t>mg/L</w:t>
                  </w:r>
                </w:p>
              </w:tc>
              <w:tc>
                <w:tcPr>
                  <w:tcW w:w="786" w:type="pct"/>
                  <w:vAlign w:val="center"/>
                </w:tcPr>
                <w:p w14:paraId="4434F2AC">
                  <w:pPr>
                    <w:jc w:val="center"/>
                    <w:rPr>
                      <w:color w:val="auto"/>
                      <w:sz w:val="21"/>
                      <w:szCs w:val="21"/>
                    </w:rPr>
                  </w:pPr>
                  <w:r>
                    <w:rPr>
                      <w:rFonts w:hint="eastAsia"/>
                      <w:color w:val="auto"/>
                      <w:sz w:val="21"/>
                      <w:szCs w:val="21"/>
                    </w:rPr>
                    <w:t>0.012</w:t>
                  </w:r>
                </w:p>
              </w:tc>
              <w:tc>
                <w:tcPr>
                  <w:tcW w:w="833" w:type="pct"/>
                  <w:vAlign w:val="center"/>
                </w:tcPr>
                <w:p w14:paraId="3FE32207">
                  <w:pPr>
                    <w:widowControl/>
                    <w:jc w:val="center"/>
                    <w:textAlignment w:val="center"/>
                    <w:rPr>
                      <w:color w:val="auto"/>
                      <w:sz w:val="21"/>
                      <w:szCs w:val="21"/>
                    </w:rPr>
                  </w:pPr>
                  <w:r>
                    <w:rPr>
                      <w:color w:val="auto"/>
                      <w:kern w:val="0"/>
                      <w:sz w:val="21"/>
                      <w:szCs w:val="21"/>
                      <w:lang w:bidi="ar"/>
                    </w:rPr>
                    <w:t xml:space="preserve">0.012 </w:t>
                  </w:r>
                </w:p>
              </w:tc>
              <w:tc>
                <w:tcPr>
                  <w:tcW w:w="833" w:type="pct"/>
                  <w:vAlign w:val="center"/>
                </w:tcPr>
                <w:p w14:paraId="3FE359B7">
                  <w:pPr>
                    <w:jc w:val="center"/>
                    <w:rPr>
                      <w:color w:val="auto"/>
                      <w:sz w:val="21"/>
                      <w:szCs w:val="21"/>
                    </w:rPr>
                  </w:pPr>
                  <w:r>
                    <w:rPr>
                      <w:rFonts w:hint="eastAsia"/>
                      <w:snapToGrid w:val="0"/>
                      <w:color w:val="auto"/>
                      <w:kern w:val="0"/>
                      <w:sz w:val="21"/>
                      <w:szCs w:val="21"/>
                    </w:rPr>
                    <w:t>1.00</w:t>
                  </w:r>
                </w:p>
              </w:tc>
              <w:tc>
                <w:tcPr>
                  <w:tcW w:w="834" w:type="pct"/>
                  <w:vAlign w:val="center"/>
                </w:tcPr>
                <w:p w14:paraId="0F3C52C6">
                  <w:pPr>
                    <w:widowControl/>
                    <w:snapToGrid w:val="0"/>
                    <w:spacing w:line="320" w:lineRule="exact"/>
                    <w:jc w:val="center"/>
                    <w:rPr>
                      <w:color w:val="auto"/>
                      <w:sz w:val="21"/>
                      <w:szCs w:val="21"/>
                    </w:rPr>
                  </w:pPr>
                  <w:r>
                    <w:rPr>
                      <w:rFonts w:hint="eastAsia"/>
                      <w:color w:val="auto"/>
                      <w:sz w:val="21"/>
                      <w:szCs w:val="21"/>
                    </w:rPr>
                    <w:t>达标</w:t>
                  </w:r>
                </w:p>
              </w:tc>
            </w:tr>
            <w:tr w14:paraId="6EA8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7D3A7740">
                  <w:pPr>
                    <w:jc w:val="center"/>
                    <w:rPr>
                      <w:color w:val="auto"/>
                      <w:sz w:val="21"/>
                      <w:szCs w:val="21"/>
                    </w:rPr>
                  </w:pPr>
                  <w:r>
                    <w:rPr>
                      <w:color w:val="auto"/>
                      <w:sz w:val="21"/>
                      <w:szCs w:val="21"/>
                    </w:rPr>
                    <w:t>挥发酚</w:t>
                  </w:r>
                </w:p>
              </w:tc>
              <w:tc>
                <w:tcPr>
                  <w:tcW w:w="763" w:type="pct"/>
                  <w:vAlign w:val="center"/>
                </w:tcPr>
                <w:p w14:paraId="5142D6ED">
                  <w:pPr>
                    <w:jc w:val="center"/>
                    <w:rPr>
                      <w:color w:val="auto"/>
                      <w:sz w:val="21"/>
                      <w:szCs w:val="21"/>
                    </w:rPr>
                  </w:pPr>
                  <w:r>
                    <w:rPr>
                      <w:rFonts w:hint="eastAsia"/>
                      <w:snapToGrid w:val="0"/>
                      <w:color w:val="auto"/>
                      <w:kern w:val="0"/>
                      <w:sz w:val="21"/>
                      <w:szCs w:val="21"/>
                    </w:rPr>
                    <w:t>mg/L</w:t>
                  </w:r>
                </w:p>
              </w:tc>
              <w:tc>
                <w:tcPr>
                  <w:tcW w:w="786" w:type="pct"/>
                  <w:vAlign w:val="center"/>
                </w:tcPr>
                <w:p w14:paraId="172D44D3">
                  <w:pPr>
                    <w:jc w:val="center"/>
                    <w:rPr>
                      <w:color w:val="auto"/>
                      <w:sz w:val="21"/>
                      <w:szCs w:val="21"/>
                    </w:rPr>
                  </w:pPr>
                  <w:r>
                    <w:rPr>
                      <w:rFonts w:hint="eastAsia"/>
                      <w:color w:val="auto"/>
                      <w:sz w:val="21"/>
                      <w:szCs w:val="21"/>
                    </w:rPr>
                    <w:t>0.0009</w:t>
                  </w:r>
                </w:p>
              </w:tc>
              <w:tc>
                <w:tcPr>
                  <w:tcW w:w="833" w:type="pct"/>
                  <w:vAlign w:val="center"/>
                </w:tcPr>
                <w:p w14:paraId="56B635B3">
                  <w:pPr>
                    <w:widowControl/>
                    <w:jc w:val="center"/>
                    <w:textAlignment w:val="center"/>
                    <w:rPr>
                      <w:color w:val="auto"/>
                      <w:sz w:val="21"/>
                      <w:szCs w:val="21"/>
                    </w:rPr>
                  </w:pPr>
                  <w:r>
                    <w:rPr>
                      <w:color w:val="auto"/>
                      <w:kern w:val="0"/>
                      <w:sz w:val="21"/>
                      <w:szCs w:val="21"/>
                      <w:lang w:bidi="ar"/>
                    </w:rPr>
                    <w:t xml:space="preserve">0.450 </w:t>
                  </w:r>
                </w:p>
              </w:tc>
              <w:tc>
                <w:tcPr>
                  <w:tcW w:w="833" w:type="pct"/>
                  <w:vAlign w:val="center"/>
                </w:tcPr>
                <w:p w14:paraId="76D8CE08">
                  <w:pPr>
                    <w:jc w:val="center"/>
                    <w:rPr>
                      <w:color w:val="auto"/>
                      <w:sz w:val="21"/>
                      <w:szCs w:val="21"/>
                    </w:rPr>
                  </w:pPr>
                  <w:r>
                    <w:rPr>
                      <w:rFonts w:hint="eastAsia"/>
                      <w:snapToGrid w:val="0"/>
                      <w:color w:val="auto"/>
                      <w:kern w:val="0"/>
                      <w:sz w:val="21"/>
                      <w:szCs w:val="21"/>
                    </w:rPr>
                    <w:t>0.002</w:t>
                  </w:r>
                </w:p>
              </w:tc>
              <w:tc>
                <w:tcPr>
                  <w:tcW w:w="834" w:type="pct"/>
                  <w:vAlign w:val="center"/>
                </w:tcPr>
                <w:p w14:paraId="0A35E5B8">
                  <w:pPr>
                    <w:widowControl/>
                    <w:snapToGrid w:val="0"/>
                    <w:spacing w:line="320" w:lineRule="exact"/>
                    <w:jc w:val="center"/>
                    <w:rPr>
                      <w:color w:val="auto"/>
                      <w:sz w:val="21"/>
                      <w:szCs w:val="21"/>
                    </w:rPr>
                  </w:pPr>
                  <w:r>
                    <w:rPr>
                      <w:rFonts w:hint="eastAsia"/>
                      <w:color w:val="auto"/>
                      <w:sz w:val="21"/>
                      <w:szCs w:val="21"/>
                    </w:rPr>
                    <w:t>达标</w:t>
                  </w:r>
                </w:p>
              </w:tc>
            </w:tr>
            <w:tr w14:paraId="2C15F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14A7C9EC">
                  <w:pPr>
                    <w:jc w:val="center"/>
                    <w:rPr>
                      <w:color w:val="auto"/>
                      <w:sz w:val="21"/>
                      <w:szCs w:val="21"/>
                    </w:rPr>
                  </w:pPr>
                  <w:r>
                    <w:rPr>
                      <w:color w:val="auto"/>
                      <w:sz w:val="21"/>
                      <w:szCs w:val="21"/>
                    </w:rPr>
                    <w:t>氰化物</w:t>
                  </w:r>
                </w:p>
              </w:tc>
              <w:tc>
                <w:tcPr>
                  <w:tcW w:w="763" w:type="pct"/>
                  <w:vAlign w:val="center"/>
                </w:tcPr>
                <w:p w14:paraId="19C6169E">
                  <w:pPr>
                    <w:jc w:val="center"/>
                    <w:rPr>
                      <w:color w:val="auto"/>
                      <w:sz w:val="21"/>
                      <w:szCs w:val="21"/>
                    </w:rPr>
                  </w:pPr>
                  <w:r>
                    <w:rPr>
                      <w:rFonts w:hint="eastAsia"/>
                      <w:snapToGrid w:val="0"/>
                      <w:color w:val="auto"/>
                      <w:kern w:val="0"/>
                      <w:sz w:val="21"/>
                      <w:szCs w:val="21"/>
                    </w:rPr>
                    <w:t>mg/L</w:t>
                  </w:r>
                </w:p>
              </w:tc>
              <w:tc>
                <w:tcPr>
                  <w:tcW w:w="786" w:type="pct"/>
                  <w:vAlign w:val="center"/>
                </w:tcPr>
                <w:p w14:paraId="359D17F2">
                  <w:pPr>
                    <w:jc w:val="center"/>
                    <w:rPr>
                      <w:color w:val="auto"/>
                      <w:sz w:val="21"/>
                      <w:szCs w:val="21"/>
                    </w:rPr>
                  </w:pPr>
                  <w:r>
                    <w:rPr>
                      <w:rFonts w:hint="eastAsia"/>
                      <w:color w:val="auto"/>
                      <w:sz w:val="21"/>
                      <w:szCs w:val="21"/>
                    </w:rPr>
                    <w:t>0.002L</w:t>
                  </w:r>
                </w:p>
              </w:tc>
              <w:tc>
                <w:tcPr>
                  <w:tcW w:w="833" w:type="pct"/>
                  <w:vAlign w:val="center"/>
                </w:tcPr>
                <w:p w14:paraId="205BDC35">
                  <w:pPr>
                    <w:jc w:val="center"/>
                    <w:rPr>
                      <w:color w:val="auto"/>
                      <w:sz w:val="21"/>
                      <w:szCs w:val="21"/>
                    </w:rPr>
                  </w:pPr>
                  <w:r>
                    <w:rPr>
                      <w:rFonts w:hint="eastAsia"/>
                      <w:color w:val="auto"/>
                      <w:sz w:val="21"/>
                      <w:szCs w:val="21"/>
                    </w:rPr>
                    <w:t>/</w:t>
                  </w:r>
                </w:p>
              </w:tc>
              <w:tc>
                <w:tcPr>
                  <w:tcW w:w="833" w:type="pct"/>
                  <w:vAlign w:val="center"/>
                </w:tcPr>
                <w:p w14:paraId="3E696D51">
                  <w:pPr>
                    <w:jc w:val="center"/>
                    <w:rPr>
                      <w:color w:val="auto"/>
                      <w:sz w:val="21"/>
                      <w:szCs w:val="21"/>
                    </w:rPr>
                  </w:pPr>
                  <w:r>
                    <w:rPr>
                      <w:rFonts w:hint="eastAsia"/>
                      <w:snapToGrid w:val="0"/>
                      <w:color w:val="auto"/>
                      <w:kern w:val="0"/>
                      <w:sz w:val="21"/>
                      <w:szCs w:val="21"/>
                    </w:rPr>
                    <w:t>0.05</w:t>
                  </w:r>
                </w:p>
              </w:tc>
              <w:tc>
                <w:tcPr>
                  <w:tcW w:w="834" w:type="pct"/>
                  <w:vAlign w:val="center"/>
                </w:tcPr>
                <w:p w14:paraId="2A492735">
                  <w:pPr>
                    <w:widowControl/>
                    <w:snapToGrid w:val="0"/>
                    <w:spacing w:line="320" w:lineRule="exact"/>
                    <w:jc w:val="center"/>
                    <w:rPr>
                      <w:color w:val="auto"/>
                      <w:sz w:val="21"/>
                      <w:szCs w:val="21"/>
                    </w:rPr>
                  </w:pPr>
                  <w:r>
                    <w:rPr>
                      <w:rFonts w:hint="eastAsia"/>
                      <w:color w:val="auto"/>
                      <w:sz w:val="21"/>
                      <w:szCs w:val="21"/>
                    </w:rPr>
                    <w:t>达标</w:t>
                  </w:r>
                </w:p>
              </w:tc>
            </w:tr>
            <w:tr w14:paraId="2B2B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37AF0191">
                  <w:pPr>
                    <w:jc w:val="center"/>
                    <w:rPr>
                      <w:color w:val="auto"/>
                      <w:sz w:val="21"/>
                      <w:szCs w:val="21"/>
                    </w:rPr>
                  </w:pPr>
                  <w:r>
                    <w:rPr>
                      <w:color w:val="auto"/>
                      <w:sz w:val="21"/>
                      <w:szCs w:val="21"/>
                    </w:rPr>
                    <w:t>砷</w:t>
                  </w:r>
                </w:p>
              </w:tc>
              <w:tc>
                <w:tcPr>
                  <w:tcW w:w="763" w:type="pct"/>
                  <w:vAlign w:val="center"/>
                </w:tcPr>
                <w:p w14:paraId="469ACE14">
                  <w:pPr>
                    <w:jc w:val="center"/>
                    <w:rPr>
                      <w:color w:val="auto"/>
                      <w:sz w:val="21"/>
                      <w:szCs w:val="21"/>
                    </w:rPr>
                  </w:pPr>
                  <w:r>
                    <w:rPr>
                      <w:color w:val="auto"/>
                      <w:sz w:val="21"/>
                      <w:szCs w:val="21"/>
                    </w:rPr>
                    <w:t>µg/</w:t>
                  </w:r>
                  <w:r>
                    <w:rPr>
                      <w:snapToGrid w:val="0"/>
                      <w:color w:val="auto"/>
                      <w:kern w:val="0"/>
                      <w:sz w:val="21"/>
                      <w:szCs w:val="21"/>
                    </w:rPr>
                    <w:t>L</w:t>
                  </w:r>
                </w:p>
              </w:tc>
              <w:tc>
                <w:tcPr>
                  <w:tcW w:w="786" w:type="pct"/>
                  <w:vAlign w:val="center"/>
                </w:tcPr>
                <w:p w14:paraId="4D0C3A12">
                  <w:pPr>
                    <w:jc w:val="center"/>
                    <w:rPr>
                      <w:color w:val="auto"/>
                      <w:sz w:val="21"/>
                      <w:szCs w:val="21"/>
                    </w:rPr>
                  </w:pPr>
                  <w:r>
                    <w:rPr>
                      <w:rFonts w:hint="eastAsia"/>
                      <w:color w:val="auto"/>
                      <w:sz w:val="21"/>
                      <w:szCs w:val="21"/>
                    </w:rPr>
                    <w:t>0.3L</w:t>
                  </w:r>
                </w:p>
              </w:tc>
              <w:tc>
                <w:tcPr>
                  <w:tcW w:w="833" w:type="pct"/>
                  <w:vAlign w:val="center"/>
                </w:tcPr>
                <w:p w14:paraId="33D48077">
                  <w:pPr>
                    <w:jc w:val="center"/>
                    <w:rPr>
                      <w:color w:val="auto"/>
                      <w:sz w:val="21"/>
                      <w:szCs w:val="21"/>
                    </w:rPr>
                  </w:pPr>
                  <w:r>
                    <w:rPr>
                      <w:rFonts w:hint="eastAsia"/>
                      <w:color w:val="auto"/>
                      <w:sz w:val="21"/>
                      <w:szCs w:val="21"/>
                    </w:rPr>
                    <w:t>/</w:t>
                  </w:r>
                </w:p>
              </w:tc>
              <w:tc>
                <w:tcPr>
                  <w:tcW w:w="833" w:type="pct"/>
                  <w:vAlign w:val="center"/>
                </w:tcPr>
                <w:p w14:paraId="45756C4C">
                  <w:pPr>
                    <w:jc w:val="center"/>
                    <w:rPr>
                      <w:color w:val="auto"/>
                      <w:sz w:val="21"/>
                      <w:szCs w:val="21"/>
                    </w:rPr>
                  </w:pPr>
                  <w:r>
                    <w:rPr>
                      <w:rFonts w:hint="eastAsia"/>
                      <w:snapToGrid w:val="0"/>
                      <w:color w:val="auto"/>
                      <w:kern w:val="0"/>
                      <w:sz w:val="21"/>
                      <w:szCs w:val="21"/>
                    </w:rPr>
                    <w:t>10</w:t>
                  </w:r>
                </w:p>
              </w:tc>
              <w:tc>
                <w:tcPr>
                  <w:tcW w:w="834" w:type="pct"/>
                  <w:vAlign w:val="center"/>
                </w:tcPr>
                <w:p w14:paraId="3CEB3211">
                  <w:pPr>
                    <w:widowControl/>
                    <w:snapToGrid w:val="0"/>
                    <w:spacing w:line="320" w:lineRule="exact"/>
                    <w:jc w:val="center"/>
                    <w:rPr>
                      <w:color w:val="auto"/>
                      <w:sz w:val="21"/>
                      <w:szCs w:val="21"/>
                    </w:rPr>
                  </w:pPr>
                  <w:r>
                    <w:rPr>
                      <w:rFonts w:hint="eastAsia"/>
                      <w:color w:val="auto"/>
                      <w:sz w:val="21"/>
                      <w:szCs w:val="21"/>
                    </w:rPr>
                    <w:t>达标</w:t>
                  </w:r>
                </w:p>
              </w:tc>
            </w:tr>
            <w:tr w14:paraId="6ABF2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6A9F59C9">
                  <w:pPr>
                    <w:jc w:val="center"/>
                    <w:rPr>
                      <w:color w:val="auto"/>
                      <w:sz w:val="21"/>
                      <w:szCs w:val="21"/>
                    </w:rPr>
                  </w:pPr>
                  <w:r>
                    <w:rPr>
                      <w:color w:val="auto"/>
                      <w:sz w:val="21"/>
                      <w:szCs w:val="21"/>
                    </w:rPr>
                    <w:t>汞</w:t>
                  </w:r>
                </w:p>
              </w:tc>
              <w:tc>
                <w:tcPr>
                  <w:tcW w:w="763" w:type="pct"/>
                  <w:vAlign w:val="center"/>
                </w:tcPr>
                <w:p w14:paraId="7D4E9505">
                  <w:pPr>
                    <w:jc w:val="center"/>
                    <w:rPr>
                      <w:color w:val="auto"/>
                      <w:sz w:val="21"/>
                      <w:szCs w:val="21"/>
                    </w:rPr>
                  </w:pPr>
                  <w:r>
                    <w:rPr>
                      <w:color w:val="auto"/>
                      <w:sz w:val="21"/>
                      <w:szCs w:val="21"/>
                    </w:rPr>
                    <w:t>µg/</w:t>
                  </w:r>
                  <w:r>
                    <w:rPr>
                      <w:snapToGrid w:val="0"/>
                      <w:color w:val="auto"/>
                      <w:kern w:val="0"/>
                      <w:sz w:val="21"/>
                      <w:szCs w:val="21"/>
                    </w:rPr>
                    <w:t>L</w:t>
                  </w:r>
                </w:p>
              </w:tc>
              <w:tc>
                <w:tcPr>
                  <w:tcW w:w="786" w:type="pct"/>
                  <w:vAlign w:val="center"/>
                </w:tcPr>
                <w:p w14:paraId="5E9D55DD">
                  <w:pPr>
                    <w:jc w:val="center"/>
                    <w:rPr>
                      <w:color w:val="auto"/>
                      <w:sz w:val="21"/>
                      <w:szCs w:val="21"/>
                    </w:rPr>
                  </w:pPr>
                  <w:r>
                    <w:rPr>
                      <w:rFonts w:hint="eastAsia"/>
                      <w:color w:val="auto"/>
                      <w:sz w:val="21"/>
                      <w:szCs w:val="21"/>
                    </w:rPr>
                    <w:t>0.04L</w:t>
                  </w:r>
                </w:p>
              </w:tc>
              <w:tc>
                <w:tcPr>
                  <w:tcW w:w="833" w:type="pct"/>
                  <w:vAlign w:val="center"/>
                </w:tcPr>
                <w:p w14:paraId="39017B14">
                  <w:pPr>
                    <w:jc w:val="center"/>
                    <w:rPr>
                      <w:color w:val="auto"/>
                      <w:sz w:val="21"/>
                      <w:szCs w:val="21"/>
                    </w:rPr>
                  </w:pPr>
                  <w:r>
                    <w:rPr>
                      <w:rFonts w:hint="eastAsia"/>
                      <w:color w:val="auto"/>
                      <w:sz w:val="21"/>
                      <w:szCs w:val="21"/>
                    </w:rPr>
                    <w:t>/</w:t>
                  </w:r>
                </w:p>
              </w:tc>
              <w:tc>
                <w:tcPr>
                  <w:tcW w:w="833" w:type="pct"/>
                  <w:vAlign w:val="center"/>
                </w:tcPr>
                <w:p w14:paraId="53F8AEC9">
                  <w:pPr>
                    <w:jc w:val="center"/>
                    <w:rPr>
                      <w:color w:val="auto"/>
                      <w:sz w:val="21"/>
                      <w:szCs w:val="21"/>
                    </w:rPr>
                  </w:pPr>
                  <w:r>
                    <w:rPr>
                      <w:rFonts w:hint="eastAsia"/>
                      <w:snapToGrid w:val="0"/>
                      <w:color w:val="auto"/>
                      <w:kern w:val="0"/>
                      <w:sz w:val="21"/>
                      <w:szCs w:val="21"/>
                    </w:rPr>
                    <w:t>1</w:t>
                  </w:r>
                </w:p>
              </w:tc>
              <w:tc>
                <w:tcPr>
                  <w:tcW w:w="834" w:type="pct"/>
                  <w:vAlign w:val="center"/>
                </w:tcPr>
                <w:p w14:paraId="6E94D4B5">
                  <w:pPr>
                    <w:widowControl/>
                    <w:snapToGrid w:val="0"/>
                    <w:spacing w:line="320" w:lineRule="exact"/>
                    <w:jc w:val="center"/>
                    <w:rPr>
                      <w:color w:val="auto"/>
                      <w:sz w:val="21"/>
                      <w:szCs w:val="21"/>
                    </w:rPr>
                  </w:pPr>
                  <w:r>
                    <w:rPr>
                      <w:rFonts w:hint="eastAsia"/>
                      <w:color w:val="auto"/>
                      <w:sz w:val="21"/>
                      <w:szCs w:val="21"/>
                    </w:rPr>
                    <w:t>达标</w:t>
                  </w:r>
                </w:p>
              </w:tc>
            </w:tr>
            <w:tr w14:paraId="22BB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0AA20862">
                  <w:pPr>
                    <w:jc w:val="center"/>
                    <w:rPr>
                      <w:color w:val="auto"/>
                      <w:sz w:val="21"/>
                      <w:szCs w:val="21"/>
                    </w:rPr>
                  </w:pPr>
                  <w:r>
                    <w:rPr>
                      <w:color w:val="auto"/>
                      <w:sz w:val="21"/>
                      <w:szCs w:val="21"/>
                    </w:rPr>
                    <w:t>铬（六价）</w:t>
                  </w:r>
                </w:p>
              </w:tc>
              <w:tc>
                <w:tcPr>
                  <w:tcW w:w="763" w:type="pct"/>
                  <w:vAlign w:val="center"/>
                </w:tcPr>
                <w:p w14:paraId="5EB7A9EF">
                  <w:pPr>
                    <w:jc w:val="center"/>
                    <w:rPr>
                      <w:color w:val="auto"/>
                      <w:sz w:val="21"/>
                      <w:szCs w:val="21"/>
                    </w:rPr>
                  </w:pPr>
                  <w:r>
                    <w:rPr>
                      <w:rFonts w:hint="eastAsia"/>
                      <w:snapToGrid w:val="0"/>
                      <w:color w:val="auto"/>
                      <w:kern w:val="0"/>
                      <w:sz w:val="21"/>
                      <w:szCs w:val="21"/>
                    </w:rPr>
                    <w:t>mg/L</w:t>
                  </w:r>
                </w:p>
              </w:tc>
              <w:tc>
                <w:tcPr>
                  <w:tcW w:w="786" w:type="pct"/>
                  <w:vAlign w:val="center"/>
                </w:tcPr>
                <w:p w14:paraId="1162F1F5">
                  <w:pPr>
                    <w:jc w:val="center"/>
                    <w:rPr>
                      <w:color w:val="auto"/>
                      <w:sz w:val="21"/>
                      <w:szCs w:val="21"/>
                    </w:rPr>
                  </w:pPr>
                  <w:r>
                    <w:rPr>
                      <w:rFonts w:hint="eastAsia"/>
                      <w:color w:val="auto"/>
                      <w:sz w:val="21"/>
                      <w:szCs w:val="21"/>
                    </w:rPr>
                    <w:t>0.004L</w:t>
                  </w:r>
                </w:p>
              </w:tc>
              <w:tc>
                <w:tcPr>
                  <w:tcW w:w="833" w:type="pct"/>
                  <w:vAlign w:val="center"/>
                </w:tcPr>
                <w:p w14:paraId="27540AD9">
                  <w:pPr>
                    <w:jc w:val="center"/>
                    <w:rPr>
                      <w:color w:val="auto"/>
                      <w:sz w:val="21"/>
                      <w:szCs w:val="21"/>
                    </w:rPr>
                  </w:pPr>
                  <w:r>
                    <w:rPr>
                      <w:rFonts w:hint="eastAsia"/>
                      <w:color w:val="auto"/>
                      <w:sz w:val="21"/>
                      <w:szCs w:val="21"/>
                    </w:rPr>
                    <w:t>/</w:t>
                  </w:r>
                </w:p>
              </w:tc>
              <w:tc>
                <w:tcPr>
                  <w:tcW w:w="833" w:type="pct"/>
                  <w:vAlign w:val="center"/>
                </w:tcPr>
                <w:p w14:paraId="46082187">
                  <w:pPr>
                    <w:jc w:val="center"/>
                    <w:rPr>
                      <w:color w:val="auto"/>
                      <w:sz w:val="21"/>
                      <w:szCs w:val="21"/>
                    </w:rPr>
                  </w:pPr>
                  <w:r>
                    <w:rPr>
                      <w:rFonts w:hint="eastAsia"/>
                      <w:snapToGrid w:val="0"/>
                      <w:color w:val="auto"/>
                      <w:kern w:val="0"/>
                      <w:sz w:val="21"/>
                      <w:szCs w:val="21"/>
                    </w:rPr>
                    <w:t>0.05</w:t>
                  </w:r>
                </w:p>
              </w:tc>
              <w:tc>
                <w:tcPr>
                  <w:tcW w:w="834" w:type="pct"/>
                  <w:vAlign w:val="center"/>
                </w:tcPr>
                <w:p w14:paraId="7704EEFF">
                  <w:pPr>
                    <w:widowControl/>
                    <w:snapToGrid w:val="0"/>
                    <w:spacing w:line="320" w:lineRule="exact"/>
                    <w:jc w:val="center"/>
                    <w:rPr>
                      <w:color w:val="auto"/>
                      <w:sz w:val="21"/>
                      <w:szCs w:val="21"/>
                    </w:rPr>
                  </w:pPr>
                  <w:r>
                    <w:rPr>
                      <w:rFonts w:hint="eastAsia"/>
                      <w:color w:val="auto"/>
                      <w:sz w:val="21"/>
                      <w:szCs w:val="21"/>
                    </w:rPr>
                    <w:t>达标</w:t>
                  </w:r>
                </w:p>
              </w:tc>
            </w:tr>
            <w:tr w14:paraId="4E06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1875B2FD">
                  <w:pPr>
                    <w:jc w:val="center"/>
                    <w:rPr>
                      <w:color w:val="auto"/>
                      <w:sz w:val="21"/>
                      <w:szCs w:val="21"/>
                    </w:rPr>
                  </w:pPr>
                  <w:r>
                    <w:rPr>
                      <w:rFonts w:hint="eastAsia"/>
                      <w:snapToGrid w:val="0"/>
                      <w:color w:val="auto"/>
                      <w:kern w:val="0"/>
                      <w:sz w:val="21"/>
                      <w:szCs w:val="21"/>
                    </w:rPr>
                    <w:t>总硬度</w:t>
                  </w:r>
                </w:p>
              </w:tc>
              <w:tc>
                <w:tcPr>
                  <w:tcW w:w="763" w:type="pct"/>
                  <w:vAlign w:val="center"/>
                </w:tcPr>
                <w:p w14:paraId="20BC4A38">
                  <w:pPr>
                    <w:jc w:val="center"/>
                    <w:rPr>
                      <w:color w:val="auto"/>
                      <w:sz w:val="21"/>
                      <w:szCs w:val="21"/>
                    </w:rPr>
                  </w:pPr>
                  <w:r>
                    <w:rPr>
                      <w:rFonts w:hint="eastAsia"/>
                      <w:snapToGrid w:val="0"/>
                      <w:color w:val="auto"/>
                      <w:kern w:val="0"/>
                      <w:sz w:val="21"/>
                      <w:szCs w:val="21"/>
                    </w:rPr>
                    <w:t>mg/L</w:t>
                  </w:r>
                </w:p>
              </w:tc>
              <w:tc>
                <w:tcPr>
                  <w:tcW w:w="786" w:type="pct"/>
                  <w:vAlign w:val="center"/>
                </w:tcPr>
                <w:p w14:paraId="31284446">
                  <w:pPr>
                    <w:jc w:val="center"/>
                    <w:rPr>
                      <w:color w:val="auto"/>
                      <w:sz w:val="21"/>
                      <w:szCs w:val="21"/>
                    </w:rPr>
                  </w:pPr>
                  <w:r>
                    <w:rPr>
                      <w:rFonts w:hint="eastAsia"/>
                      <w:snapToGrid w:val="0"/>
                      <w:color w:val="auto"/>
                      <w:kern w:val="0"/>
                      <w:sz w:val="21"/>
                      <w:szCs w:val="21"/>
                    </w:rPr>
                    <w:t>421</w:t>
                  </w:r>
                </w:p>
              </w:tc>
              <w:tc>
                <w:tcPr>
                  <w:tcW w:w="833" w:type="pct"/>
                  <w:vAlign w:val="center"/>
                </w:tcPr>
                <w:p w14:paraId="31592035">
                  <w:pPr>
                    <w:widowControl/>
                    <w:jc w:val="center"/>
                    <w:textAlignment w:val="center"/>
                    <w:rPr>
                      <w:color w:val="auto"/>
                      <w:sz w:val="21"/>
                      <w:szCs w:val="21"/>
                    </w:rPr>
                  </w:pPr>
                  <w:r>
                    <w:rPr>
                      <w:color w:val="auto"/>
                      <w:kern w:val="0"/>
                      <w:sz w:val="21"/>
                      <w:szCs w:val="21"/>
                      <w:lang w:bidi="ar"/>
                    </w:rPr>
                    <w:t xml:space="preserve">0.936 </w:t>
                  </w:r>
                </w:p>
              </w:tc>
              <w:tc>
                <w:tcPr>
                  <w:tcW w:w="833" w:type="pct"/>
                  <w:vAlign w:val="center"/>
                </w:tcPr>
                <w:p w14:paraId="1B8AB992">
                  <w:pPr>
                    <w:jc w:val="center"/>
                    <w:rPr>
                      <w:color w:val="auto"/>
                      <w:sz w:val="21"/>
                      <w:szCs w:val="21"/>
                    </w:rPr>
                  </w:pPr>
                  <w:r>
                    <w:rPr>
                      <w:rFonts w:hint="eastAsia"/>
                      <w:snapToGrid w:val="0"/>
                      <w:color w:val="auto"/>
                      <w:kern w:val="0"/>
                      <w:sz w:val="21"/>
                      <w:szCs w:val="21"/>
                    </w:rPr>
                    <w:t>450</w:t>
                  </w:r>
                </w:p>
              </w:tc>
              <w:tc>
                <w:tcPr>
                  <w:tcW w:w="834" w:type="pct"/>
                  <w:vAlign w:val="center"/>
                </w:tcPr>
                <w:p w14:paraId="0695E443">
                  <w:pPr>
                    <w:widowControl/>
                    <w:snapToGrid w:val="0"/>
                    <w:spacing w:line="320" w:lineRule="exact"/>
                    <w:jc w:val="center"/>
                    <w:rPr>
                      <w:color w:val="auto"/>
                      <w:sz w:val="21"/>
                      <w:szCs w:val="21"/>
                    </w:rPr>
                  </w:pPr>
                  <w:r>
                    <w:rPr>
                      <w:rFonts w:hint="eastAsia"/>
                      <w:color w:val="auto"/>
                      <w:sz w:val="21"/>
                      <w:szCs w:val="21"/>
                    </w:rPr>
                    <w:t>达标</w:t>
                  </w:r>
                </w:p>
              </w:tc>
            </w:tr>
            <w:tr w14:paraId="11C1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155D136E">
                  <w:pPr>
                    <w:jc w:val="center"/>
                    <w:rPr>
                      <w:color w:val="auto"/>
                      <w:sz w:val="21"/>
                      <w:szCs w:val="21"/>
                    </w:rPr>
                  </w:pPr>
                  <w:r>
                    <w:rPr>
                      <w:color w:val="auto"/>
                      <w:sz w:val="21"/>
                      <w:szCs w:val="21"/>
                    </w:rPr>
                    <w:t>铅</w:t>
                  </w:r>
                </w:p>
              </w:tc>
              <w:tc>
                <w:tcPr>
                  <w:tcW w:w="763" w:type="pct"/>
                  <w:vAlign w:val="center"/>
                </w:tcPr>
                <w:p w14:paraId="5B2F7C64">
                  <w:pPr>
                    <w:jc w:val="center"/>
                    <w:rPr>
                      <w:color w:val="auto"/>
                      <w:sz w:val="21"/>
                      <w:szCs w:val="21"/>
                    </w:rPr>
                  </w:pPr>
                  <w:r>
                    <w:rPr>
                      <w:color w:val="auto"/>
                      <w:sz w:val="21"/>
                      <w:szCs w:val="21"/>
                    </w:rPr>
                    <w:t>µg/</w:t>
                  </w:r>
                  <w:r>
                    <w:rPr>
                      <w:snapToGrid w:val="0"/>
                      <w:color w:val="auto"/>
                      <w:kern w:val="0"/>
                      <w:sz w:val="21"/>
                      <w:szCs w:val="21"/>
                    </w:rPr>
                    <w:t>L</w:t>
                  </w:r>
                </w:p>
              </w:tc>
              <w:tc>
                <w:tcPr>
                  <w:tcW w:w="786" w:type="pct"/>
                  <w:vAlign w:val="center"/>
                </w:tcPr>
                <w:p w14:paraId="08137A8E">
                  <w:pPr>
                    <w:jc w:val="center"/>
                    <w:rPr>
                      <w:color w:val="auto"/>
                      <w:sz w:val="21"/>
                      <w:szCs w:val="21"/>
                    </w:rPr>
                  </w:pPr>
                  <w:r>
                    <w:rPr>
                      <w:rFonts w:hint="eastAsia"/>
                      <w:color w:val="auto"/>
                      <w:sz w:val="21"/>
                      <w:szCs w:val="21"/>
                    </w:rPr>
                    <w:t>2.5L</w:t>
                  </w:r>
                </w:p>
              </w:tc>
              <w:tc>
                <w:tcPr>
                  <w:tcW w:w="833" w:type="pct"/>
                  <w:vAlign w:val="center"/>
                </w:tcPr>
                <w:p w14:paraId="561A97B6">
                  <w:pPr>
                    <w:jc w:val="center"/>
                    <w:rPr>
                      <w:color w:val="auto"/>
                      <w:sz w:val="21"/>
                      <w:szCs w:val="21"/>
                    </w:rPr>
                  </w:pPr>
                  <w:r>
                    <w:rPr>
                      <w:rFonts w:hint="eastAsia"/>
                      <w:color w:val="auto"/>
                      <w:sz w:val="21"/>
                      <w:szCs w:val="21"/>
                    </w:rPr>
                    <w:t>/</w:t>
                  </w:r>
                </w:p>
              </w:tc>
              <w:tc>
                <w:tcPr>
                  <w:tcW w:w="833" w:type="pct"/>
                  <w:vAlign w:val="center"/>
                </w:tcPr>
                <w:p w14:paraId="29EB44AB">
                  <w:pPr>
                    <w:jc w:val="center"/>
                    <w:rPr>
                      <w:color w:val="auto"/>
                      <w:sz w:val="21"/>
                      <w:szCs w:val="21"/>
                    </w:rPr>
                  </w:pPr>
                  <w:r>
                    <w:rPr>
                      <w:rFonts w:hint="eastAsia"/>
                      <w:snapToGrid w:val="0"/>
                      <w:color w:val="auto"/>
                      <w:kern w:val="0"/>
                      <w:sz w:val="21"/>
                      <w:szCs w:val="21"/>
                    </w:rPr>
                    <w:t>10</w:t>
                  </w:r>
                </w:p>
              </w:tc>
              <w:tc>
                <w:tcPr>
                  <w:tcW w:w="834" w:type="pct"/>
                  <w:vAlign w:val="center"/>
                </w:tcPr>
                <w:p w14:paraId="1D0829DE">
                  <w:pPr>
                    <w:widowControl/>
                    <w:snapToGrid w:val="0"/>
                    <w:spacing w:line="320" w:lineRule="exact"/>
                    <w:jc w:val="center"/>
                    <w:rPr>
                      <w:color w:val="auto"/>
                      <w:sz w:val="21"/>
                      <w:szCs w:val="21"/>
                    </w:rPr>
                  </w:pPr>
                  <w:r>
                    <w:rPr>
                      <w:rFonts w:hint="eastAsia"/>
                      <w:color w:val="auto"/>
                      <w:sz w:val="21"/>
                      <w:szCs w:val="21"/>
                    </w:rPr>
                    <w:t>达标</w:t>
                  </w:r>
                </w:p>
              </w:tc>
            </w:tr>
            <w:tr w14:paraId="1D09A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0A72873C">
                  <w:pPr>
                    <w:jc w:val="center"/>
                    <w:rPr>
                      <w:color w:val="auto"/>
                      <w:sz w:val="21"/>
                      <w:szCs w:val="21"/>
                    </w:rPr>
                  </w:pPr>
                  <w:r>
                    <w:rPr>
                      <w:color w:val="auto"/>
                      <w:sz w:val="21"/>
                      <w:szCs w:val="21"/>
                    </w:rPr>
                    <w:t>氟化物</w:t>
                  </w:r>
                </w:p>
              </w:tc>
              <w:tc>
                <w:tcPr>
                  <w:tcW w:w="763" w:type="pct"/>
                  <w:vAlign w:val="center"/>
                </w:tcPr>
                <w:p w14:paraId="6F728919">
                  <w:pPr>
                    <w:jc w:val="center"/>
                    <w:rPr>
                      <w:color w:val="auto"/>
                      <w:sz w:val="21"/>
                      <w:szCs w:val="21"/>
                    </w:rPr>
                  </w:pPr>
                  <w:r>
                    <w:rPr>
                      <w:rFonts w:hint="eastAsia"/>
                      <w:snapToGrid w:val="0"/>
                      <w:color w:val="auto"/>
                      <w:kern w:val="0"/>
                      <w:sz w:val="21"/>
                      <w:szCs w:val="21"/>
                    </w:rPr>
                    <w:t>mg/L</w:t>
                  </w:r>
                </w:p>
              </w:tc>
              <w:tc>
                <w:tcPr>
                  <w:tcW w:w="786" w:type="pct"/>
                  <w:vAlign w:val="center"/>
                </w:tcPr>
                <w:p w14:paraId="31D295A3">
                  <w:pPr>
                    <w:jc w:val="center"/>
                    <w:rPr>
                      <w:color w:val="auto"/>
                      <w:sz w:val="21"/>
                      <w:szCs w:val="21"/>
                    </w:rPr>
                  </w:pPr>
                  <w:r>
                    <w:rPr>
                      <w:rFonts w:hint="eastAsia"/>
                      <w:snapToGrid w:val="0"/>
                      <w:color w:val="auto"/>
                      <w:kern w:val="0"/>
                      <w:sz w:val="21"/>
                      <w:szCs w:val="21"/>
                    </w:rPr>
                    <w:t>0.92</w:t>
                  </w:r>
                </w:p>
              </w:tc>
              <w:tc>
                <w:tcPr>
                  <w:tcW w:w="833" w:type="pct"/>
                  <w:vAlign w:val="center"/>
                </w:tcPr>
                <w:p w14:paraId="06C6442B">
                  <w:pPr>
                    <w:widowControl/>
                    <w:jc w:val="center"/>
                    <w:textAlignment w:val="center"/>
                    <w:rPr>
                      <w:color w:val="auto"/>
                      <w:sz w:val="21"/>
                      <w:szCs w:val="21"/>
                    </w:rPr>
                  </w:pPr>
                  <w:r>
                    <w:rPr>
                      <w:color w:val="auto"/>
                      <w:kern w:val="0"/>
                      <w:sz w:val="21"/>
                      <w:szCs w:val="21"/>
                      <w:lang w:bidi="ar"/>
                    </w:rPr>
                    <w:t xml:space="preserve">0.920 </w:t>
                  </w:r>
                </w:p>
              </w:tc>
              <w:tc>
                <w:tcPr>
                  <w:tcW w:w="833" w:type="pct"/>
                  <w:vAlign w:val="center"/>
                </w:tcPr>
                <w:p w14:paraId="3F6DF4B8">
                  <w:pPr>
                    <w:jc w:val="center"/>
                    <w:rPr>
                      <w:color w:val="auto"/>
                      <w:sz w:val="21"/>
                      <w:szCs w:val="21"/>
                    </w:rPr>
                  </w:pPr>
                  <w:r>
                    <w:rPr>
                      <w:rFonts w:hint="eastAsia"/>
                      <w:snapToGrid w:val="0"/>
                      <w:color w:val="auto"/>
                      <w:kern w:val="0"/>
                      <w:sz w:val="21"/>
                      <w:szCs w:val="21"/>
                    </w:rPr>
                    <w:t>1.0</w:t>
                  </w:r>
                </w:p>
              </w:tc>
              <w:tc>
                <w:tcPr>
                  <w:tcW w:w="834" w:type="pct"/>
                  <w:vAlign w:val="center"/>
                </w:tcPr>
                <w:p w14:paraId="3C9759BE">
                  <w:pPr>
                    <w:widowControl/>
                    <w:snapToGrid w:val="0"/>
                    <w:spacing w:line="320" w:lineRule="exact"/>
                    <w:jc w:val="center"/>
                    <w:rPr>
                      <w:color w:val="auto"/>
                      <w:sz w:val="21"/>
                      <w:szCs w:val="21"/>
                    </w:rPr>
                  </w:pPr>
                  <w:r>
                    <w:rPr>
                      <w:rFonts w:hint="eastAsia"/>
                      <w:color w:val="auto"/>
                      <w:sz w:val="21"/>
                      <w:szCs w:val="21"/>
                    </w:rPr>
                    <w:t>达标</w:t>
                  </w:r>
                </w:p>
              </w:tc>
            </w:tr>
            <w:tr w14:paraId="542B9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473BE14A">
                  <w:pPr>
                    <w:jc w:val="center"/>
                    <w:rPr>
                      <w:color w:val="auto"/>
                      <w:sz w:val="21"/>
                      <w:szCs w:val="21"/>
                    </w:rPr>
                  </w:pPr>
                  <w:r>
                    <w:rPr>
                      <w:color w:val="auto"/>
                      <w:sz w:val="21"/>
                      <w:szCs w:val="21"/>
                    </w:rPr>
                    <w:t>镉</w:t>
                  </w:r>
                </w:p>
              </w:tc>
              <w:tc>
                <w:tcPr>
                  <w:tcW w:w="763" w:type="pct"/>
                  <w:vAlign w:val="center"/>
                </w:tcPr>
                <w:p w14:paraId="0EEDDF7E">
                  <w:pPr>
                    <w:jc w:val="center"/>
                    <w:rPr>
                      <w:color w:val="auto"/>
                      <w:sz w:val="21"/>
                      <w:szCs w:val="21"/>
                    </w:rPr>
                  </w:pPr>
                  <w:r>
                    <w:rPr>
                      <w:rFonts w:hint="eastAsia"/>
                      <w:snapToGrid w:val="0"/>
                      <w:color w:val="auto"/>
                      <w:kern w:val="0"/>
                      <w:sz w:val="21"/>
                      <w:szCs w:val="21"/>
                    </w:rPr>
                    <w:t>mg/L</w:t>
                  </w:r>
                </w:p>
              </w:tc>
              <w:tc>
                <w:tcPr>
                  <w:tcW w:w="786" w:type="pct"/>
                  <w:vAlign w:val="center"/>
                </w:tcPr>
                <w:p w14:paraId="06B4E40A">
                  <w:pPr>
                    <w:jc w:val="center"/>
                    <w:rPr>
                      <w:color w:val="auto"/>
                      <w:sz w:val="21"/>
                      <w:szCs w:val="21"/>
                    </w:rPr>
                  </w:pPr>
                  <w:r>
                    <w:rPr>
                      <w:rFonts w:hint="eastAsia"/>
                      <w:color w:val="auto"/>
                      <w:sz w:val="21"/>
                      <w:szCs w:val="21"/>
                    </w:rPr>
                    <w:t>0.001L</w:t>
                  </w:r>
                </w:p>
              </w:tc>
              <w:tc>
                <w:tcPr>
                  <w:tcW w:w="833" w:type="pct"/>
                  <w:vAlign w:val="center"/>
                </w:tcPr>
                <w:p w14:paraId="0B83936B">
                  <w:pPr>
                    <w:jc w:val="center"/>
                    <w:rPr>
                      <w:color w:val="auto"/>
                      <w:sz w:val="21"/>
                      <w:szCs w:val="21"/>
                    </w:rPr>
                  </w:pPr>
                  <w:r>
                    <w:rPr>
                      <w:rFonts w:hint="eastAsia"/>
                      <w:color w:val="auto"/>
                      <w:sz w:val="21"/>
                      <w:szCs w:val="21"/>
                    </w:rPr>
                    <w:t>/</w:t>
                  </w:r>
                </w:p>
              </w:tc>
              <w:tc>
                <w:tcPr>
                  <w:tcW w:w="833" w:type="pct"/>
                  <w:vAlign w:val="center"/>
                </w:tcPr>
                <w:p w14:paraId="71FCF2A0">
                  <w:pPr>
                    <w:jc w:val="center"/>
                    <w:rPr>
                      <w:color w:val="auto"/>
                      <w:sz w:val="21"/>
                      <w:szCs w:val="21"/>
                    </w:rPr>
                  </w:pPr>
                  <w:r>
                    <w:rPr>
                      <w:rFonts w:hint="eastAsia"/>
                      <w:snapToGrid w:val="0"/>
                      <w:color w:val="auto"/>
                      <w:kern w:val="0"/>
                      <w:sz w:val="21"/>
                      <w:szCs w:val="21"/>
                    </w:rPr>
                    <w:t>0.005</w:t>
                  </w:r>
                </w:p>
              </w:tc>
              <w:tc>
                <w:tcPr>
                  <w:tcW w:w="834" w:type="pct"/>
                  <w:vAlign w:val="center"/>
                </w:tcPr>
                <w:p w14:paraId="73AE4988">
                  <w:pPr>
                    <w:widowControl/>
                    <w:snapToGrid w:val="0"/>
                    <w:spacing w:line="320" w:lineRule="exact"/>
                    <w:jc w:val="center"/>
                    <w:rPr>
                      <w:color w:val="auto"/>
                      <w:sz w:val="21"/>
                      <w:szCs w:val="21"/>
                    </w:rPr>
                  </w:pPr>
                  <w:r>
                    <w:rPr>
                      <w:rFonts w:hint="eastAsia"/>
                      <w:color w:val="auto"/>
                      <w:sz w:val="21"/>
                      <w:szCs w:val="21"/>
                    </w:rPr>
                    <w:t>达标</w:t>
                  </w:r>
                </w:p>
              </w:tc>
            </w:tr>
            <w:tr w14:paraId="373CF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5A8D573C">
                  <w:pPr>
                    <w:jc w:val="center"/>
                    <w:rPr>
                      <w:color w:val="auto"/>
                      <w:sz w:val="21"/>
                      <w:szCs w:val="21"/>
                    </w:rPr>
                  </w:pPr>
                  <w:r>
                    <w:rPr>
                      <w:color w:val="auto"/>
                      <w:sz w:val="21"/>
                      <w:szCs w:val="21"/>
                    </w:rPr>
                    <w:t>铁</w:t>
                  </w:r>
                </w:p>
              </w:tc>
              <w:tc>
                <w:tcPr>
                  <w:tcW w:w="763" w:type="pct"/>
                  <w:vAlign w:val="center"/>
                </w:tcPr>
                <w:p w14:paraId="2E5E6180">
                  <w:pPr>
                    <w:jc w:val="center"/>
                    <w:rPr>
                      <w:color w:val="auto"/>
                      <w:sz w:val="21"/>
                      <w:szCs w:val="21"/>
                    </w:rPr>
                  </w:pPr>
                  <w:r>
                    <w:rPr>
                      <w:rFonts w:hint="eastAsia"/>
                      <w:snapToGrid w:val="0"/>
                      <w:color w:val="auto"/>
                      <w:kern w:val="0"/>
                      <w:sz w:val="21"/>
                      <w:szCs w:val="21"/>
                    </w:rPr>
                    <w:t>mg/L</w:t>
                  </w:r>
                </w:p>
              </w:tc>
              <w:tc>
                <w:tcPr>
                  <w:tcW w:w="786" w:type="pct"/>
                  <w:vAlign w:val="center"/>
                </w:tcPr>
                <w:p w14:paraId="78FFBAA6">
                  <w:pPr>
                    <w:jc w:val="center"/>
                    <w:rPr>
                      <w:color w:val="auto"/>
                      <w:sz w:val="21"/>
                      <w:szCs w:val="21"/>
                    </w:rPr>
                  </w:pPr>
                  <w:r>
                    <w:rPr>
                      <w:rFonts w:hint="eastAsia"/>
                      <w:color w:val="auto"/>
                      <w:sz w:val="21"/>
                      <w:szCs w:val="21"/>
                    </w:rPr>
                    <w:t>0.06</w:t>
                  </w:r>
                </w:p>
              </w:tc>
              <w:tc>
                <w:tcPr>
                  <w:tcW w:w="833" w:type="pct"/>
                  <w:vAlign w:val="center"/>
                </w:tcPr>
                <w:p w14:paraId="327ECF82">
                  <w:pPr>
                    <w:widowControl/>
                    <w:jc w:val="center"/>
                    <w:textAlignment w:val="center"/>
                    <w:rPr>
                      <w:color w:val="auto"/>
                      <w:sz w:val="21"/>
                      <w:szCs w:val="21"/>
                    </w:rPr>
                  </w:pPr>
                  <w:r>
                    <w:rPr>
                      <w:color w:val="auto"/>
                      <w:kern w:val="0"/>
                      <w:sz w:val="21"/>
                      <w:szCs w:val="21"/>
                      <w:lang w:bidi="ar"/>
                    </w:rPr>
                    <w:t xml:space="preserve">0.200 </w:t>
                  </w:r>
                </w:p>
              </w:tc>
              <w:tc>
                <w:tcPr>
                  <w:tcW w:w="833" w:type="pct"/>
                  <w:vAlign w:val="center"/>
                </w:tcPr>
                <w:p w14:paraId="23AAA860">
                  <w:pPr>
                    <w:jc w:val="center"/>
                    <w:rPr>
                      <w:color w:val="auto"/>
                      <w:sz w:val="21"/>
                      <w:szCs w:val="21"/>
                    </w:rPr>
                  </w:pPr>
                  <w:r>
                    <w:rPr>
                      <w:rFonts w:hint="eastAsia"/>
                      <w:snapToGrid w:val="0"/>
                      <w:color w:val="auto"/>
                      <w:kern w:val="0"/>
                      <w:sz w:val="21"/>
                      <w:szCs w:val="21"/>
                    </w:rPr>
                    <w:t>0.3</w:t>
                  </w:r>
                </w:p>
              </w:tc>
              <w:tc>
                <w:tcPr>
                  <w:tcW w:w="834" w:type="pct"/>
                  <w:vAlign w:val="center"/>
                </w:tcPr>
                <w:p w14:paraId="770B00B7">
                  <w:pPr>
                    <w:widowControl/>
                    <w:snapToGrid w:val="0"/>
                    <w:spacing w:line="320" w:lineRule="exact"/>
                    <w:jc w:val="center"/>
                    <w:rPr>
                      <w:color w:val="auto"/>
                      <w:sz w:val="21"/>
                      <w:szCs w:val="21"/>
                    </w:rPr>
                  </w:pPr>
                  <w:r>
                    <w:rPr>
                      <w:rFonts w:hint="eastAsia"/>
                      <w:color w:val="auto"/>
                      <w:sz w:val="21"/>
                      <w:szCs w:val="21"/>
                    </w:rPr>
                    <w:t>达标</w:t>
                  </w:r>
                </w:p>
              </w:tc>
            </w:tr>
            <w:tr w14:paraId="27D1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0BFFF566">
                  <w:pPr>
                    <w:jc w:val="center"/>
                    <w:rPr>
                      <w:color w:val="auto"/>
                      <w:sz w:val="21"/>
                      <w:szCs w:val="21"/>
                    </w:rPr>
                  </w:pPr>
                  <w:r>
                    <w:rPr>
                      <w:color w:val="auto"/>
                      <w:sz w:val="21"/>
                      <w:szCs w:val="21"/>
                    </w:rPr>
                    <w:t>锰</w:t>
                  </w:r>
                </w:p>
              </w:tc>
              <w:tc>
                <w:tcPr>
                  <w:tcW w:w="763" w:type="pct"/>
                  <w:vAlign w:val="center"/>
                </w:tcPr>
                <w:p w14:paraId="654969E8">
                  <w:pPr>
                    <w:jc w:val="center"/>
                    <w:rPr>
                      <w:color w:val="auto"/>
                      <w:sz w:val="21"/>
                      <w:szCs w:val="21"/>
                    </w:rPr>
                  </w:pPr>
                  <w:r>
                    <w:rPr>
                      <w:rFonts w:hint="eastAsia"/>
                      <w:snapToGrid w:val="0"/>
                      <w:color w:val="auto"/>
                      <w:kern w:val="0"/>
                      <w:sz w:val="21"/>
                      <w:szCs w:val="21"/>
                    </w:rPr>
                    <w:t>mg/L</w:t>
                  </w:r>
                </w:p>
              </w:tc>
              <w:tc>
                <w:tcPr>
                  <w:tcW w:w="786" w:type="pct"/>
                  <w:vAlign w:val="center"/>
                </w:tcPr>
                <w:p w14:paraId="00044C6D">
                  <w:pPr>
                    <w:jc w:val="center"/>
                    <w:rPr>
                      <w:color w:val="auto"/>
                      <w:sz w:val="21"/>
                      <w:szCs w:val="21"/>
                    </w:rPr>
                  </w:pPr>
                  <w:r>
                    <w:rPr>
                      <w:rFonts w:hint="eastAsia"/>
                      <w:color w:val="auto"/>
                      <w:sz w:val="21"/>
                      <w:szCs w:val="21"/>
                    </w:rPr>
                    <w:t>0.01L</w:t>
                  </w:r>
                </w:p>
              </w:tc>
              <w:tc>
                <w:tcPr>
                  <w:tcW w:w="833" w:type="pct"/>
                  <w:vAlign w:val="center"/>
                </w:tcPr>
                <w:p w14:paraId="5028AF81">
                  <w:pPr>
                    <w:jc w:val="center"/>
                    <w:rPr>
                      <w:color w:val="auto"/>
                      <w:sz w:val="21"/>
                      <w:szCs w:val="21"/>
                    </w:rPr>
                  </w:pPr>
                  <w:r>
                    <w:rPr>
                      <w:rFonts w:hint="eastAsia"/>
                      <w:color w:val="auto"/>
                      <w:sz w:val="21"/>
                      <w:szCs w:val="21"/>
                    </w:rPr>
                    <w:t>/</w:t>
                  </w:r>
                </w:p>
              </w:tc>
              <w:tc>
                <w:tcPr>
                  <w:tcW w:w="833" w:type="pct"/>
                  <w:vAlign w:val="center"/>
                </w:tcPr>
                <w:p w14:paraId="69B7EF7E">
                  <w:pPr>
                    <w:jc w:val="center"/>
                    <w:rPr>
                      <w:color w:val="auto"/>
                      <w:sz w:val="21"/>
                      <w:szCs w:val="21"/>
                    </w:rPr>
                  </w:pPr>
                  <w:r>
                    <w:rPr>
                      <w:rFonts w:hint="eastAsia"/>
                      <w:snapToGrid w:val="0"/>
                      <w:color w:val="auto"/>
                      <w:kern w:val="0"/>
                      <w:sz w:val="21"/>
                      <w:szCs w:val="21"/>
                    </w:rPr>
                    <w:t>0.10</w:t>
                  </w:r>
                </w:p>
              </w:tc>
              <w:tc>
                <w:tcPr>
                  <w:tcW w:w="834" w:type="pct"/>
                  <w:vAlign w:val="center"/>
                </w:tcPr>
                <w:p w14:paraId="13B11703">
                  <w:pPr>
                    <w:widowControl/>
                    <w:snapToGrid w:val="0"/>
                    <w:spacing w:line="320" w:lineRule="exact"/>
                    <w:jc w:val="center"/>
                    <w:rPr>
                      <w:color w:val="auto"/>
                      <w:sz w:val="21"/>
                      <w:szCs w:val="21"/>
                    </w:rPr>
                  </w:pPr>
                  <w:r>
                    <w:rPr>
                      <w:rFonts w:hint="eastAsia"/>
                      <w:color w:val="auto"/>
                      <w:sz w:val="21"/>
                      <w:szCs w:val="21"/>
                    </w:rPr>
                    <w:t>达标</w:t>
                  </w:r>
                </w:p>
              </w:tc>
            </w:tr>
            <w:tr w14:paraId="39A03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440DC16A">
                  <w:pPr>
                    <w:jc w:val="center"/>
                    <w:rPr>
                      <w:color w:val="auto"/>
                      <w:sz w:val="21"/>
                      <w:szCs w:val="21"/>
                    </w:rPr>
                  </w:pPr>
                  <w:r>
                    <w:rPr>
                      <w:color w:val="auto"/>
                      <w:sz w:val="21"/>
                      <w:szCs w:val="21"/>
                    </w:rPr>
                    <w:t>溶解性总固体</w:t>
                  </w:r>
                </w:p>
              </w:tc>
              <w:tc>
                <w:tcPr>
                  <w:tcW w:w="763" w:type="pct"/>
                  <w:vAlign w:val="center"/>
                </w:tcPr>
                <w:p w14:paraId="7BF0E77C">
                  <w:pPr>
                    <w:jc w:val="center"/>
                    <w:rPr>
                      <w:color w:val="auto"/>
                      <w:sz w:val="21"/>
                      <w:szCs w:val="21"/>
                    </w:rPr>
                  </w:pPr>
                  <w:r>
                    <w:rPr>
                      <w:rFonts w:hint="eastAsia"/>
                      <w:snapToGrid w:val="0"/>
                      <w:color w:val="auto"/>
                      <w:kern w:val="0"/>
                      <w:sz w:val="21"/>
                      <w:szCs w:val="21"/>
                    </w:rPr>
                    <w:t>mg/L</w:t>
                  </w:r>
                </w:p>
              </w:tc>
              <w:tc>
                <w:tcPr>
                  <w:tcW w:w="786" w:type="pct"/>
                  <w:vAlign w:val="center"/>
                </w:tcPr>
                <w:p w14:paraId="2F36E76E">
                  <w:pPr>
                    <w:jc w:val="center"/>
                    <w:rPr>
                      <w:color w:val="auto"/>
                      <w:sz w:val="21"/>
                      <w:szCs w:val="21"/>
                    </w:rPr>
                  </w:pPr>
                  <w:r>
                    <w:rPr>
                      <w:rFonts w:hint="eastAsia"/>
                      <w:snapToGrid w:val="0"/>
                      <w:color w:val="auto"/>
                      <w:kern w:val="0"/>
                      <w:sz w:val="21"/>
                      <w:szCs w:val="21"/>
                    </w:rPr>
                    <w:t>1.40</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833" w:type="pct"/>
                  <w:vAlign w:val="center"/>
                </w:tcPr>
                <w:p w14:paraId="34160C0E">
                  <w:pPr>
                    <w:jc w:val="center"/>
                    <w:rPr>
                      <w:color w:val="auto"/>
                      <w:sz w:val="21"/>
                      <w:szCs w:val="21"/>
                    </w:rPr>
                  </w:pPr>
                  <w:r>
                    <w:rPr>
                      <w:rFonts w:hint="eastAsia"/>
                      <w:color w:val="auto"/>
                      <w:sz w:val="21"/>
                      <w:szCs w:val="21"/>
                    </w:rPr>
                    <w:t>/</w:t>
                  </w:r>
                </w:p>
              </w:tc>
              <w:tc>
                <w:tcPr>
                  <w:tcW w:w="833" w:type="pct"/>
                  <w:vAlign w:val="center"/>
                </w:tcPr>
                <w:p w14:paraId="7DEE708B">
                  <w:pPr>
                    <w:jc w:val="center"/>
                    <w:rPr>
                      <w:color w:val="auto"/>
                      <w:sz w:val="21"/>
                      <w:szCs w:val="21"/>
                    </w:rPr>
                  </w:pPr>
                  <w:r>
                    <w:rPr>
                      <w:rFonts w:hint="eastAsia"/>
                      <w:snapToGrid w:val="0"/>
                      <w:color w:val="auto"/>
                      <w:kern w:val="0"/>
                      <w:sz w:val="21"/>
                      <w:szCs w:val="21"/>
                    </w:rPr>
                    <w:t>1000</w:t>
                  </w:r>
                </w:p>
              </w:tc>
              <w:tc>
                <w:tcPr>
                  <w:tcW w:w="834" w:type="pct"/>
                  <w:vAlign w:val="center"/>
                </w:tcPr>
                <w:p w14:paraId="7F1CF19D">
                  <w:pPr>
                    <w:widowControl/>
                    <w:snapToGrid w:val="0"/>
                    <w:spacing w:line="320" w:lineRule="exact"/>
                    <w:jc w:val="center"/>
                    <w:rPr>
                      <w:color w:val="auto"/>
                      <w:sz w:val="21"/>
                      <w:szCs w:val="21"/>
                    </w:rPr>
                  </w:pPr>
                  <w:r>
                    <w:rPr>
                      <w:rFonts w:hint="eastAsia"/>
                      <w:color w:val="auto"/>
                      <w:sz w:val="21"/>
                      <w:szCs w:val="21"/>
                    </w:rPr>
                    <w:t>超标</w:t>
                  </w:r>
                </w:p>
              </w:tc>
            </w:tr>
            <w:tr w14:paraId="4C8F0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62B60DAB">
                  <w:pPr>
                    <w:jc w:val="center"/>
                    <w:rPr>
                      <w:color w:val="auto"/>
                      <w:sz w:val="21"/>
                      <w:szCs w:val="21"/>
                    </w:rPr>
                  </w:pPr>
                  <w:r>
                    <w:rPr>
                      <w:rFonts w:hint="eastAsia"/>
                      <w:color w:val="auto"/>
                      <w:sz w:val="21"/>
                      <w:szCs w:val="21"/>
                    </w:rPr>
                    <w:t>总</w:t>
                  </w:r>
                  <w:r>
                    <w:rPr>
                      <w:color w:val="auto"/>
                      <w:sz w:val="21"/>
                      <w:szCs w:val="21"/>
                    </w:rPr>
                    <w:t>大肠菌群</w:t>
                  </w:r>
                </w:p>
              </w:tc>
              <w:tc>
                <w:tcPr>
                  <w:tcW w:w="763" w:type="pct"/>
                  <w:vAlign w:val="center"/>
                </w:tcPr>
                <w:p w14:paraId="534ADB62">
                  <w:pPr>
                    <w:jc w:val="center"/>
                    <w:rPr>
                      <w:color w:val="auto"/>
                      <w:sz w:val="21"/>
                      <w:szCs w:val="21"/>
                    </w:rPr>
                  </w:pPr>
                  <w:r>
                    <w:rPr>
                      <w:color w:val="auto"/>
                      <w:sz w:val="21"/>
                      <w:szCs w:val="21"/>
                    </w:rPr>
                    <w:t>MPN/100m</w:t>
                  </w:r>
                  <w:r>
                    <w:rPr>
                      <w:rFonts w:hint="eastAsia"/>
                      <w:color w:val="auto"/>
                      <w:sz w:val="21"/>
                      <w:szCs w:val="21"/>
                    </w:rPr>
                    <w:t>l</w:t>
                  </w:r>
                </w:p>
              </w:tc>
              <w:tc>
                <w:tcPr>
                  <w:tcW w:w="786" w:type="pct"/>
                  <w:vAlign w:val="center"/>
                </w:tcPr>
                <w:p w14:paraId="5E77BA2B">
                  <w:pPr>
                    <w:jc w:val="center"/>
                    <w:rPr>
                      <w:color w:val="auto"/>
                      <w:sz w:val="21"/>
                      <w:szCs w:val="21"/>
                    </w:rPr>
                  </w:pPr>
                  <w:r>
                    <w:rPr>
                      <w:rFonts w:hint="eastAsia"/>
                      <w:snapToGrid w:val="0"/>
                      <w:color w:val="auto"/>
                      <w:kern w:val="0"/>
                      <w:sz w:val="21"/>
                      <w:szCs w:val="21"/>
                    </w:rPr>
                    <w:t>2</w:t>
                  </w:r>
                  <w:r>
                    <w:rPr>
                      <w:rFonts w:hint="eastAsia"/>
                      <w:color w:val="auto"/>
                      <w:sz w:val="21"/>
                      <w:szCs w:val="21"/>
                    </w:rPr>
                    <w:t>L</w:t>
                  </w:r>
                </w:p>
              </w:tc>
              <w:tc>
                <w:tcPr>
                  <w:tcW w:w="833" w:type="pct"/>
                  <w:vAlign w:val="center"/>
                </w:tcPr>
                <w:p w14:paraId="222FF093">
                  <w:pPr>
                    <w:jc w:val="center"/>
                    <w:rPr>
                      <w:color w:val="auto"/>
                      <w:sz w:val="21"/>
                      <w:szCs w:val="21"/>
                    </w:rPr>
                  </w:pPr>
                  <w:r>
                    <w:rPr>
                      <w:rFonts w:hint="eastAsia"/>
                      <w:color w:val="auto"/>
                      <w:sz w:val="21"/>
                      <w:szCs w:val="21"/>
                    </w:rPr>
                    <w:t>/</w:t>
                  </w:r>
                </w:p>
              </w:tc>
              <w:tc>
                <w:tcPr>
                  <w:tcW w:w="833" w:type="pct"/>
                  <w:vAlign w:val="center"/>
                </w:tcPr>
                <w:p w14:paraId="5232CB89">
                  <w:pPr>
                    <w:jc w:val="center"/>
                    <w:rPr>
                      <w:color w:val="auto"/>
                      <w:sz w:val="21"/>
                      <w:szCs w:val="21"/>
                    </w:rPr>
                  </w:pPr>
                  <w:r>
                    <w:rPr>
                      <w:snapToGrid w:val="0"/>
                      <w:color w:val="auto"/>
                      <w:kern w:val="0"/>
                      <w:sz w:val="21"/>
                      <w:szCs w:val="21"/>
                    </w:rPr>
                    <w:t>3.0</w:t>
                  </w:r>
                </w:p>
              </w:tc>
              <w:tc>
                <w:tcPr>
                  <w:tcW w:w="834" w:type="pct"/>
                  <w:vAlign w:val="center"/>
                </w:tcPr>
                <w:p w14:paraId="6404923C">
                  <w:pPr>
                    <w:widowControl/>
                    <w:snapToGrid w:val="0"/>
                    <w:spacing w:line="320" w:lineRule="exact"/>
                    <w:jc w:val="center"/>
                    <w:rPr>
                      <w:color w:val="auto"/>
                      <w:sz w:val="21"/>
                      <w:szCs w:val="21"/>
                    </w:rPr>
                  </w:pPr>
                  <w:r>
                    <w:rPr>
                      <w:rFonts w:hint="eastAsia"/>
                      <w:color w:val="auto"/>
                      <w:sz w:val="21"/>
                      <w:szCs w:val="21"/>
                    </w:rPr>
                    <w:t>达标</w:t>
                  </w:r>
                </w:p>
              </w:tc>
            </w:tr>
            <w:tr w14:paraId="611F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06B3817E">
                  <w:pPr>
                    <w:pStyle w:val="13"/>
                    <w:adjustRightInd w:val="0"/>
                    <w:snapToGrid w:val="0"/>
                    <w:jc w:val="center"/>
                    <w:rPr>
                      <w:rFonts w:ascii="Times New Roman" w:hAnsi="Times New Roman" w:cs="Times New Roman"/>
                      <w:color w:val="auto"/>
                    </w:rPr>
                  </w:pPr>
                  <w:r>
                    <w:rPr>
                      <w:rFonts w:ascii="Times New Roman" w:hAnsi="Times New Roman" w:cs="Times New Roman"/>
                      <w:color w:val="auto"/>
                    </w:rPr>
                    <w:t>细菌总数</w:t>
                  </w:r>
                </w:p>
              </w:tc>
              <w:tc>
                <w:tcPr>
                  <w:tcW w:w="763" w:type="pct"/>
                  <w:vAlign w:val="center"/>
                </w:tcPr>
                <w:p w14:paraId="2416EDF3">
                  <w:pPr>
                    <w:jc w:val="center"/>
                    <w:rPr>
                      <w:color w:val="auto"/>
                      <w:sz w:val="21"/>
                      <w:szCs w:val="21"/>
                    </w:rPr>
                  </w:pPr>
                  <w:r>
                    <w:rPr>
                      <w:rFonts w:hint="eastAsia"/>
                      <w:color w:val="auto"/>
                      <w:sz w:val="21"/>
                      <w:szCs w:val="21"/>
                    </w:rPr>
                    <w:t>CFU/ml</w:t>
                  </w:r>
                </w:p>
              </w:tc>
              <w:tc>
                <w:tcPr>
                  <w:tcW w:w="786" w:type="pct"/>
                  <w:vAlign w:val="center"/>
                </w:tcPr>
                <w:p w14:paraId="17ECF0DB">
                  <w:pPr>
                    <w:jc w:val="center"/>
                    <w:rPr>
                      <w:color w:val="auto"/>
                      <w:sz w:val="21"/>
                      <w:szCs w:val="21"/>
                    </w:rPr>
                  </w:pPr>
                  <w:r>
                    <w:rPr>
                      <w:rFonts w:hint="eastAsia"/>
                      <w:snapToGrid w:val="0"/>
                      <w:color w:val="auto"/>
                      <w:kern w:val="0"/>
                      <w:sz w:val="21"/>
                      <w:szCs w:val="21"/>
                    </w:rPr>
                    <w:t>70</w:t>
                  </w:r>
                </w:p>
              </w:tc>
              <w:tc>
                <w:tcPr>
                  <w:tcW w:w="833" w:type="pct"/>
                  <w:vAlign w:val="center"/>
                </w:tcPr>
                <w:p w14:paraId="220C8C13">
                  <w:pPr>
                    <w:widowControl/>
                    <w:jc w:val="center"/>
                    <w:textAlignment w:val="center"/>
                    <w:rPr>
                      <w:color w:val="auto"/>
                      <w:sz w:val="21"/>
                      <w:szCs w:val="21"/>
                    </w:rPr>
                  </w:pPr>
                  <w:r>
                    <w:rPr>
                      <w:color w:val="auto"/>
                      <w:kern w:val="0"/>
                      <w:sz w:val="21"/>
                      <w:szCs w:val="21"/>
                      <w:lang w:bidi="ar"/>
                    </w:rPr>
                    <w:t xml:space="preserve">0.700 </w:t>
                  </w:r>
                </w:p>
              </w:tc>
              <w:tc>
                <w:tcPr>
                  <w:tcW w:w="833" w:type="pct"/>
                  <w:vAlign w:val="center"/>
                </w:tcPr>
                <w:p w14:paraId="7B1EC4E2">
                  <w:pPr>
                    <w:jc w:val="center"/>
                    <w:rPr>
                      <w:color w:val="auto"/>
                      <w:sz w:val="21"/>
                      <w:szCs w:val="21"/>
                    </w:rPr>
                  </w:pPr>
                  <w:r>
                    <w:rPr>
                      <w:snapToGrid w:val="0"/>
                      <w:color w:val="auto"/>
                      <w:kern w:val="0"/>
                      <w:sz w:val="21"/>
                      <w:szCs w:val="21"/>
                    </w:rPr>
                    <w:t>100</w:t>
                  </w:r>
                </w:p>
              </w:tc>
              <w:tc>
                <w:tcPr>
                  <w:tcW w:w="834" w:type="pct"/>
                  <w:vAlign w:val="center"/>
                </w:tcPr>
                <w:p w14:paraId="254CE58F">
                  <w:pPr>
                    <w:widowControl/>
                    <w:snapToGrid w:val="0"/>
                    <w:spacing w:line="320" w:lineRule="exact"/>
                    <w:jc w:val="center"/>
                    <w:rPr>
                      <w:color w:val="auto"/>
                      <w:sz w:val="21"/>
                      <w:szCs w:val="21"/>
                    </w:rPr>
                  </w:pPr>
                  <w:r>
                    <w:rPr>
                      <w:rFonts w:hint="eastAsia"/>
                      <w:color w:val="auto"/>
                      <w:sz w:val="21"/>
                      <w:szCs w:val="21"/>
                    </w:rPr>
                    <w:t>达标</w:t>
                  </w:r>
                </w:p>
              </w:tc>
            </w:tr>
            <w:tr w14:paraId="176B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672FFC8F">
                  <w:pPr>
                    <w:adjustRightInd w:val="0"/>
                    <w:snapToGrid w:val="0"/>
                    <w:spacing w:line="340" w:lineRule="exact"/>
                    <w:jc w:val="center"/>
                    <w:rPr>
                      <w:color w:val="auto"/>
                      <w:sz w:val="21"/>
                      <w:szCs w:val="21"/>
                    </w:rPr>
                  </w:pPr>
                  <w:r>
                    <w:rPr>
                      <w:snapToGrid w:val="0"/>
                      <w:color w:val="auto"/>
                      <w:kern w:val="0"/>
                      <w:sz w:val="21"/>
                      <w:szCs w:val="21"/>
                    </w:rPr>
                    <w:t>石油类</w:t>
                  </w:r>
                </w:p>
              </w:tc>
              <w:tc>
                <w:tcPr>
                  <w:tcW w:w="763" w:type="pct"/>
                  <w:vAlign w:val="center"/>
                </w:tcPr>
                <w:p w14:paraId="67B0CF62">
                  <w:pPr>
                    <w:jc w:val="center"/>
                    <w:rPr>
                      <w:color w:val="auto"/>
                      <w:sz w:val="21"/>
                      <w:szCs w:val="21"/>
                    </w:rPr>
                  </w:pPr>
                  <w:r>
                    <w:rPr>
                      <w:rFonts w:hint="eastAsia"/>
                      <w:snapToGrid w:val="0"/>
                      <w:color w:val="auto"/>
                      <w:kern w:val="0"/>
                      <w:sz w:val="21"/>
                      <w:szCs w:val="21"/>
                    </w:rPr>
                    <w:t>mg/L</w:t>
                  </w:r>
                </w:p>
              </w:tc>
              <w:tc>
                <w:tcPr>
                  <w:tcW w:w="786" w:type="pct"/>
                  <w:vAlign w:val="center"/>
                </w:tcPr>
                <w:p w14:paraId="60C9EA10">
                  <w:pPr>
                    <w:jc w:val="center"/>
                    <w:rPr>
                      <w:color w:val="auto"/>
                      <w:sz w:val="21"/>
                      <w:szCs w:val="21"/>
                    </w:rPr>
                  </w:pPr>
                  <w:r>
                    <w:rPr>
                      <w:rFonts w:hint="eastAsia"/>
                      <w:color w:val="auto"/>
                      <w:sz w:val="21"/>
                      <w:szCs w:val="21"/>
                    </w:rPr>
                    <w:t>0.01L</w:t>
                  </w:r>
                </w:p>
              </w:tc>
              <w:tc>
                <w:tcPr>
                  <w:tcW w:w="833" w:type="pct"/>
                  <w:vAlign w:val="center"/>
                </w:tcPr>
                <w:p w14:paraId="0D718C6A">
                  <w:pPr>
                    <w:jc w:val="center"/>
                    <w:rPr>
                      <w:color w:val="auto"/>
                      <w:sz w:val="21"/>
                      <w:szCs w:val="21"/>
                    </w:rPr>
                  </w:pPr>
                  <w:r>
                    <w:rPr>
                      <w:rFonts w:hint="eastAsia"/>
                      <w:color w:val="auto"/>
                      <w:sz w:val="21"/>
                      <w:szCs w:val="21"/>
                    </w:rPr>
                    <w:t>/</w:t>
                  </w:r>
                </w:p>
              </w:tc>
              <w:tc>
                <w:tcPr>
                  <w:tcW w:w="833" w:type="pct"/>
                  <w:vAlign w:val="center"/>
                </w:tcPr>
                <w:p w14:paraId="3D5BE9E3">
                  <w:pPr>
                    <w:jc w:val="center"/>
                    <w:rPr>
                      <w:color w:val="auto"/>
                      <w:sz w:val="21"/>
                      <w:szCs w:val="21"/>
                    </w:rPr>
                  </w:pPr>
                  <w:r>
                    <w:rPr>
                      <w:rFonts w:hint="eastAsia" w:asciiTheme="minorEastAsia" w:hAnsiTheme="minorEastAsia" w:eastAsiaTheme="minorEastAsia" w:cstheme="minorEastAsia"/>
                      <w:snapToGrid w:val="0"/>
                      <w:color w:val="auto"/>
                      <w:kern w:val="0"/>
                      <w:sz w:val="21"/>
                      <w:szCs w:val="21"/>
                    </w:rPr>
                    <w:t>-</w:t>
                  </w:r>
                </w:p>
              </w:tc>
              <w:tc>
                <w:tcPr>
                  <w:tcW w:w="834" w:type="pct"/>
                  <w:vAlign w:val="center"/>
                </w:tcPr>
                <w:p w14:paraId="52948FB5">
                  <w:pPr>
                    <w:widowControl/>
                    <w:snapToGrid w:val="0"/>
                    <w:spacing w:line="320" w:lineRule="exact"/>
                    <w:jc w:val="center"/>
                    <w:rPr>
                      <w:color w:val="auto"/>
                      <w:sz w:val="21"/>
                      <w:szCs w:val="21"/>
                    </w:rPr>
                  </w:pPr>
                  <w:r>
                    <w:rPr>
                      <w:rFonts w:hint="eastAsia"/>
                      <w:color w:val="auto"/>
                      <w:sz w:val="21"/>
                      <w:szCs w:val="21"/>
                    </w:rPr>
                    <w:t>达标</w:t>
                  </w:r>
                </w:p>
              </w:tc>
            </w:tr>
            <w:tr w14:paraId="7514F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05C6C6AB">
                  <w:pPr>
                    <w:adjustRightInd w:val="0"/>
                    <w:snapToGrid w:val="0"/>
                    <w:spacing w:line="340" w:lineRule="exact"/>
                    <w:jc w:val="center"/>
                    <w:rPr>
                      <w:color w:val="auto"/>
                      <w:sz w:val="21"/>
                      <w:szCs w:val="21"/>
                    </w:rPr>
                  </w:pPr>
                  <w:r>
                    <w:rPr>
                      <w:snapToGrid w:val="0"/>
                      <w:color w:val="auto"/>
                      <w:sz w:val="21"/>
                      <w:szCs w:val="21"/>
                    </w:rPr>
                    <w:t>高锰酸盐指数</w:t>
                  </w:r>
                </w:p>
              </w:tc>
              <w:tc>
                <w:tcPr>
                  <w:tcW w:w="763" w:type="pct"/>
                  <w:vAlign w:val="center"/>
                </w:tcPr>
                <w:p w14:paraId="37719ACF">
                  <w:pPr>
                    <w:jc w:val="center"/>
                    <w:rPr>
                      <w:color w:val="auto"/>
                      <w:sz w:val="21"/>
                      <w:szCs w:val="21"/>
                    </w:rPr>
                  </w:pPr>
                  <w:r>
                    <w:rPr>
                      <w:rFonts w:hint="eastAsia"/>
                      <w:snapToGrid w:val="0"/>
                      <w:color w:val="auto"/>
                      <w:kern w:val="0"/>
                      <w:sz w:val="21"/>
                      <w:szCs w:val="21"/>
                    </w:rPr>
                    <w:t>mg/L</w:t>
                  </w:r>
                </w:p>
              </w:tc>
              <w:tc>
                <w:tcPr>
                  <w:tcW w:w="786" w:type="pct"/>
                  <w:vAlign w:val="center"/>
                </w:tcPr>
                <w:p w14:paraId="67483762">
                  <w:pPr>
                    <w:jc w:val="center"/>
                    <w:rPr>
                      <w:color w:val="auto"/>
                      <w:sz w:val="21"/>
                      <w:szCs w:val="21"/>
                    </w:rPr>
                  </w:pPr>
                  <w:r>
                    <w:rPr>
                      <w:rFonts w:hint="eastAsia"/>
                      <w:color w:val="auto"/>
                      <w:sz w:val="21"/>
                      <w:szCs w:val="21"/>
                    </w:rPr>
                    <w:t>2.4</w:t>
                  </w:r>
                </w:p>
              </w:tc>
              <w:tc>
                <w:tcPr>
                  <w:tcW w:w="833" w:type="pct"/>
                  <w:vAlign w:val="center"/>
                </w:tcPr>
                <w:p w14:paraId="32EB9670">
                  <w:pPr>
                    <w:widowControl/>
                    <w:jc w:val="center"/>
                    <w:textAlignment w:val="center"/>
                    <w:rPr>
                      <w:color w:val="auto"/>
                      <w:sz w:val="21"/>
                      <w:szCs w:val="21"/>
                    </w:rPr>
                  </w:pPr>
                  <w:r>
                    <w:rPr>
                      <w:color w:val="auto"/>
                      <w:kern w:val="0"/>
                      <w:sz w:val="21"/>
                      <w:szCs w:val="21"/>
                      <w:lang w:bidi="ar"/>
                    </w:rPr>
                    <w:t xml:space="preserve">0.800 </w:t>
                  </w:r>
                </w:p>
              </w:tc>
              <w:tc>
                <w:tcPr>
                  <w:tcW w:w="833" w:type="pct"/>
                  <w:vAlign w:val="center"/>
                </w:tcPr>
                <w:p w14:paraId="32255175">
                  <w:pPr>
                    <w:jc w:val="center"/>
                    <w:rPr>
                      <w:color w:val="auto"/>
                      <w:sz w:val="21"/>
                      <w:szCs w:val="21"/>
                    </w:rPr>
                  </w:pPr>
                  <w:r>
                    <w:rPr>
                      <w:rFonts w:eastAsiaTheme="minorEastAsia"/>
                      <w:snapToGrid w:val="0"/>
                      <w:color w:val="auto"/>
                      <w:kern w:val="0"/>
                      <w:sz w:val="21"/>
                      <w:szCs w:val="21"/>
                    </w:rPr>
                    <w:t>3.0</w:t>
                  </w:r>
                </w:p>
              </w:tc>
              <w:tc>
                <w:tcPr>
                  <w:tcW w:w="834" w:type="pct"/>
                  <w:vAlign w:val="center"/>
                </w:tcPr>
                <w:p w14:paraId="08715DEB">
                  <w:pPr>
                    <w:widowControl/>
                    <w:snapToGrid w:val="0"/>
                    <w:spacing w:line="320" w:lineRule="exact"/>
                    <w:jc w:val="center"/>
                    <w:rPr>
                      <w:color w:val="auto"/>
                      <w:sz w:val="21"/>
                      <w:szCs w:val="21"/>
                    </w:rPr>
                  </w:pPr>
                  <w:r>
                    <w:rPr>
                      <w:rFonts w:hint="eastAsia"/>
                      <w:color w:val="auto"/>
                      <w:sz w:val="21"/>
                      <w:szCs w:val="21"/>
                    </w:rPr>
                    <w:t>达标</w:t>
                  </w:r>
                </w:p>
              </w:tc>
            </w:tr>
            <w:tr w14:paraId="2387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24D311CC">
                  <w:pPr>
                    <w:jc w:val="center"/>
                    <w:rPr>
                      <w:color w:val="auto"/>
                      <w:sz w:val="21"/>
                      <w:szCs w:val="21"/>
                    </w:rPr>
                  </w:pPr>
                  <w:r>
                    <w:rPr>
                      <w:color w:val="auto"/>
                      <w:sz w:val="21"/>
                      <w:szCs w:val="21"/>
                    </w:rPr>
                    <w:t>钙</w:t>
                  </w:r>
                </w:p>
              </w:tc>
              <w:tc>
                <w:tcPr>
                  <w:tcW w:w="763" w:type="pct"/>
                  <w:vAlign w:val="center"/>
                </w:tcPr>
                <w:p w14:paraId="7FD672DE">
                  <w:pPr>
                    <w:jc w:val="center"/>
                    <w:rPr>
                      <w:color w:val="auto"/>
                      <w:sz w:val="21"/>
                      <w:szCs w:val="21"/>
                    </w:rPr>
                  </w:pPr>
                  <w:r>
                    <w:rPr>
                      <w:rFonts w:hint="eastAsia"/>
                      <w:snapToGrid w:val="0"/>
                      <w:color w:val="auto"/>
                      <w:kern w:val="0"/>
                      <w:sz w:val="21"/>
                      <w:szCs w:val="21"/>
                    </w:rPr>
                    <w:t>mg/L</w:t>
                  </w:r>
                </w:p>
              </w:tc>
              <w:tc>
                <w:tcPr>
                  <w:tcW w:w="786" w:type="pct"/>
                  <w:vAlign w:val="center"/>
                </w:tcPr>
                <w:p w14:paraId="1E99112A">
                  <w:pPr>
                    <w:jc w:val="center"/>
                    <w:rPr>
                      <w:color w:val="auto"/>
                      <w:sz w:val="21"/>
                      <w:szCs w:val="21"/>
                    </w:rPr>
                  </w:pPr>
                  <w:r>
                    <w:rPr>
                      <w:rFonts w:hint="eastAsia"/>
                      <w:color w:val="auto"/>
                      <w:sz w:val="21"/>
                      <w:szCs w:val="21"/>
                    </w:rPr>
                    <w:t>71.1</w:t>
                  </w:r>
                </w:p>
              </w:tc>
              <w:tc>
                <w:tcPr>
                  <w:tcW w:w="833" w:type="pct"/>
                  <w:vAlign w:val="center"/>
                </w:tcPr>
                <w:p w14:paraId="0C05F7F6">
                  <w:pPr>
                    <w:jc w:val="center"/>
                    <w:rPr>
                      <w:color w:val="auto"/>
                      <w:sz w:val="21"/>
                      <w:szCs w:val="21"/>
                    </w:rPr>
                  </w:pPr>
                  <w:r>
                    <w:rPr>
                      <w:rFonts w:hint="eastAsia"/>
                      <w:color w:val="auto"/>
                      <w:sz w:val="21"/>
                      <w:szCs w:val="21"/>
                    </w:rPr>
                    <w:t>/</w:t>
                  </w:r>
                </w:p>
              </w:tc>
              <w:tc>
                <w:tcPr>
                  <w:tcW w:w="833" w:type="pct"/>
                  <w:vAlign w:val="center"/>
                </w:tcPr>
                <w:p w14:paraId="452E8AD9">
                  <w:pPr>
                    <w:jc w:val="center"/>
                    <w:rPr>
                      <w:color w:val="auto"/>
                      <w:sz w:val="21"/>
                      <w:szCs w:val="21"/>
                    </w:rPr>
                  </w:pPr>
                  <w:r>
                    <w:rPr>
                      <w:rFonts w:hint="eastAsia"/>
                      <w:snapToGrid w:val="0"/>
                      <w:color w:val="auto"/>
                      <w:kern w:val="0"/>
                      <w:sz w:val="21"/>
                      <w:szCs w:val="21"/>
                    </w:rPr>
                    <w:t>—</w:t>
                  </w:r>
                </w:p>
              </w:tc>
              <w:tc>
                <w:tcPr>
                  <w:tcW w:w="834" w:type="pct"/>
                  <w:vAlign w:val="center"/>
                </w:tcPr>
                <w:p w14:paraId="49B2AF0A">
                  <w:pPr>
                    <w:widowControl/>
                    <w:snapToGrid w:val="0"/>
                    <w:spacing w:line="320" w:lineRule="exact"/>
                    <w:jc w:val="center"/>
                    <w:rPr>
                      <w:color w:val="auto"/>
                      <w:sz w:val="21"/>
                      <w:szCs w:val="21"/>
                    </w:rPr>
                  </w:pPr>
                  <w:r>
                    <w:rPr>
                      <w:rFonts w:hint="eastAsia"/>
                      <w:color w:val="auto"/>
                      <w:sz w:val="21"/>
                      <w:szCs w:val="21"/>
                    </w:rPr>
                    <w:t>达标</w:t>
                  </w:r>
                </w:p>
              </w:tc>
            </w:tr>
            <w:tr w14:paraId="5219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1EC51B1C">
                  <w:pPr>
                    <w:adjustRightInd w:val="0"/>
                    <w:snapToGrid w:val="0"/>
                    <w:spacing w:line="280" w:lineRule="exact"/>
                    <w:jc w:val="center"/>
                    <w:rPr>
                      <w:color w:val="auto"/>
                      <w:sz w:val="21"/>
                      <w:szCs w:val="21"/>
                    </w:rPr>
                  </w:pPr>
                  <w:r>
                    <w:rPr>
                      <w:snapToGrid w:val="0"/>
                      <w:color w:val="auto"/>
                      <w:sz w:val="21"/>
                      <w:szCs w:val="21"/>
                    </w:rPr>
                    <w:t>镁</w:t>
                  </w:r>
                </w:p>
              </w:tc>
              <w:tc>
                <w:tcPr>
                  <w:tcW w:w="763" w:type="pct"/>
                  <w:vAlign w:val="center"/>
                </w:tcPr>
                <w:p w14:paraId="058BD438">
                  <w:pPr>
                    <w:jc w:val="center"/>
                    <w:rPr>
                      <w:color w:val="auto"/>
                      <w:sz w:val="21"/>
                      <w:szCs w:val="21"/>
                    </w:rPr>
                  </w:pPr>
                  <w:r>
                    <w:rPr>
                      <w:rFonts w:hint="eastAsia"/>
                      <w:snapToGrid w:val="0"/>
                      <w:color w:val="auto"/>
                      <w:kern w:val="0"/>
                      <w:sz w:val="21"/>
                      <w:szCs w:val="21"/>
                    </w:rPr>
                    <w:t>mg/L</w:t>
                  </w:r>
                </w:p>
              </w:tc>
              <w:tc>
                <w:tcPr>
                  <w:tcW w:w="786" w:type="pct"/>
                  <w:vAlign w:val="center"/>
                </w:tcPr>
                <w:p w14:paraId="65F3C609">
                  <w:pPr>
                    <w:jc w:val="center"/>
                    <w:rPr>
                      <w:color w:val="auto"/>
                      <w:sz w:val="21"/>
                      <w:szCs w:val="21"/>
                    </w:rPr>
                  </w:pPr>
                  <w:r>
                    <w:rPr>
                      <w:rFonts w:hint="eastAsia"/>
                      <w:color w:val="auto"/>
                      <w:sz w:val="21"/>
                      <w:szCs w:val="21"/>
                    </w:rPr>
                    <w:t>52.7</w:t>
                  </w:r>
                </w:p>
              </w:tc>
              <w:tc>
                <w:tcPr>
                  <w:tcW w:w="833" w:type="pct"/>
                  <w:vAlign w:val="center"/>
                </w:tcPr>
                <w:p w14:paraId="6C0B16B6">
                  <w:pPr>
                    <w:jc w:val="center"/>
                    <w:rPr>
                      <w:color w:val="auto"/>
                      <w:sz w:val="21"/>
                      <w:szCs w:val="21"/>
                    </w:rPr>
                  </w:pPr>
                  <w:r>
                    <w:rPr>
                      <w:rFonts w:hint="eastAsia"/>
                      <w:color w:val="auto"/>
                      <w:sz w:val="21"/>
                      <w:szCs w:val="21"/>
                    </w:rPr>
                    <w:t>/</w:t>
                  </w:r>
                </w:p>
              </w:tc>
              <w:tc>
                <w:tcPr>
                  <w:tcW w:w="833" w:type="pct"/>
                  <w:vAlign w:val="center"/>
                </w:tcPr>
                <w:p w14:paraId="6E30549C">
                  <w:pPr>
                    <w:jc w:val="center"/>
                    <w:rPr>
                      <w:color w:val="auto"/>
                      <w:sz w:val="21"/>
                      <w:szCs w:val="21"/>
                    </w:rPr>
                  </w:pPr>
                  <w:r>
                    <w:rPr>
                      <w:rFonts w:hint="eastAsia"/>
                      <w:snapToGrid w:val="0"/>
                      <w:color w:val="auto"/>
                      <w:kern w:val="0"/>
                      <w:sz w:val="21"/>
                      <w:szCs w:val="21"/>
                    </w:rPr>
                    <w:t>—</w:t>
                  </w:r>
                </w:p>
              </w:tc>
              <w:tc>
                <w:tcPr>
                  <w:tcW w:w="834" w:type="pct"/>
                  <w:vAlign w:val="center"/>
                </w:tcPr>
                <w:p w14:paraId="5DB83477">
                  <w:pPr>
                    <w:widowControl/>
                    <w:snapToGrid w:val="0"/>
                    <w:spacing w:line="320" w:lineRule="exact"/>
                    <w:jc w:val="center"/>
                    <w:rPr>
                      <w:color w:val="auto"/>
                      <w:sz w:val="21"/>
                      <w:szCs w:val="21"/>
                    </w:rPr>
                  </w:pPr>
                  <w:r>
                    <w:rPr>
                      <w:rFonts w:hint="eastAsia"/>
                      <w:color w:val="auto"/>
                      <w:sz w:val="21"/>
                      <w:szCs w:val="21"/>
                    </w:rPr>
                    <w:t>达标</w:t>
                  </w:r>
                </w:p>
              </w:tc>
            </w:tr>
            <w:tr w14:paraId="4A7A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3B03F65D">
                  <w:pPr>
                    <w:adjustRightInd w:val="0"/>
                    <w:snapToGrid w:val="0"/>
                    <w:spacing w:line="280" w:lineRule="exact"/>
                    <w:jc w:val="center"/>
                    <w:rPr>
                      <w:color w:val="auto"/>
                      <w:sz w:val="21"/>
                      <w:szCs w:val="21"/>
                    </w:rPr>
                  </w:pPr>
                  <w:r>
                    <w:rPr>
                      <w:snapToGrid w:val="0"/>
                      <w:color w:val="auto"/>
                      <w:sz w:val="21"/>
                      <w:szCs w:val="21"/>
                    </w:rPr>
                    <w:t>钾</w:t>
                  </w:r>
                </w:p>
              </w:tc>
              <w:tc>
                <w:tcPr>
                  <w:tcW w:w="763" w:type="pct"/>
                  <w:vAlign w:val="center"/>
                </w:tcPr>
                <w:p w14:paraId="09B04757">
                  <w:pPr>
                    <w:jc w:val="center"/>
                    <w:rPr>
                      <w:color w:val="auto"/>
                      <w:sz w:val="21"/>
                      <w:szCs w:val="21"/>
                    </w:rPr>
                  </w:pPr>
                  <w:r>
                    <w:rPr>
                      <w:rFonts w:hint="eastAsia"/>
                      <w:snapToGrid w:val="0"/>
                      <w:color w:val="auto"/>
                      <w:kern w:val="0"/>
                      <w:sz w:val="21"/>
                      <w:szCs w:val="21"/>
                    </w:rPr>
                    <w:t>mg/L</w:t>
                  </w:r>
                </w:p>
              </w:tc>
              <w:tc>
                <w:tcPr>
                  <w:tcW w:w="786" w:type="pct"/>
                  <w:vAlign w:val="center"/>
                </w:tcPr>
                <w:p w14:paraId="58FA98DC">
                  <w:pPr>
                    <w:jc w:val="center"/>
                    <w:rPr>
                      <w:color w:val="auto"/>
                      <w:sz w:val="21"/>
                      <w:szCs w:val="21"/>
                    </w:rPr>
                  </w:pPr>
                  <w:r>
                    <w:rPr>
                      <w:rFonts w:hint="eastAsia"/>
                      <w:color w:val="auto"/>
                      <w:sz w:val="21"/>
                      <w:szCs w:val="21"/>
                    </w:rPr>
                    <w:t>8.94</w:t>
                  </w:r>
                </w:p>
              </w:tc>
              <w:tc>
                <w:tcPr>
                  <w:tcW w:w="833" w:type="pct"/>
                  <w:vAlign w:val="center"/>
                </w:tcPr>
                <w:p w14:paraId="6BF7F910">
                  <w:pPr>
                    <w:jc w:val="center"/>
                    <w:rPr>
                      <w:color w:val="auto"/>
                      <w:sz w:val="21"/>
                      <w:szCs w:val="21"/>
                    </w:rPr>
                  </w:pPr>
                  <w:r>
                    <w:rPr>
                      <w:rFonts w:hint="eastAsia"/>
                      <w:color w:val="auto"/>
                      <w:sz w:val="21"/>
                      <w:szCs w:val="21"/>
                    </w:rPr>
                    <w:t>/</w:t>
                  </w:r>
                </w:p>
              </w:tc>
              <w:tc>
                <w:tcPr>
                  <w:tcW w:w="833" w:type="pct"/>
                  <w:vAlign w:val="center"/>
                </w:tcPr>
                <w:p w14:paraId="79529EF4">
                  <w:pPr>
                    <w:jc w:val="center"/>
                    <w:rPr>
                      <w:color w:val="auto"/>
                      <w:sz w:val="21"/>
                      <w:szCs w:val="21"/>
                    </w:rPr>
                  </w:pPr>
                  <w:r>
                    <w:rPr>
                      <w:rFonts w:hint="eastAsia"/>
                      <w:snapToGrid w:val="0"/>
                      <w:color w:val="auto"/>
                      <w:kern w:val="0"/>
                      <w:sz w:val="21"/>
                      <w:szCs w:val="21"/>
                    </w:rPr>
                    <w:t>—</w:t>
                  </w:r>
                </w:p>
              </w:tc>
              <w:tc>
                <w:tcPr>
                  <w:tcW w:w="834" w:type="pct"/>
                  <w:vAlign w:val="center"/>
                </w:tcPr>
                <w:p w14:paraId="289E6CCD">
                  <w:pPr>
                    <w:widowControl/>
                    <w:snapToGrid w:val="0"/>
                    <w:spacing w:line="320" w:lineRule="exact"/>
                    <w:jc w:val="center"/>
                    <w:rPr>
                      <w:color w:val="auto"/>
                      <w:sz w:val="21"/>
                      <w:szCs w:val="21"/>
                    </w:rPr>
                  </w:pPr>
                  <w:r>
                    <w:rPr>
                      <w:rFonts w:hint="eastAsia"/>
                      <w:color w:val="auto"/>
                      <w:sz w:val="21"/>
                      <w:szCs w:val="21"/>
                    </w:rPr>
                    <w:t>达标</w:t>
                  </w:r>
                </w:p>
              </w:tc>
            </w:tr>
            <w:tr w14:paraId="478A8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2D83B0E8">
                  <w:pPr>
                    <w:pStyle w:val="13"/>
                    <w:adjustRightInd w:val="0"/>
                    <w:snapToGrid w:val="0"/>
                    <w:jc w:val="center"/>
                    <w:rPr>
                      <w:rFonts w:ascii="Times New Roman" w:hAnsi="Times New Roman" w:cs="Times New Roman"/>
                      <w:color w:val="auto"/>
                    </w:rPr>
                  </w:pPr>
                  <w:r>
                    <w:rPr>
                      <w:rFonts w:ascii="Times New Roman" w:hAnsi="Times New Roman" w:cs="Times New Roman"/>
                      <w:snapToGrid w:val="0"/>
                      <w:color w:val="auto"/>
                    </w:rPr>
                    <w:t>钠</w:t>
                  </w:r>
                </w:p>
              </w:tc>
              <w:tc>
                <w:tcPr>
                  <w:tcW w:w="763" w:type="pct"/>
                  <w:vAlign w:val="center"/>
                </w:tcPr>
                <w:p w14:paraId="47BB3F40">
                  <w:pPr>
                    <w:jc w:val="center"/>
                    <w:rPr>
                      <w:color w:val="auto"/>
                      <w:sz w:val="21"/>
                      <w:szCs w:val="21"/>
                    </w:rPr>
                  </w:pPr>
                  <w:r>
                    <w:rPr>
                      <w:rFonts w:hint="eastAsia"/>
                      <w:snapToGrid w:val="0"/>
                      <w:color w:val="auto"/>
                      <w:kern w:val="0"/>
                      <w:sz w:val="21"/>
                      <w:szCs w:val="21"/>
                    </w:rPr>
                    <w:t>mg/L</w:t>
                  </w:r>
                </w:p>
              </w:tc>
              <w:tc>
                <w:tcPr>
                  <w:tcW w:w="786" w:type="pct"/>
                  <w:vAlign w:val="center"/>
                </w:tcPr>
                <w:p w14:paraId="6D389600">
                  <w:pPr>
                    <w:jc w:val="center"/>
                    <w:rPr>
                      <w:color w:val="auto"/>
                      <w:sz w:val="21"/>
                      <w:szCs w:val="21"/>
                    </w:rPr>
                  </w:pPr>
                  <w:r>
                    <w:rPr>
                      <w:rFonts w:hint="eastAsia"/>
                      <w:color w:val="auto"/>
                      <w:sz w:val="21"/>
                      <w:szCs w:val="21"/>
                    </w:rPr>
                    <w:t>332</w:t>
                  </w:r>
                </w:p>
              </w:tc>
              <w:tc>
                <w:tcPr>
                  <w:tcW w:w="833" w:type="pct"/>
                  <w:vAlign w:val="center"/>
                </w:tcPr>
                <w:p w14:paraId="1F2D1F72">
                  <w:pPr>
                    <w:widowControl/>
                    <w:jc w:val="center"/>
                    <w:textAlignment w:val="center"/>
                    <w:rPr>
                      <w:color w:val="auto"/>
                      <w:sz w:val="21"/>
                      <w:szCs w:val="21"/>
                    </w:rPr>
                  </w:pPr>
                  <w:r>
                    <w:rPr>
                      <w:color w:val="auto"/>
                      <w:kern w:val="0"/>
                      <w:sz w:val="21"/>
                      <w:szCs w:val="21"/>
                      <w:lang w:bidi="ar"/>
                    </w:rPr>
                    <w:t xml:space="preserve">1.660 </w:t>
                  </w:r>
                </w:p>
              </w:tc>
              <w:tc>
                <w:tcPr>
                  <w:tcW w:w="833" w:type="pct"/>
                  <w:vAlign w:val="center"/>
                </w:tcPr>
                <w:p w14:paraId="593270F4">
                  <w:pPr>
                    <w:jc w:val="center"/>
                    <w:rPr>
                      <w:color w:val="auto"/>
                      <w:sz w:val="21"/>
                      <w:szCs w:val="21"/>
                    </w:rPr>
                  </w:pPr>
                  <w:r>
                    <w:rPr>
                      <w:rFonts w:hint="eastAsia"/>
                      <w:snapToGrid w:val="0"/>
                      <w:color w:val="auto"/>
                      <w:kern w:val="0"/>
                      <w:sz w:val="21"/>
                      <w:szCs w:val="21"/>
                    </w:rPr>
                    <w:t>200</w:t>
                  </w:r>
                </w:p>
              </w:tc>
              <w:tc>
                <w:tcPr>
                  <w:tcW w:w="834" w:type="pct"/>
                  <w:vAlign w:val="center"/>
                </w:tcPr>
                <w:p w14:paraId="7180FA8A">
                  <w:pPr>
                    <w:widowControl/>
                    <w:snapToGrid w:val="0"/>
                    <w:spacing w:line="320" w:lineRule="exact"/>
                    <w:jc w:val="center"/>
                    <w:rPr>
                      <w:color w:val="auto"/>
                      <w:sz w:val="21"/>
                      <w:szCs w:val="21"/>
                    </w:rPr>
                  </w:pPr>
                  <w:r>
                    <w:rPr>
                      <w:rFonts w:hint="eastAsia"/>
                      <w:color w:val="auto"/>
                      <w:sz w:val="21"/>
                      <w:szCs w:val="21"/>
                    </w:rPr>
                    <w:t>超标</w:t>
                  </w:r>
                </w:p>
              </w:tc>
            </w:tr>
            <w:tr w14:paraId="6AE8D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pct"/>
                  <w:vAlign w:val="center"/>
                </w:tcPr>
                <w:p w14:paraId="7AACFC2E">
                  <w:pPr>
                    <w:pStyle w:val="13"/>
                    <w:adjustRightInd w:val="0"/>
                    <w:snapToGrid w:val="0"/>
                    <w:spacing w:line="320" w:lineRule="exact"/>
                    <w:jc w:val="center"/>
                    <w:rPr>
                      <w:rFonts w:ascii="Times New Roman" w:hAnsi="Times New Roman" w:cs="Times New Roman"/>
                      <w:color w:val="auto"/>
                    </w:rPr>
                  </w:pPr>
                  <w:r>
                    <w:rPr>
                      <w:rFonts w:ascii="Times New Roman" w:hAnsi="Times New Roman"/>
                      <w:snapToGrid w:val="0"/>
                      <w:color w:val="auto"/>
                    </w:rPr>
                    <w:t>碳酸根</w:t>
                  </w:r>
                </w:p>
              </w:tc>
              <w:tc>
                <w:tcPr>
                  <w:tcW w:w="763" w:type="pct"/>
                  <w:vAlign w:val="center"/>
                </w:tcPr>
                <w:p w14:paraId="7E7F1BA8">
                  <w:pPr>
                    <w:jc w:val="center"/>
                    <w:rPr>
                      <w:color w:val="auto"/>
                      <w:sz w:val="21"/>
                      <w:szCs w:val="21"/>
                    </w:rPr>
                  </w:pPr>
                  <w:r>
                    <w:rPr>
                      <w:rFonts w:hint="eastAsia"/>
                      <w:snapToGrid w:val="0"/>
                      <w:color w:val="auto"/>
                      <w:kern w:val="0"/>
                      <w:sz w:val="21"/>
                      <w:szCs w:val="21"/>
                    </w:rPr>
                    <w:t>mg/L</w:t>
                  </w:r>
                </w:p>
              </w:tc>
              <w:tc>
                <w:tcPr>
                  <w:tcW w:w="786" w:type="pct"/>
                  <w:vAlign w:val="center"/>
                </w:tcPr>
                <w:p w14:paraId="6333F488">
                  <w:pPr>
                    <w:jc w:val="center"/>
                    <w:rPr>
                      <w:color w:val="auto"/>
                      <w:sz w:val="21"/>
                      <w:szCs w:val="21"/>
                    </w:rPr>
                  </w:pPr>
                  <w:r>
                    <w:rPr>
                      <w:rFonts w:hint="eastAsia"/>
                      <w:color w:val="auto"/>
                      <w:sz w:val="21"/>
                      <w:szCs w:val="21"/>
                    </w:rPr>
                    <w:t>5L</w:t>
                  </w:r>
                </w:p>
              </w:tc>
              <w:tc>
                <w:tcPr>
                  <w:tcW w:w="833" w:type="pct"/>
                  <w:vAlign w:val="center"/>
                </w:tcPr>
                <w:p w14:paraId="018C1F6E">
                  <w:pPr>
                    <w:jc w:val="center"/>
                    <w:rPr>
                      <w:color w:val="auto"/>
                      <w:sz w:val="21"/>
                      <w:szCs w:val="21"/>
                    </w:rPr>
                  </w:pPr>
                  <w:r>
                    <w:rPr>
                      <w:rFonts w:hint="eastAsia"/>
                      <w:color w:val="auto"/>
                      <w:sz w:val="21"/>
                      <w:szCs w:val="21"/>
                    </w:rPr>
                    <w:t>/</w:t>
                  </w:r>
                </w:p>
              </w:tc>
              <w:tc>
                <w:tcPr>
                  <w:tcW w:w="833" w:type="pct"/>
                  <w:vAlign w:val="center"/>
                </w:tcPr>
                <w:p w14:paraId="6C419475">
                  <w:pPr>
                    <w:jc w:val="center"/>
                    <w:rPr>
                      <w:color w:val="auto"/>
                      <w:sz w:val="21"/>
                      <w:szCs w:val="21"/>
                    </w:rPr>
                  </w:pPr>
                  <w:r>
                    <w:rPr>
                      <w:rFonts w:hint="eastAsia"/>
                      <w:snapToGrid w:val="0"/>
                      <w:color w:val="auto"/>
                      <w:kern w:val="0"/>
                      <w:sz w:val="21"/>
                      <w:szCs w:val="21"/>
                    </w:rPr>
                    <w:t>—</w:t>
                  </w:r>
                </w:p>
              </w:tc>
              <w:tc>
                <w:tcPr>
                  <w:tcW w:w="834" w:type="pct"/>
                  <w:vAlign w:val="center"/>
                </w:tcPr>
                <w:p w14:paraId="740CB9BF">
                  <w:pPr>
                    <w:widowControl/>
                    <w:snapToGrid w:val="0"/>
                    <w:spacing w:line="320" w:lineRule="exact"/>
                    <w:jc w:val="center"/>
                    <w:rPr>
                      <w:color w:val="auto"/>
                      <w:sz w:val="21"/>
                      <w:szCs w:val="21"/>
                    </w:rPr>
                  </w:pPr>
                  <w:r>
                    <w:rPr>
                      <w:rFonts w:hint="eastAsia"/>
                      <w:color w:val="auto"/>
                      <w:sz w:val="21"/>
                      <w:szCs w:val="21"/>
                    </w:rPr>
                    <w:t>达标</w:t>
                  </w:r>
                </w:p>
              </w:tc>
            </w:tr>
            <w:tr w14:paraId="5740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8" w:type="pct"/>
                  <w:vAlign w:val="center"/>
                </w:tcPr>
                <w:p w14:paraId="68BA259B">
                  <w:pPr>
                    <w:adjustRightInd w:val="0"/>
                    <w:snapToGrid w:val="0"/>
                    <w:spacing w:line="340" w:lineRule="exact"/>
                    <w:jc w:val="center"/>
                    <w:rPr>
                      <w:color w:val="auto"/>
                      <w:sz w:val="21"/>
                      <w:szCs w:val="21"/>
                    </w:rPr>
                  </w:pPr>
                  <w:r>
                    <w:rPr>
                      <w:snapToGrid w:val="0"/>
                      <w:color w:val="auto"/>
                      <w:sz w:val="21"/>
                      <w:szCs w:val="21"/>
                    </w:rPr>
                    <w:t>重碳酸根</w:t>
                  </w:r>
                </w:p>
              </w:tc>
              <w:tc>
                <w:tcPr>
                  <w:tcW w:w="763" w:type="pct"/>
                  <w:vAlign w:val="center"/>
                </w:tcPr>
                <w:p w14:paraId="10DA6692">
                  <w:pPr>
                    <w:jc w:val="center"/>
                    <w:rPr>
                      <w:color w:val="auto"/>
                      <w:sz w:val="21"/>
                      <w:szCs w:val="21"/>
                    </w:rPr>
                  </w:pPr>
                  <w:r>
                    <w:rPr>
                      <w:rFonts w:hint="eastAsia"/>
                      <w:snapToGrid w:val="0"/>
                      <w:color w:val="auto"/>
                      <w:kern w:val="0"/>
                      <w:sz w:val="21"/>
                      <w:szCs w:val="21"/>
                    </w:rPr>
                    <w:t>mg/L</w:t>
                  </w:r>
                </w:p>
              </w:tc>
              <w:tc>
                <w:tcPr>
                  <w:tcW w:w="786" w:type="pct"/>
                  <w:vAlign w:val="center"/>
                </w:tcPr>
                <w:p w14:paraId="763DB3AE">
                  <w:pPr>
                    <w:jc w:val="center"/>
                    <w:rPr>
                      <w:color w:val="auto"/>
                      <w:sz w:val="21"/>
                      <w:szCs w:val="21"/>
                    </w:rPr>
                  </w:pPr>
                  <w:r>
                    <w:rPr>
                      <w:rFonts w:hint="eastAsia"/>
                      <w:color w:val="auto"/>
                      <w:sz w:val="21"/>
                      <w:szCs w:val="21"/>
                    </w:rPr>
                    <w:t>231</w:t>
                  </w:r>
                </w:p>
              </w:tc>
              <w:tc>
                <w:tcPr>
                  <w:tcW w:w="833" w:type="pct"/>
                  <w:vAlign w:val="center"/>
                </w:tcPr>
                <w:p w14:paraId="31F71E74">
                  <w:pPr>
                    <w:jc w:val="center"/>
                    <w:rPr>
                      <w:color w:val="auto"/>
                      <w:sz w:val="21"/>
                      <w:szCs w:val="21"/>
                    </w:rPr>
                  </w:pPr>
                  <w:r>
                    <w:rPr>
                      <w:rFonts w:hint="eastAsia"/>
                      <w:color w:val="auto"/>
                      <w:sz w:val="21"/>
                      <w:szCs w:val="21"/>
                    </w:rPr>
                    <w:t>/</w:t>
                  </w:r>
                </w:p>
              </w:tc>
              <w:tc>
                <w:tcPr>
                  <w:tcW w:w="833" w:type="pct"/>
                  <w:vAlign w:val="center"/>
                </w:tcPr>
                <w:p w14:paraId="3F1408A9">
                  <w:pPr>
                    <w:jc w:val="center"/>
                    <w:rPr>
                      <w:color w:val="auto"/>
                      <w:sz w:val="21"/>
                      <w:szCs w:val="21"/>
                    </w:rPr>
                  </w:pPr>
                  <w:r>
                    <w:rPr>
                      <w:rFonts w:hint="eastAsia"/>
                      <w:snapToGrid w:val="0"/>
                      <w:color w:val="auto"/>
                      <w:kern w:val="0"/>
                      <w:sz w:val="21"/>
                      <w:szCs w:val="21"/>
                    </w:rPr>
                    <w:t>—</w:t>
                  </w:r>
                </w:p>
              </w:tc>
              <w:tc>
                <w:tcPr>
                  <w:tcW w:w="834" w:type="pct"/>
                  <w:vAlign w:val="center"/>
                </w:tcPr>
                <w:p w14:paraId="6DE62646">
                  <w:pPr>
                    <w:widowControl/>
                    <w:snapToGrid w:val="0"/>
                    <w:spacing w:line="320" w:lineRule="exact"/>
                    <w:jc w:val="center"/>
                    <w:rPr>
                      <w:color w:val="auto"/>
                      <w:sz w:val="21"/>
                      <w:szCs w:val="21"/>
                    </w:rPr>
                  </w:pPr>
                  <w:r>
                    <w:rPr>
                      <w:rFonts w:hint="eastAsia"/>
                      <w:color w:val="auto"/>
                      <w:sz w:val="21"/>
                      <w:szCs w:val="21"/>
                    </w:rPr>
                    <w:t>达标</w:t>
                  </w:r>
                </w:p>
              </w:tc>
            </w:tr>
          </w:tbl>
          <w:p w14:paraId="550DCDC5">
            <w:pPr>
              <w:keepNext w:val="0"/>
              <w:keepLines w:val="0"/>
              <w:pageBreakBefore w:val="0"/>
              <w:kinsoku/>
              <w:wordWrap/>
              <w:overflowPunct/>
              <w:topLinePunct w:val="0"/>
              <w:autoSpaceDE/>
              <w:autoSpaceDN/>
              <w:bidi w:val="0"/>
              <w:adjustRightInd/>
              <w:spacing w:line="500" w:lineRule="exact"/>
              <w:ind w:firstLine="480" w:firstLineChars="200"/>
              <w:textAlignment w:val="auto"/>
              <w:rPr>
                <w:color w:val="auto"/>
              </w:rPr>
            </w:pPr>
            <w:r>
              <w:rPr>
                <w:rFonts w:hint="eastAsia"/>
                <w:color w:val="auto"/>
              </w:rPr>
              <w:t>根据地下水现状监测结果可知，超标因子包括氯化物、溶解性总固体和钠，超标倍数分别为1.136、0.4和0.66。氯化物、溶解性总固体和钠超标原因为区内天然水文地质条件所致。除此之外，其他监测因子皆满足《地下水质量标准》(GB/T14848-2017）中Ⅲ类标准。</w:t>
            </w:r>
          </w:p>
          <w:p w14:paraId="7FD1AA3D">
            <w:pPr>
              <w:keepNext w:val="0"/>
              <w:keepLines w:val="0"/>
              <w:pageBreakBefore w:val="0"/>
              <w:kinsoku/>
              <w:wordWrap/>
              <w:overflowPunct/>
              <w:topLinePunct w:val="0"/>
              <w:autoSpaceDE/>
              <w:autoSpaceDN/>
              <w:bidi w:val="0"/>
              <w:adjustRightInd/>
              <w:spacing w:line="500" w:lineRule="exact"/>
              <w:ind w:firstLine="482" w:firstLineChars="200"/>
              <w:jc w:val="left"/>
              <w:textAlignment w:val="auto"/>
              <w:rPr>
                <w:b/>
                <w:bCs/>
                <w:color w:val="auto"/>
              </w:rPr>
            </w:pPr>
            <w:r>
              <w:rPr>
                <w:b/>
                <w:bCs/>
                <w:color w:val="auto"/>
              </w:rPr>
              <w:t>5、土壤环境质量现状</w:t>
            </w:r>
          </w:p>
          <w:p w14:paraId="3525A1A2">
            <w:pPr>
              <w:pStyle w:val="36"/>
              <w:keepNext w:val="0"/>
              <w:keepLines w:val="0"/>
              <w:pageBreakBefore w:val="0"/>
              <w:kinsoku/>
              <w:wordWrap/>
              <w:overflowPunct/>
              <w:topLinePunct w:val="0"/>
              <w:autoSpaceDE/>
              <w:autoSpaceDN/>
              <w:bidi w:val="0"/>
              <w:adjustRightInd/>
              <w:spacing w:before="0" w:after="0" w:line="500" w:lineRule="exact"/>
              <w:ind w:right="0" w:firstLine="480" w:firstLineChars="200"/>
              <w:jc w:val="left"/>
              <w:textAlignment w:val="auto"/>
              <w:rPr>
                <w:color w:val="auto"/>
                <w:sz w:val="24"/>
                <w:szCs w:val="24"/>
              </w:rPr>
            </w:pPr>
            <w:r>
              <w:rPr>
                <w:color w:val="auto"/>
                <w:sz w:val="24"/>
              </w:rPr>
              <w:t>本次评价</w:t>
            </w:r>
            <w:r>
              <w:rPr>
                <w:rFonts w:hint="eastAsia"/>
                <w:color w:val="auto"/>
                <w:sz w:val="24"/>
              </w:rPr>
              <w:t>由</w:t>
            </w:r>
            <w:r>
              <w:rPr>
                <w:color w:val="auto"/>
                <w:sz w:val="24"/>
              </w:rPr>
              <w:t>建设单位委托</w:t>
            </w:r>
            <w:r>
              <w:rPr>
                <w:rFonts w:hint="eastAsia"/>
                <w:color w:val="auto"/>
                <w:sz w:val="24"/>
              </w:rPr>
              <w:t>内蒙古泽铭</w:t>
            </w:r>
            <w:r>
              <w:rPr>
                <w:color w:val="auto"/>
                <w:sz w:val="24"/>
              </w:rPr>
              <w:t>技术</w:t>
            </w:r>
            <w:r>
              <w:rPr>
                <w:rFonts w:hint="eastAsia"/>
                <w:color w:val="auto"/>
                <w:sz w:val="24"/>
              </w:rPr>
              <w:t>检测</w:t>
            </w:r>
            <w:r>
              <w:rPr>
                <w:color w:val="auto"/>
                <w:sz w:val="24"/>
              </w:rPr>
              <w:t>有限公司</w:t>
            </w:r>
            <w:r>
              <w:rPr>
                <w:rFonts w:hint="eastAsia"/>
                <w:color w:val="auto"/>
                <w:sz w:val="24"/>
              </w:rPr>
              <w:t>对</w:t>
            </w:r>
            <w:r>
              <w:rPr>
                <w:rFonts w:hint="eastAsia"/>
                <w:color w:val="auto"/>
                <w:sz w:val="24"/>
                <w:szCs w:val="24"/>
              </w:rPr>
              <w:t>土壤环境现状进行监测，监测时间为2025年11月13日，监测1次。监测结果见下表：</w:t>
            </w:r>
          </w:p>
          <w:p w14:paraId="09185B76">
            <w:pPr>
              <w:spacing w:line="500" w:lineRule="exact"/>
              <w:ind w:firstLine="2168" w:firstLineChars="900"/>
              <w:rPr>
                <w:b/>
                <w:bCs/>
                <w:color w:val="auto"/>
              </w:rPr>
            </w:pPr>
            <w:r>
              <w:rPr>
                <w:b/>
                <w:bCs/>
                <w:color w:val="auto"/>
              </w:rPr>
              <w:t>表3-</w:t>
            </w:r>
            <w:r>
              <w:rPr>
                <w:rFonts w:hint="eastAsia"/>
                <w:b/>
                <w:bCs/>
                <w:color w:val="auto"/>
                <w:lang w:val="en-US" w:eastAsia="zh-CN"/>
              </w:rPr>
              <w:t>6</w:t>
            </w:r>
            <w:r>
              <w:rPr>
                <w:b/>
                <w:bCs/>
                <w:color w:val="auto"/>
              </w:rPr>
              <w:t xml:space="preserve">   </w:t>
            </w:r>
            <w:r>
              <w:rPr>
                <w:rFonts w:hint="eastAsia"/>
                <w:b/>
                <w:bCs/>
                <w:color w:val="auto"/>
              </w:rPr>
              <w:t>土壤</w:t>
            </w:r>
            <w:r>
              <w:rPr>
                <w:b/>
                <w:bCs/>
                <w:color w:val="auto"/>
              </w:rPr>
              <w:t>现状监测点布设情况</w:t>
            </w:r>
          </w:p>
          <w:tbl>
            <w:tblPr>
              <w:tblStyle w:val="25"/>
              <w:tblW w:w="498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2"/>
              <w:gridCol w:w="1992"/>
              <w:gridCol w:w="2983"/>
              <w:gridCol w:w="1560"/>
              <w:gridCol w:w="1424"/>
            </w:tblGrid>
            <w:tr w14:paraId="44C6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dxa"/>
                  <w:vMerge w:val="restart"/>
                  <w:vAlign w:val="center"/>
                </w:tcPr>
                <w:p w14:paraId="77FE304B">
                  <w:pPr>
                    <w:spacing w:line="360" w:lineRule="exact"/>
                    <w:jc w:val="center"/>
                    <w:rPr>
                      <w:color w:val="auto"/>
                      <w:sz w:val="21"/>
                      <w:szCs w:val="21"/>
                    </w:rPr>
                  </w:pPr>
                  <w:r>
                    <w:rPr>
                      <w:color w:val="auto"/>
                      <w:sz w:val="21"/>
                      <w:szCs w:val="21"/>
                    </w:rPr>
                    <w:t>序号</w:t>
                  </w:r>
                </w:p>
              </w:tc>
              <w:tc>
                <w:tcPr>
                  <w:tcW w:w="1916" w:type="dxa"/>
                  <w:vMerge w:val="restart"/>
                  <w:vAlign w:val="center"/>
                </w:tcPr>
                <w:p w14:paraId="1CDCC17B">
                  <w:pPr>
                    <w:spacing w:line="360" w:lineRule="exact"/>
                    <w:jc w:val="center"/>
                    <w:rPr>
                      <w:color w:val="auto"/>
                      <w:sz w:val="21"/>
                      <w:szCs w:val="21"/>
                    </w:rPr>
                  </w:pPr>
                  <w:r>
                    <w:rPr>
                      <w:color w:val="auto"/>
                      <w:sz w:val="21"/>
                      <w:szCs w:val="21"/>
                    </w:rPr>
                    <w:t>点位名称</w:t>
                  </w:r>
                </w:p>
              </w:tc>
              <w:tc>
                <w:tcPr>
                  <w:tcW w:w="2869" w:type="dxa"/>
                  <w:vMerge w:val="restart"/>
                  <w:vAlign w:val="center"/>
                </w:tcPr>
                <w:p w14:paraId="1512C0D2">
                  <w:pPr>
                    <w:spacing w:line="360" w:lineRule="exact"/>
                    <w:jc w:val="center"/>
                    <w:rPr>
                      <w:color w:val="auto"/>
                      <w:sz w:val="21"/>
                      <w:szCs w:val="21"/>
                    </w:rPr>
                  </w:pPr>
                  <w:r>
                    <w:rPr>
                      <w:rFonts w:hint="eastAsia"/>
                      <w:color w:val="auto"/>
                      <w:sz w:val="21"/>
                      <w:szCs w:val="21"/>
                    </w:rPr>
                    <w:t>采样层位</w:t>
                  </w:r>
                </w:p>
              </w:tc>
              <w:tc>
                <w:tcPr>
                  <w:tcW w:w="2869" w:type="dxa"/>
                  <w:gridSpan w:val="2"/>
                  <w:vAlign w:val="center"/>
                </w:tcPr>
                <w:p w14:paraId="4DFDF873">
                  <w:pPr>
                    <w:spacing w:line="360" w:lineRule="exact"/>
                    <w:jc w:val="center"/>
                    <w:rPr>
                      <w:color w:val="auto"/>
                      <w:sz w:val="21"/>
                      <w:szCs w:val="21"/>
                    </w:rPr>
                  </w:pPr>
                  <w:r>
                    <w:rPr>
                      <w:color w:val="auto"/>
                      <w:sz w:val="21"/>
                      <w:szCs w:val="21"/>
                    </w:rPr>
                    <w:t>坐标</w:t>
                  </w:r>
                </w:p>
              </w:tc>
            </w:tr>
            <w:tr w14:paraId="331C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dxa"/>
                  <w:vMerge w:val="continue"/>
                  <w:vAlign w:val="center"/>
                </w:tcPr>
                <w:p w14:paraId="217DA8BE">
                  <w:pPr>
                    <w:spacing w:line="360" w:lineRule="exact"/>
                    <w:jc w:val="center"/>
                    <w:rPr>
                      <w:color w:val="auto"/>
                      <w:sz w:val="21"/>
                      <w:szCs w:val="21"/>
                    </w:rPr>
                  </w:pPr>
                </w:p>
              </w:tc>
              <w:tc>
                <w:tcPr>
                  <w:tcW w:w="1916" w:type="dxa"/>
                  <w:vMerge w:val="continue"/>
                  <w:vAlign w:val="center"/>
                </w:tcPr>
                <w:p w14:paraId="305CEFF5">
                  <w:pPr>
                    <w:spacing w:line="360" w:lineRule="exact"/>
                    <w:jc w:val="center"/>
                    <w:rPr>
                      <w:color w:val="auto"/>
                      <w:sz w:val="21"/>
                      <w:szCs w:val="21"/>
                    </w:rPr>
                  </w:pPr>
                </w:p>
              </w:tc>
              <w:tc>
                <w:tcPr>
                  <w:tcW w:w="2869" w:type="dxa"/>
                  <w:vMerge w:val="continue"/>
                  <w:vAlign w:val="center"/>
                </w:tcPr>
                <w:p w14:paraId="6C6F2E43">
                  <w:pPr>
                    <w:spacing w:line="360" w:lineRule="exact"/>
                    <w:jc w:val="center"/>
                    <w:rPr>
                      <w:color w:val="auto"/>
                      <w:sz w:val="21"/>
                      <w:szCs w:val="21"/>
                    </w:rPr>
                  </w:pPr>
                </w:p>
              </w:tc>
              <w:tc>
                <w:tcPr>
                  <w:tcW w:w="1500" w:type="dxa"/>
                  <w:vAlign w:val="center"/>
                </w:tcPr>
                <w:p w14:paraId="3BBC0D04">
                  <w:pPr>
                    <w:spacing w:line="360" w:lineRule="exact"/>
                    <w:jc w:val="center"/>
                    <w:rPr>
                      <w:color w:val="auto"/>
                      <w:sz w:val="21"/>
                      <w:szCs w:val="21"/>
                    </w:rPr>
                  </w:pPr>
                  <w:r>
                    <w:rPr>
                      <w:color w:val="auto"/>
                      <w:sz w:val="21"/>
                      <w:szCs w:val="21"/>
                    </w:rPr>
                    <w:t>经度（E）</w:t>
                  </w:r>
                </w:p>
              </w:tc>
              <w:tc>
                <w:tcPr>
                  <w:tcW w:w="1369" w:type="dxa"/>
                  <w:vAlign w:val="center"/>
                </w:tcPr>
                <w:p w14:paraId="79387C1D">
                  <w:pPr>
                    <w:spacing w:line="360" w:lineRule="exact"/>
                    <w:jc w:val="center"/>
                    <w:rPr>
                      <w:color w:val="auto"/>
                      <w:sz w:val="21"/>
                      <w:szCs w:val="21"/>
                    </w:rPr>
                  </w:pPr>
                  <w:r>
                    <w:rPr>
                      <w:color w:val="auto"/>
                      <w:sz w:val="21"/>
                      <w:szCs w:val="21"/>
                    </w:rPr>
                    <w:t>纬度（N）</w:t>
                  </w:r>
                </w:p>
              </w:tc>
            </w:tr>
            <w:tr w14:paraId="7492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dxa"/>
                  <w:vAlign w:val="center"/>
                </w:tcPr>
                <w:p w14:paraId="318B8D27">
                  <w:pPr>
                    <w:spacing w:line="360" w:lineRule="exact"/>
                    <w:jc w:val="center"/>
                    <w:rPr>
                      <w:color w:val="auto"/>
                      <w:sz w:val="21"/>
                      <w:szCs w:val="21"/>
                    </w:rPr>
                  </w:pPr>
                  <w:r>
                    <w:rPr>
                      <w:color w:val="auto"/>
                      <w:sz w:val="21"/>
                      <w:szCs w:val="21"/>
                    </w:rPr>
                    <w:t>1</w:t>
                  </w:r>
                </w:p>
              </w:tc>
              <w:tc>
                <w:tcPr>
                  <w:tcW w:w="1916" w:type="dxa"/>
                  <w:vAlign w:val="center"/>
                </w:tcPr>
                <w:p w14:paraId="17DFB841">
                  <w:pPr>
                    <w:spacing w:line="360" w:lineRule="exact"/>
                    <w:jc w:val="center"/>
                    <w:rPr>
                      <w:color w:val="auto"/>
                      <w:sz w:val="21"/>
                      <w:szCs w:val="21"/>
                    </w:rPr>
                  </w:pPr>
                  <w:r>
                    <w:rPr>
                      <w:color w:val="auto"/>
                      <w:sz w:val="21"/>
                      <w:szCs w:val="21"/>
                    </w:rPr>
                    <w:t>厂区内拟建危废暂存间地面处</w:t>
                  </w:r>
                </w:p>
              </w:tc>
              <w:tc>
                <w:tcPr>
                  <w:tcW w:w="2869" w:type="dxa"/>
                  <w:vAlign w:val="center"/>
                </w:tcPr>
                <w:p w14:paraId="25EB0700">
                  <w:pPr>
                    <w:spacing w:line="360" w:lineRule="exact"/>
                    <w:jc w:val="center"/>
                    <w:rPr>
                      <w:color w:val="auto"/>
                      <w:sz w:val="21"/>
                      <w:szCs w:val="21"/>
                    </w:rPr>
                  </w:pPr>
                  <w:r>
                    <w:rPr>
                      <w:color w:val="auto"/>
                      <w:sz w:val="21"/>
                      <w:szCs w:val="21"/>
                    </w:rPr>
                    <w:t>表层样（0</w:t>
                  </w:r>
                  <w:r>
                    <w:rPr>
                      <w:rFonts w:hint="eastAsia"/>
                      <w:color w:val="auto"/>
                      <w:sz w:val="21"/>
                      <w:szCs w:val="21"/>
                    </w:rPr>
                    <w:t>-</w:t>
                  </w:r>
                  <w:r>
                    <w:rPr>
                      <w:color w:val="auto"/>
                      <w:sz w:val="21"/>
                      <w:szCs w:val="21"/>
                    </w:rPr>
                    <w:t>0.</w:t>
                  </w:r>
                  <w:r>
                    <w:rPr>
                      <w:rFonts w:hint="eastAsia"/>
                      <w:color w:val="auto"/>
                      <w:sz w:val="21"/>
                      <w:szCs w:val="21"/>
                    </w:rPr>
                    <w:t>2</w:t>
                  </w:r>
                  <w:r>
                    <w:rPr>
                      <w:color w:val="auto"/>
                      <w:sz w:val="21"/>
                      <w:szCs w:val="21"/>
                    </w:rPr>
                    <w:t>m）</w:t>
                  </w:r>
                </w:p>
              </w:tc>
              <w:tc>
                <w:tcPr>
                  <w:tcW w:w="1500" w:type="dxa"/>
                  <w:vAlign w:val="center"/>
                </w:tcPr>
                <w:p w14:paraId="640D868E">
                  <w:pPr>
                    <w:spacing w:line="360" w:lineRule="exact"/>
                    <w:jc w:val="center"/>
                    <w:rPr>
                      <w:color w:val="auto"/>
                      <w:sz w:val="21"/>
                      <w:szCs w:val="21"/>
                    </w:rPr>
                  </w:pPr>
                  <w:r>
                    <w:rPr>
                      <w:rFonts w:hint="eastAsia" w:eastAsia="Times New Roman"/>
                      <w:bCs/>
                      <w:color w:val="auto"/>
                      <w:sz w:val="21"/>
                      <w:szCs w:val="21"/>
                    </w:rPr>
                    <w:t>106</w:t>
                  </w:r>
                  <w:r>
                    <w:rPr>
                      <w:rFonts w:eastAsia="Times New Roman"/>
                      <w:bCs/>
                      <w:color w:val="auto"/>
                      <w:sz w:val="21"/>
                      <w:szCs w:val="21"/>
                    </w:rPr>
                    <w:t>°</w:t>
                  </w:r>
                  <w:r>
                    <w:rPr>
                      <w:rFonts w:hint="eastAsia" w:eastAsia="Times New Roman"/>
                      <w:bCs/>
                      <w:color w:val="auto"/>
                      <w:sz w:val="21"/>
                      <w:szCs w:val="21"/>
                    </w:rPr>
                    <w:t>46</w:t>
                  </w:r>
                  <w:r>
                    <w:rPr>
                      <w:rFonts w:eastAsia="Times New Roman"/>
                      <w:bCs/>
                      <w:color w:val="auto"/>
                      <w:sz w:val="21"/>
                      <w:szCs w:val="21"/>
                    </w:rPr>
                    <w:t>′</w:t>
                  </w:r>
                  <w:r>
                    <w:rPr>
                      <w:rFonts w:hint="eastAsia" w:eastAsia="Times New Roman"/>
                      <w:bCs/>
                      <w:color w:val="auto"/>
                      <w:sz w:val="21"/>
                      <w:szCs w:val="21"/>
                    </w:rPr>
                    <w:t>15.11</w:t>
                  </w:r>
                  <w:r>
                    <w:rPr>
                      <w:rFonts w:eastAsia="Times New Roman"/>
                      <w:bCs/>
                      <w:color w:val="auto"/>
                      <w:sz w:val="21"/>
                      <w:szCs w:val="21"/>
                    </w:rPr>
                    <w:t>″</w:t>
                  </w:r>
                </w:p>
              </w:tc>
              <w:tc>
                <w:tcPr>
                  <w:tcW w:w="1369" w:type="dxa"/>
                  <w:vAlign w:val="center"/>
                </w:tcPr>
                <w:p w14:paraId="703B7169">
                  <w:pPr>
                    <w:spacing w:line="360" w:lineRule="exact"/>
                    <w:jc w:val="center"/>
                    <w:rPr>
                      <w:color w:val="auto"/>
                      <w:sz w:val="21"/>
                      <w:szCs w:val="21"/>
                    </w:rPr>
                  </w:pPr>
                  <w:r>
                    <w:rPr>
                      <w:rFonts w:hint="eastAsia"/>
                      <w:color w:val="auto"/>
                      <w:sz w:val="21"/>
                      <w:szCs w:val="21"/>
                    </w:rPr>
                    <w:t>39</w:t>
                  </w:r>
                  <w:r>
                    <w:rPr>
                      <w:rFonts w:eastAsia="Times New Roman"/>
                      <w:bCs/>
                      <w:color w:val="auto"/>
                      <w:sz w:val="21"/>
                      <w:szCs w:val="21"/>
                    </w:rPr>
                    <w:t>°</w:t>
                  </w:r>
                  <w:r>
                    <w:rPr>
                      <w:rFonts w:hint="eastAsia"/>
                      <w:color w:val="auto"/>
                      <w:sz w:val="21"/>
                      <w:szCs w:val="21"/>
                    </w:rPr>
                    <w:t>53</w:t>
                  </w:r>
                  <w:r>
                    <w:rPr>
                      <w:color w:val="auto"/>
                      <w:sz w:val="21"/>
                      <w:szCs w:val="21"/>
                    </w:rPr>
                    <w:t>′</w:t>
                  </w:r>
                  <w:r>
                    <w:rPr>
                      <w:rFonts w:hint="eastAsia"/>
                      <w:color w:val="auto"/>
                      <w:sz w:val="21"/>
                      <w:szCs w:val="21"/>
                    </w:rPr>
                    <w:t>0.49</w:t>
                  </w:r>
                  <w:r>
                    <w:rPr>
                      <w:color w:val="auto"/>
                      <w:sz w:val="21"/>
                      <w:szCs w:val="21"/>
                    </w:rPr>
                    <w:t>″</w:t>
                  </w:r>
                </w:p>
              </w:tc>
            </w:tr>
          </w:tbl>
          <w:p w14:paraId="58BB5362">
            <w:pPr>
              <w:pStyle w:val="36"/>
              <w:spacing w:before="0" w:after="0" w:line="500" w:lineRule="exact"/>
              <w:ind w:right="0"/>
              <w:rPr>
                <w:b/>
                <w:bCs/>
                <w:color w:val="auto"/>
                <w:sz w:val="24"/>
                <w:szCs w:val="24"/>
              </w:rPr>
            </w:pPr>
            <w:r>
              <w:rPr>
                <w:rFonts w:hint="eastAsia"/>
                <w:b/>
                <w:bCs/>
                <w:color w:val="auto"/>
                <w:sz w:val="24"/>
                <w:szCs w:val="24"/>
              </w:rPr>
              <w:t>表3-</w:t>
            </w:r>
            <w:r>
              <w:rPr>
                <w:rFonts w:hint="eastAsia"/>
                <w:b/>
                <w:bCs/>
                <w:color w:val="auto"/>
                <w:sz w:val="24"/>
                <w:szCs w:val="24"/>
                <w:lang w:val="en-US" w:eastAsia="zh-CN"/>
              </w:rPr>
              <w:t>7</w:t>
            </w:r>
            <w:r>
              <w:rPr>
                <w:rFonts w:hint="eastAsia"/>
                <w:b/>
                <w:bCs/>
                <w:color w:val="auto"/>
                <w:sz w:val="24"/>
                <w:szCs w:val="24"/>
              </w:rPr>
              <w:t xml:space="preserve">  土壤环境质量现状监测结果表</w:t>
            </w:r>
          </w:p>
          <w:tbl>
            <w:tblPr>
              <w:tblStyle w:val="26"/>
              <w:tblW w:w="4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2"/>
              <w:gridCol w:w="1587"/>
              <w:gridCol w:w="1622"/>
              <w:gridCol w:w="1342"/>
              <w:gridCol w:w="1268"/>
            </w:tblGrid>
            <w:tr w14:paraId="66272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5B3BD9F7">
                  <w:pPr>
                    <w:pStyle w:val="36"/>
                    <w:spacing w:before="0" w:after="0" w:line="320" w:lineRule="exact"/>
                    <w:ind w:right="0"/>
                    <w:rPr>
                      <w:color w:val="auto"/>
                      <w:sz w:val="21"/>
                      <w:szCs w:val="21"/>
                    </w:rPr>
                  </w:pPr>
                  <w:r>
                    <w:rPr>
                      <w:rFonts w:hint="eastAsia"/>
                      <w:color w:val="auto"/>
                      <w:sz w:val="21"/>
                      <w:szCs w:val="21"/>
                    </w:rPr>
                    <w:t>监测项目</w:t>
                  </w:r>
                </w:p>
              </w:tc>
              <w:tc>
                <w:tcPr>
                  <w:tcW w:w="940" w:type="pct"/>
                  <w:vAlign w:val="center"/>
                </w:tcPr>
                <w:p w14:paraId="6867E83A">
                  <w:pPr>
                    <w:pStyle w:val="36"/>
                    <w:spacing w:before="0" w:after="0" w:line="320" w:lineRule="exact"/>
                    <w:ind w:right="0"/>
                    <w:rPr>
                      <w:color w:val="auto"/>
                      <w:sz w:val="21"/>
                      <w:szCs w:val="21"/>
                    </w:rPr>
                  </w:pPr>
                  <w:r>
                    <w:rPr>
                      <w:rFonts w:hint="eastAsia"/>
                      <w:color w:val="auto"/>
                      <w:sz w:val="21"/>
                      <w:szCs w:val="21"/>
                    </w:rPr>
                    <w:t>单位</w:t>
                  </w:r>
                </w:p>
              </w:tc>
              <w:tc>
                <w:tcPr>
                  <w:tcW w:w="961" w:type="pct"/>
                  <w:vAlign w:val="center"/>
                </w:tcPr>
                <w:p w14:paraId="23C0DAF1">
                  <w:pPr>
                    <w:pStyle w:val="36"/>
                    <w:spacing w:before="0" w:after="0" w:line="320" w:lineRule="exact"/>
                    <w:ind w:right="0"/>
                    <w:rPr>
                      <w:color w:val="auto"/>
                      <w:sz w:val="21"/>
                      <w:szCs w:val="21"/>
                    </w:rPr>
                  </w:pPr>
                  <w:r>
                    <w:rPr>
                      <w:rFonts w:hint="eastAsia"/>
                      <w:color w:val="auto"/>
                      <w:sz w:val="21"/>
                      <w:szCs w:val="21"/>
                    </w:rPr>
                    <w:t>监测结果</w:t>
                  </w:r>
                </w:p>
              </w:tc>
              <w:tc>
                <w:tcPr>
                  <w:tcW w:w="796" w:type="pct"/>
                  <w:vAlign w:val="center"/>
                </w:tcPr>
                <w:p w14:paraId="79157254">
                  <w:pPr>
                    <w:pStyle w:val="36"/>
                    <w:spacing w:before="0" w:after="0" w:line="320" w:lineRule="exact"/>
                    <w:ind w:right="0"/>
                    <w:rPr>
                      <w:color w:val="auto"/>
                      <w:sz w:val="21"/>
                      <w:szCs w:val="21"/>
                    </w:rPr>
                  </w:pPr>
                  <w:r>
                    <w:rPr>
                      <w:rFonts w:hint="eastAsia"/>
                      <w:color w:val="auto"/>
                      <w:sz w:val="21"/>
                      <w:szCs w:val="21"/>
                    </w:rPr>
                    <w:t>标准值</w:t>
                  </w:r>
                </w:p>
              </w:tc>
              <w:tc>
                <w:tcPr>
                  <w:tcW w:w="752" w:type="pct"/>
                  <w:vAlign w:val="center"/>
                </w:tcPr>
                <w:p w14:paraId="00F839D0">
                  <w:pPr>
                    <w:pStyle w:val="36"/>
                    <w:spacing w:before="0" w:after="0" w:line="320" w:lineRule="exact"/>
                    <w:ind w:right="0"/>
                    <w:rPr>
                      <w:color w:val="auto"/>
                      <w:sz w:val="21"/>
                      <w:szCs w:val="21"/>
                    </w:rPr>
                  </w:pPr>
                  <w:r>
                    <w:rPr>
                      <w:rFonts w:hint="eastAsia"/>
                      <w:color w:val="auto"/>
                      <w:sz w:val="21"/>
                      <w:szCs w:val="21"/>
                    </w:rPr>
                    <w:t>达标情况</w:t>
                  </w:r>
                </w:p>
              </w:tc>
            </w:tr>
            <w:tr w14:paraId="6399B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3593F511">
                  <w:pPr>
                    <w:pStyle w:val="62"/>
                    <w:autoSpaceDE/>
                    <w:autoSpaceDN/>
                    <w:snapToGrid w:val="0"/>
                    <w:spacing w:line="20" w:lineRule="atLeast"/>
                    <w:rPr>
                      <w:rFonts w:ascii="Times New Roman" w:hAnsi="Times New Roman" w:cs="Times New Roman"/>
                      <w:color w:val="auto"/>
                      <w:sz w:val="21"/>
                      <w:szCs w:val="21"/>
                      <w:lang w:eastAsia="zh-CN"/>
                    </w:rPr>
                  </w:pPr>
                  <w:r>
                    <w:rPr>
                      <w:rFonts w:ascii="Times New Roman" w:hAnsi="Times New Roman" w:cs="Times New Roman"/>
                      <w:snapToGrid w:val="0"/>
                      <w:color w:val="auto"/>
                      <w:sz w:val="21"/>
                      <w:szCs w:val="21"/>
                      <w:lang w:eastAsia="zh-CN"/>
                    </w:rPr>
                    <w:t>pH值</w:t>
                  </w:r>
                </w:p>
              </w:tc>
              <w:tc>
                <w:tcPr>
                  <w:tcW w:w="940" w:type="pct"/>
                  <w:vAlign w:val="center"/>
                </w:tcPr>
                <w:p w14:paraId="4DE71671">
                  <w:pPr>
                    <w:jc w:val="center"/>
                    <w:rPr>
                      <w:color w:val="auto"/>
                      <w:sz w:val="21"/>
                      <w:szCs w:val="21"/>
                    </w:rPr>
                  </w:pPr>
                  <w:r>
                    <w:rPr>
                      <w:rFonts w:hint="eastAsia"/>
                      <w:snapToGrid w:val="0"/>
                      <w:color w:val="auto"/>
                      <w:kern w:val="0"/>
                      <w:sz w:val="21"/>
                      <w:szCs w:val="21"/>
                    </w:rPr>
                    <w:t>无量纲</w:t>
                  </w:r>
                </w:p>
              </w:tc>
              <w:tc>
                <w:tcPr>
                  <w:tcW w:w="961" w:type="pct"/>
                  <w:vAlign w:val="center"/>
                </w:tcPr>
                <w:p w14:paraId="07DF0BD8">
                  <w:pPr>
                    <w:jc w:val="center"/>
                    <w:rPr>
                      <w:color w:val="auto"/>
                      <w:sz w:val="21"/>
                      <w:szCs w:val="21"/>
                    </w:rPr>
                  </w:pPr>
                  <w:r>
                    <w:rPr>
                      <w:rFonts w:hint="eastAsia"/>
                      <w:bCs/>
                      <w:color w:val="auto"/>
                      <w:sz w:val="21"/>
                      <w:szCs w:val="21"/>
                    </w:rPr>
                    <w:t>8.36</w:t>
                  </w:r>
                </w:p>
              </w:tc>
              <w:tc>
                <w:tcPr>
                  <w:tcW w:w="796" w:type="pct"/>
                  <w:vAlign w:val="center"/>
                </w:tcPr>
                <w:p w14:paraId="113C6366">
                  <w:pPr>
                    <w:jc w:val="center"/>
                    <w:rPr>
                      <w:color w:val="auto"/>
                      <w:sz w:val="21"/>
                      <w:szCs w:val="21"/>
                    </w:rPr>
                  </w:pPr>
                  <w:r>
                    <w:rPr>
                      <w:rFonts w:hint="eastAsia" w:ascii="宋体" w:hAnsi="宋体" w:cs="宋体"/>
                      <w:snapToGrid w:val="0"/>
                      <w:color w:val="auto"/>
                      <w:kern w:val="0"/>
                      <w:sz w:val="21"/>
                      <w:szCs w:val="21"/>
                    </w:rPr>
                    <w:t>-</w:t>
                  </w:r>
                </w:p>
              </w:tc>
              <w:tc>
                <w:tcPr>
                  <w:tcW w:w="752" w:type="pct"/>
                  <w:vAlign w:val="center"/>
                </w:tcPr>
                <w:p w14:paraId="6F34C9B7">
                  <w:pPr>
                    <w:pStyle w:val="36"/>
                    <w:spacing w:before="0" w:after="0" w:line="320" w:lineRule="exact"/>
                    <w:ind w:right="0"/>
                    <w:rPr>
                      <w:color w:val="auto"/>
                      <w:sz w:val="21"/>
                      <w:szCs w:val="21"/>
                    </w:rPr>
                  </w:pPr>
                  <w:r>
                    <w:rPr>
                      <w:rFonts w:hint="eastAsia"/>
                      <w:color w:val="auto"/>
                      <w:sz w:val="21"/>
                      <w:szCs w:val="21"/>
                    </w:rPr>
                    <w:t>/</w:t>
                  </w:r>
                </w:p>
              </w:tc>
            </w:tr>
            <w:tr w14:paraId="6A773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5D8EF3AD">
                  <w:pPr>
                    <w:snapToGrid w:val="0"/>
                    <w:spacing w:line="20" w:lineRule="atLeast"/>
                    <w:jc w:val="center"/>
                    <w:rPr>
                      <w:color w:val="auto"/>
                      <w:sz w:val="21"/>
                      <w:szCs w:val="21"/>
                    </w:rPr>
                  </w:pPr>
                  <w:r>
                    <w:rPr>
                      <w:snapToGrid w:val="0"/>
                      <w:color w:val="auto"/>
                      <w:sz w:val="21"/>
                      <w:szCs w:val="21"/>
                    </w:rPr>
                    <w:t>镉</w:t>
                  </w:r>
                </w:p>
              </w:tc>
              <w:tc>
                <w:tcPr>
                  <w:tcW w:w="940" w:type="pct"/>
                  <w:vAlign w:val="center"/>
                </w:tcPr>
                <w:p w14:paraId="46C59CFD">
                  <w:pPr>
                    <w:jc w:val="center"/>
                    <w:rPr>
                      <w:color w:val="auto"/>
                      <w:sz w:val="21"/>
                      <w:szCs w:val="21"/>
                    </w:rPr>
                  </w:pPr>
                  <w:r>
                    <w:rPr>
                      <w:rFonts w:hint="eastAsia"/>
                      <w:snapToGrid w:val="0"/>
                      <w:color w:val="auto"/>
                      <w:kern w:val="0"/>
                      <w:sz w:val="21"/>
                      <w:szCs w:val="21"/>
                    </w:rPr>
                    <w:t>mg/kg</w:t>
                  </w:r>
                </w:p>
              </w:tc>
              <w:tc>
                <w:tcPr>
                  <w:tcW w:w="961" w:type="pct"/>
                  <w:vAlign w:val="center"/>
                </w:tcPr>
                <w:p w14:paraId="766A8893">
                  <w:pPr>
                    <w:jc w:val="center"/>
                    <w:rPr>
                      <w:color w:val="auto"/>
                      <w:sz w:val="21"/>
                      <w:szCs w:val="21"/>
                    </w:rPr>
                  </w:pPr>
                  <w:r>
                    <w:rPr>
                      <w:rFonts w:hint="eastAsia"/>
                      <w:bCs/>
                      <w:color w:val="auto"/>
                      <w:sz w:val="21"/>
                      <w:szCs w:val="21"/>
                    </w:rPr>
                    <w:t>0.22</w:t>
                  </w:r>
                </w:p>
              </w:tc>
              <w:tc>
                <w:tcPr>
                  <w:tcW w:w="796" w:type="pct"/>
                  <w:vAlign w:val="center"/>
                </w:tcPr>
                <w:p w14:paraId="3CCF17EE">
                  <w:pPr>
                    <w:jc w:val="center"/>
                    <w:rPr>
                      <w:color w:val="auto"/>
                      <w:sz w:val="21"/>
                      <w:szCs w:val="21"/>
                    </w:rPr>
                  </w:pPr>
                  <w:r>
                    <w:rPr>
                      <w:rFonts w:hint="eastAsia"/>
                      <w:snapToGrid w:val="0"/>
                      <w:color w:val="auto"/>
                      <w:kern w:val="0"/>
                      <w:sz w:val="21"/>
                      <w:szCs w:val="21"/>
                    </w:rPr>
                    <w:t>65</w:t>
                  </w:r>
                </w:p>
              </w:tc>
              <w:tc>
                <w:tcPr>
                  <w:tcW w:w="752" w:type="pct"/>
                  <w:vAlign w:val="center"/>
                </w:tcPr>
                <w:p w14:paraId="0FAA547F">
                  <w:pPr>
                    <w:widowControl/>
                    <w:snapToGrid w:val="0"/>
                    <w:spacing w:line="320" w:lineRule="exact"/>
                    <w:jc w:val="center"/>
                    <w:rPr>
                      <w:color w:val="auto"/>
                      <w:sz w:val="21"/>
                      <w:szCs w:val="21"/>
                    </w:rPr>
                  </w:pPr>
                  <w:r>
                    <w:rPr>
                      <w:rFonts w:hint="eastAsia"/>
                      <w:color w:val="auto"/>
                      <w:sz w:val="21"/>
                      <w:szCs w:val="21"/>
                    </w:rPr>
                    <w:t>达标</w:t>
                  </w:r>
                </w:p>
              </w:tc>
            </w:tr>
            <w:tr w14:paraId="70BC9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1C59545D">
                  <w:pPr>
                    <w:snapToGrid w:val="0"/>
                    <w:spacing w:line="20" w:lineRule="atLeast"/>
                    <w:jc w:val="center"/>
                    <w:rPr>
                      <w:color w:val="auto"/>
                      <w:sz w:val="21"/>
                      <w:szCs w:val="21"/>
                    </w:rPr>
                  </w:pPr>
                  <w:r>
                    <w:rPr>
                      <w:snapToGrid w:val="0"/>
                      <w:color w:val="auto"/>
                      <w:sz w:val="21"/>
                      <w:szCs w:val="21"/>
                    </w:rPr>
                    <w:t>总汞</w:t>
                  </w:r>
                </w:p>
              </w:tc>
              <w:tc>
                <w:tcPr>
                  <w:tcW w:w="940" w:type="pct"/>
                  <w:vAlign w:val="center"/>
                </w:tcPr>
                <w:p w14:paraId="7AFAFEB5">
                  <w:pPr>
                    <w:jc w:val="center"/>
                    <w:rPr>
                      <w:color w:val="auto"/>
                      <w:sz w:val="21"/>
                      <w:szCs w:val="21"/>
                    </w:rPr>
                  </w:pPr>
                  <w:r>
                    <w:rPr>
                      <w:rFonts w:hint="eastAsia"/>
                      <w:snapToGrid w:val="0"/>
                      <w:color w:val="auto"/>
                      <w:kern w:val="0"/>
                      <w:sz w:val="21"/>
                      <w:szCs w:val="21"/>
                    </w:rPr>
                    <w:t>mg/kg</w:t>
                  </w:r>
                </w:p>
              </w:tc>
              <w:tc>
                <w:tcPr>
                  <w:tcW w:w="961" w:type="pct"/>
                  <w:vAlign w:val="center"/>
                </w:tcPr>
                <w:p w14:paraId="2E489A9B">
                  <w:pPr>
                    <w:jc w:val="center"/>
                    <w:rPr>
                      <w:color w:val="auto"/>
                      <w:sz w:val="21"/>
                      <w:szCs w:val="21"/>
                    </w:rPr>
                  </w:pPr>
                  <w:r>
                    <w:rPr>
                      <w:rFonts w:hint="eastAsia"/>
                      <w:bCs/>
                      <w:color w:val="auto"/>
                      <w:sz w:val="21"/>
                      <w:szCs w:val="21"/>
                    </w:rPr>
                    <w:t>0.0419</w:t>
                  </w:r>
                </w:p>
              </w:tc>
              <w:tc>
                <w:tcPr>
                  <w:tcW w:w="796" w:type="pct"/>
                  <w:vAlign w:val="center"/>
                </w:tcPr>
                <w:p w14:paraId="176CA9F6">
                  <w:pPr>
                    <w:jc w:val="center"/>
                    <w:rPr>
                      <w:color w:val="auto"/>
                      <w:sz w:val="21"/>
                      <w:szCs w:val="21"/>
                    </w:rPr>
                  </w:pPr>
                  <w:r>
                    <w:rPr>
                      <w:rFonts w:hint="eastAsia"/>
                      <w:snapToGrid w:val="0"/>
                      <w:color w:val="auto"/>
                      <w:kern w:val="0"/>
                      <w:sz w:val="21"/>
                      <w:szCs w:val="21"/>
                    </w:rPr>
                    <w:t>38</w:t>
                  </w:r>
                </w:p>
              </w:tc>
              <w:tc>
                <w:tcPr>
                  <w:tcW w:w="752" w:type="pct"/>
                  <w:vAlign w:val="center"/>
                </w:tcPr>
                <w:p w14:paraId="5A066F7F">
                  <w:pPr>
                    <w:widowControl/>
                    <w:snapToGrid w:val="0"/>
                    <w:spacing w:line="320" w:lineRule="exact"/>
                    <w:jc w:val="center"/>
                    <w:rPr>
                      <w:color w:val="auto"/>
                      <w:sz w:val="21"/>
                      <w:szCs w:val="21"/>
                    </w:rPr>
                  </w:pPr>
                  <w:r>
                    <w:rPr>
                      <w:rFonts w:hint="eastAsia"/>
                      <w:color w:val="auto"/>
                      <w:sz w:val="21"/>
                      <w:szCs w:val="21"/>
                    </w:rPr>
                    <w:t>达标</w:t>
                  </w:r>
                </w:p>
              </w:tc>
            </w:tr>
            <w:tr w14:paraId="7980A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1D129A64">
                  <w:pPr>
                    <w:snapToGrid w:val="0"/>
                    <w:spacing w:line="20" w:lineRule="atLeast"/>
                    <w:jc w:val="center"/>
                    <w:rPr>
                      <w:color w:val="auto"/>
                      <w:sz w:val="21"/>
                      <w:szCs w:val="21"/>
                    </w:rPr>
                  </w:pPr>
                  <w:r>
                    <w:rPr>
                      <w:snapToGrid w:val="0"/>
                      <w:color w:val="auto"/>
                      <w:sz w:val="21"/>
                      <w:szCs w:val="21"/>
                    </w:rPr>
                    <w:t>总砷</w:t>
                  </w:r>
                </w:p>
              </w:tc>
              <w:tc>
                <w:tcPr>
                  <w:tcW w:w="940" w:type="pct"/>
                  <w:vAlign w:val="center"/>
                </w:tcPr>
                <w:p w14:paraId="1EE887AB">
                  <w:pPr>
                    <w:jc w:val="center"/>
                    <w:rPr>
                      <w:color w:val="auto"/>
                      <w:sz w:val="21"/>
                      <w:szCs w:val="21"/>
                    </w:rPr>
                  </w:pPr>
                  <w:r>
                    <w:rPr>
                      <w:rFonts w:hint="eastAsia"/>
                      <w:snapToGrid w:val="0"/>
                      <w:color w:val="auto"/>
                      <w:kern w:val="0"/>
                      <w:sz w:val="21"/>
                      <w:szCs w:val="21"/>
                    </w:rPr>
                    <w:t>mg/kg</w:t>
                  </w:r>
                </w:p>
              </w:tc>
              <w:tc>
                <w:tcPr>
                  <w:tcW w:w="961" w:type="pct"/>
                  <w:vAlign w:val="center"/>
                </w:tcPr>
                <w:p w14:paraId="0F2F8807">
                  <w:pPr>
                    <w:jc w:val="center"/>
                    <w:rPr>
                      <w:color w:val="auto"/>
                      <w:sz w:val="21"/>
                      <w:szCs w:val="21"/>
                    </w:rPr>
                  </w:pPr>
                  <w:r>
                    <w:rPr>
                      <w:rFonts w:hint="eastAsia"/>
                      <w:bCs/>
                      <w:color w:val="auto"/>
                      <w:sz w:val="21"/>
                      <w:szCs w:val="21"/>
                    </w:rPr>
                    <w:t>4.19</w:t>
                  </w:r>
                </w:p>
              </w:tc>
              <w:tc>
                <w:tcPr>
                  <w:tcW w:w="796" w:type="pct"/>
                  <w:vAlign w:val="center"/>
                </w:tcPr>
                <w:p w14:paraId="620A260D">
                  <w:pPr>
                    <w:jc w:val="center"/>
                    <w:rPr>
                      <w:color w:val="auto"/>
                      <w:sz w:val="21"/>
                      <w:szCs w:val="21"/>
                    </w:rPr>
                  </w:pPr>
                  <w:r>
                    <w:rPr>
                      <w:rFonts w:hint="eastAsia"/>
                      <w:snapToGrid w:val="0"/>
                      <w:color w:val="auto"/>
                      <w:kern w:val="0"/>
                      <w:sz w:val="21"/>
                      <w:szCs w:val="21"/>
                    </w:rPr>
                    <w:t>60</w:t>
                  </w:r>
                </w:p>
              </w:tc>
              <w:tc>
                <w:tcPr>
                  <w:tcW w:w="752" w:type="pct"/>
                  <w:vAlign w:val="center"/>
                </w:tcPr>
                <w:p w14:paraId="41DB3BC5">
                  <w:pPr>
                    <w:widowControl/>
                    <w:snapToGrid w:val="0"/>
                    <w:spacing w:line="320" w:lineRule="exact"/>
                    <w:jc w:val="center"/>
                    <w:rPr>
                      <w:color w:val="auto"/>
                      <w:sz w:val="21"/>
                      <w:szCs w:val="21"/>
                    </w:rPr>
                  </w:pPr>
                  <w:r>
                    <w:rPr>
                      <w:rFonts w:hint="eastAsia"/>
                      <w:color w:val="auto"/>
                      <w:sz w:val="21"/>
                      <w:szCs w:val="21"/>
                    </w:rPr>
                    <w:t>达标</w:t>
                  </w:r>
                </w:p>
              </w:tc>
            </w:tr>
            <w:tr w14:paraId="6D16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7AB4F9A5">
                  <w:pPr>
                    <w:pStyle w:val="62"/>
                    <w:autoSpaceDE/>
                    <w:autoSpaceDN/>
                    <w:snapToGrid w:val="0"/>
                    <w:spacing w:line="20" w:lineRule="atLeast"/>
                    <w:rPr>
                      <w:rFonts w:ascii="Times New Roman" w:hAnsi="Times New Roman" w:cs="Times New Roman"/>
                      <w:color w:val="auto"/>
                      <w:sz w:val="21"/>
                      <w:szCs w:val="21"/>
                      <w:lang w:eastAsia="zh-CN"/>
                    </w:rPr>
                  </w:pPr>
                  <w:r>
                    <w:rPr>
                      <w:rFonts w:ascii="Times New Roman" w:hAnsi="Times New Roman" w:cs="Times New Roman"/>
                      <w:snapToGrid w:val="0"/>
                      <w:color w:val="auto"/>
                      <w:sz w:val="21"/>
                      <w:szCs w:val="21"/>
                      <w:lang w:eastAsia="zh-CN"/>
                    </w:rPr>
                    <w:t>铜</w:t>
                  </w:r>
                </w:p>
              </w:tc>
              <w:tc>
                <w:tcPr>
                  <w:tcW w:w="940" w:type="pct"/>
                  <w:vAlign w:val="center"/>
                </w:tcPr>
                <w:p w14:paraId="1E919D33">
                  <w:pPr>
                    <w:jc w:val="center"/>
                    <w:rPr>
                      <w:color w:val="auto"/>
                      <w:sz w:val="21"/>
                      <w:szCs w:val="21"/>
                    </w:rPr>
                  </w:pPr>
                  <w:r>
                    <w:rPr>
                      <w:rFonts w:hint="eastAsia"/>
                      <w:snapToGrid w:val="0"/>
                      <w:color w:val="auto"/>
                      <w:kern w:val="0"/>
                      <w:sz w:val="21"/>
                      <w:szCs w:val="21"/>
                    </w:rPr>
                    <w:t>mg/kg</w:t>
                  </w:r>
                </w:p>
              </w:tc>
              <w:tc>
                <w:tcPr>
                  <w:tcW w:w="961" w:type="pct"/>
                  <w:vAlign w:val="center"/>
                </w:tcPr>
                <w:p w14:paraId="58AE4518">
                  <w:pPr>
                    <w:jc w:val="center"/>
                    <w:rPr>
                      <w:color w:val="auto"/>
                      <w:sz w:val="21"/>
                      <w:szCs w:val="21"/>
                    </w:rPr>
                  </w:pPr>
                  <w:r>
                    <w:rPr>
                      <w:rFonts w:hint="eastAsia"/>
                      <w:bCs/>
                      <w:color w:val="auto"/>
                      <w:sz w:val="21"/>
                      <w:szCs w:val="21"/>
                    </w:rPr>
                    <w:t>54</w:t>
                  </w:r>
                </w:p>
              </w:tc>
              <w:tc>
                <w:tcPr>
                  <w:tcW w:w="796" w:type="pct"/>
                  <w:vAlign w:val="center"/>
                </w:tcPr>
                <w:p w14:paraId="5FB95543">
                  <w:pPr>
                    <w:jc w:val="center"/>
                    <w:rPr>
                      <w:color w:val="auto"/>
                      <w:sz w:val="21"/>
                      <w:szCs w:val="21"/>
                    </w:rPr>
                  </w:pPr>
                  <w:r>
                    <w:rPr>
                      <w:rFonts w:hint="eastAsia"/>
                      <w:snapToGrid w:val="0"/>
                      <w:color w:val="auto"/>
                      <w:kern w:val="0"/>
                      <w:sz w:val="21"/>
                      <w:szCs w:val="21"/>
                    </w:rPr>
                    <w:t>18000</w:t>
                  </w:r>
                </w:p>
              </w:tc>
              <w:tc>
                <w:tcPr>
                  <w:tcW w:w="752" w:type="pct"/>
                  <w:vAlign w:val="center"/>
                </w:tcPr>
                <w:p w14:paraId="5F068A9B">
                  <w:pPr>
                    <w:widowControl/>
                    <w:snapToGrid w:val="0"/>
                    <w:spacing w:line="320" w:lineRule="exact"/>
                    <w:jc w:val="center"/>
                    <w:rPr>
                      <w:color w:val="auto"/>
                      <w:sz w:val="21"/>
                      <w:szCs w:val="21"/>
                    </w:rPr>
                  </w:pPr>
                  <w:r>
                    <w:rPr>
                      <w:rFonts w:hint="eastAsia"/>
                      <w:color w:val="auto"/>
                      <w:sz w:val="21"/>
                      <w:szCs w:val="21"/>
                    </w:rPr>
                    <w:t>达标</w:t>
                  </w:r>
                </w:p>
              </w:tc>
            </w:tr>
            <w:tr w14:paraId="0EA1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797BB29B">
                  <w:pPr>
                    <w:snapToGrid w:val="0"/>
                    <w:spacing w:line="20" w:lineRule="atLeast"/>
                    <w:jc w:val="center"/>
                    <w:rPr>
                      <w:color w:val="auto"/>
                      <w:sz w:val="21"/>
                      <w:szCs w:val="21"/>
                    </w:rPr>
                  </w:pPr>
                  <w:r>
                    <w:rPr>
                      <w:snapToGrid w:val="0"/>
                      <w:color w:val="auto"/>
                      <w:sz w:val="21"/>
                      <w:szCs w:val="21"/>
                    </w:rPr>
                    <w:t>铅</w:t>
                  </w:r>
                </w:p>
              </w:tc>
              <w:tc>
                <w:tcPr>
                  <w:tcW w:w="940" w:type="pct"/>
                  <w:vAlign w:val="center"/>
                </w:tcPr>
                <w:p w14:paraId="0CECAC56">
                  <w:pPr>
                    <w:jc w:val="center"/>
                    <w:rPr>
                      <w:color w:val="auto"/>
                      <w:sz w:val="21"/>
                      <w:szCs w:val="21"/>
                    </w:rPr>
                  </w:pPr>
                  <w:r>
                    <w:rPr>
                      <w:rFonts w:hint="eastAsia"/>
                      <w:snapToGrid w:val="0"/>
                      <w:color w:val="auto"/>
                      <w:kern w:val="0"/>
                      <w:sz w:val="21"/>
                      <w:szCs w:val="21"/>
                    </w:rPr>
                    <w:t>mg/kg</w:t>
                  </w:r>
                </w:p>
              </w:tc>
              <w:tc>
                <w:tcPr>
                  <w:tcW w:w="961" w:type="pct"/>
                  <w:vAlign w:val="center"/>
                </w:tcPr>
                <w:p w14:paraId="6D9F1460">
                  <w:pPr>
                    <w:jc w:val="center"/>
                    <w:rPr>
                      <w:color w:val="auto"/>
                      <w:sz w:val="21"/>
                      <w:szCs w:val="21"/>
                    </w:rPr>
                  </w:pPr>
                  <w:r>
                    <w:rPr>
                      <w:rFonts w:hint="eastAsia"/>
                      <w:bCs/>
                      <w:color w:val="auto"/>
                      <w:sz w:val="21"/>
                      <w:szCs w:val="21"/>
                    </w:rPr>
                    <w:t>30</w:t>
                  </w:r>
                </w:p>
              </w:tc>
              <w:tc>
                <w:tcPr>
                  <w:tcW w:w="796" w:type="pct"/>
                  <w:vAlign w:val="center"/>
                </w:tcPr>
                <w:p w14:paraId="1E367F05">
                  <w:pPr>
                    <w:jc w:val="center"/>
                    <w:rPr>
                      <w:color w:val="auto"/>
                      <w:sz w:val="21"/>
                      <w:szCs w:val="21"/>
                    </w:rPr>
                  </w:pPr>
                  <w:r>
                    <w:rPr>
                      <w:rFonts w:hint="eastAsia"/>
                      <w:snapToGrid w:val="0"/>
                      <w:color w:val="auto"/>
                      <w:kern w:val="0"/>
                      <w:sz w:val="21"/>
                      <w:szCs w:val="21"/>
                    </w:rPr>
                    <w:t>800</w:t>
                  </w:r>
                </w:p>
              </w:tc>
              <w:tc>
                <w:tcPr>
                  <w:tcW w:w="752" w:type="pct"/>
                  <w:vAlign w:val="center"/>
                </w:tcPr>
                <w:p w14:paraId="71C23DB2">
                  <w:pPr>
                    <w:widowControl/>
                    <w:snapToGrid w:val="0"/>
                    <w:spacing w:line="320" w:lineRule="exact"/>
                    <w:jc w:val="center"/>
                    <w:rPr>
                      <w:color w:val="auto"/>
                      <w:sz w:val="21"/>
                      <w:szCs w:val="21"/>
                    </w:rPr>
                  </w:pPr>
                  <w:r>
                    <w:rPr>
                      <w:rFonts w:hint="eastAsia"/>
                      <w:color w:val="auto"/>
                      <w:sz w:val="21"/>
                      <w:szCs w:val="21"/>
                    </w:rPr>
                    <w:t>达标</w:t>
                  </w:r>
                </w:p>
              </w:tc>
            </w:tr>
            <w:tr w14:paraId="3715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1D6F8B13">
                  <w:pPr>
                    <w:snapToGrid w:val="0"/>
                    <w:spacing w:line="20" w:lineRule="atLeast"/>
                    <w:jc w:val="center"/>
                    <w:rPr>
                      <w:color w:val="auto"/>
                      <w:sz w:val="21"/>
                      <w:szCs w:val="21"/>
                    </w:rPr>
                  </w:pPr>
                  <w:r>
                    <w:rPr>
                      <w:snapToGrid w:val="0"/>
                      <w:color w:val="auto"/>
                      <w:sz w:val="21"/>
                      <w:szCs w:val="21"/>
                    </w:rPr>
                    <w:t>镍</w:t>
                  </w:r>
                </w:p>
              </w:tc>
              <w:tc>
                <w:tcPr>
                  <w:tcW w:w="940" w:type="pct"/>
                  <w:vAlign w:val="center"/>
                </w:tcPr>
                <w:p w14:paraId="496862C1">
                  <w:pPr>
                    <w:jc w:val="center"/>
                    <w:rPr>
                      <w:color w:val="auto"/>
                      <w:sz w:val="21"/>
                      <w:szCs w:val="21"/>
                    </w:rPr>
                  </w:pPr>
                  <w:r>
                    <w:rPr>
                      <w:rFonts w:hint="eastAsia"/>
                      <w:snapToGrid w:val="0"/>
                      <w:color w:val="auto"/>
                      <w:kern w:val="0"/>
                      <w:sz w:val="21"/>
                      <w:szCs w:val="21"/>
                    </w:rPr>
                    <w:t>mg/kg</w:t>
                  </w:r>
                </w:p>
              </w:tc>
              <w:tc>
                <w:tcPr>
                  <w:tcW w:w="961" w:type="pct"/>
                  <w:vAlign w:val="center"/>
                </w:tcPr>
                <w:p w14:paraId="30143213">
                  <w:pPr>
                    <w:jc w:val="center"/>
                    <w:rPr>
                      <w:color w:val="auto"/>
                      <w:sz w:val="21"/>
                      <w:szCs w:val="21"/>
                    </w:rPr>
                  </w:pPr>
                  <w:r>
                    <w:rPr>
                      <w:rFonts w:hint="eastAsia"/>
                      <w:bCs/>
                      <w:color w:val="auto"/>
                      <w:sz w:val="21"/>
                      <w:szCs w:val="21"/>
                    </w:rPr>
                    <w:t>22</w:t>
                  </w:r>
                </w:p>
              </w:tc>
              <w:tc>
                <w:tcPr>
                  <w:tcW w:w="796" w:type="pct"/>
                  <w:vAlign w:val="center"/>
                </w:tcPr>
                <w:p w14:paraId="1BCF10B9">
                  <w:pPr>
                    <w:jc w:val="center"/>
                    <w:rPr>
                      <w:color w:val="auto"/>
                      <w:sz w:val="21"/>
                      <w:szCs w:val="21"/>
                    </w:rPr>
                  </w:pPr>
                  <w:r>
                    <w:rPr>
                      <w:rFonts w:hint="eastAsia"/>
                      <w:snapToGrid w:val="0"/>
                      <w:color w:val="auto"/>
                      <w:kern w:val="0"/>
                      <w:sz w:val="21"/>
                      <w:szCs w:val="21"/>
                    </w:rPr>
                    <w:t>900</w:t>
                  </w:r>
                </w:p>
              </w:tc>
              <w:tc>
                <w:tcPr>
                  <w:tcW w:w="752" w:type="pct"/>
                  <w:vAlign w:val="center"/>
                </w:tcPr>
                <w:p w14:paraId="4F16DA0D">
                  <w:pPr>
                    <w:widowControl/>
                    <w:snapToGrid w:val="0"/>
                    <w:spacing w:line="320" w:lineRule="exact"/>
                    <w:jc w:val="center"/>
                    <w:rPr>
                      <w:color w:val="auto"/>
                      <w:sz w:val="21"/>
                      <w:szCs w:val="21"/>
                    </w:rPr>
                  </w:pPr>
                  <w:r>
                    <w:rPr>
                      <w:rFonts w:hint="eastAsia"/>
                      <w:color w:val="auto"/>
                      <w:sz w:val="21"/>
                      <w:szCs w:val="21"/>
                    </w:rPr>
                    <w:t>达标</w:t>
                  </w:r>
                </w:p>
              </w:tc>
            </w:tr>
            <w:tr w14:paraId="30C9C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62B2C997">
                  <w:pPr>
                    <w:widowControl/>
                    <w:snapToGrid w:val="0"/>
                    <w:spacing w:line="20" w:lineRule="atLeast"/>
                    <w:jc w:val="center"/>
                    <w:textAlignment w:val="center"/>
                    <w:rPr>
                      <w:color w:val="auto"/>
                      <w:sz w:val="21"/>
                      <w:szCs w:val="21"/>
                    </w:rPr>
                  </w:pPr>
                  <w:r>
                    <w:rPr>
                      <w:rFonts w:eastAsiaTheme="minorEastAsia"/>
                      <w:color w:val="auto"/>
                      <w:kern w:val="0"/>
                      <w:sz w:val="21"/>
                      <w:szCs w:val="21"/>
                      <w:lang w:bidi="ar"/>
                    </w:rPr>
                    <w:t>六价铬</w:t>
                  </w:r>
                </w:p>
              </w:tc>
              <w:tc>
                <w:tcPr>
                  <w:tcW w:w="940" w:type="pct"/>
                  <w:vAlign w:val="center"/>
                </w:tcPr>
                <w:p w14:paraId="1FE25FF9">
                  <w:pPr>
                    <w:jc w:val="center"/>
                    <w:rPr>
                      <w:color w:val="auto"/>
                      <w:sz w:val="21"/>
                      <w:szCs w:val="21"/>
                    </w:rPr>
                  </w:pPr>
                  <w:r>
                    <w:rPr>
                      <w:rFonts w:hint="eastAsia"/>
                      <w:snapToGrid w:val="0"/>
                      <w:color w:val="auto"/>
                      <w:kern w:val="0"/>
                      <w:sz w:val="21"/>
                      <w:szCs w:val="21"/>
                    </w:rPr>
                    <w:t>mg/kg</w:t>
                  </w:r>
                </w:p>
              </w:tc>
              <w:tc>
                <w:tcPr>
                  <w:tcW w:w="961" w:type="pct"/>
                  <w:vAlign w:val="center"/>
                </w:tcPr>
                <w:p w14:paraId="7D53FE76">
                  <w:pPr>
                    <w:jc w:val="center"/>
                    <w:rPr>
                      <w:color w:val="auto"/>
                      <w:sz w:val="21"/>
                      <w:szCs w:val="21"/>
                    </w:rPr>
                  </w:pPr>
                  <w:r>
                    <w:rPr>
                      <w:rFonts w:hint="eastAsia"/>
                      <w:bCs/>
                      <w:color w:val="auto"/>
                      <w:sz w:val="21"/>
                      <w:szCs w:val="21"/>
                    </w:rPr>
                    <w:t>0.5L</w:t>
                  </w:r>
                </w:p>
              </w:tc>
              <w:tc>
                <w:tcPr>
                  <w:tcW w:w="796" w:type="pct"/>
                  <w:vAlign w:val="center"/>
                </w:tcPr>
                <w:p w14:paraId="372E19AD">
                  <w:pPr>
                    <w:jc w:val="center"/>
                    <w:rPr>
                      <w:color w:val="auto"/>
                      <w:sz w:val="21"/>
                      <w:szCs w:val="21"/>
                    </w:rPr>
                  </w:pPr>
                  <w:r>
                    <w:rPr>
                      <w:rFonts w:hint="eastAsia"/>
                      <w:snapToGrid w:val="0"/>
                      <w:color w:val="auto"/>
                      <w:kern w:val="0"/>
                      <w:sz w:val="21"/>
                      <w:szCs w:val="21"/>
                    </w:rPr>
                    <w:t>5.7</w:t>
                  </w:r>
                </w:p>
              </w:tc>
              <w:tc>
                <w:tcPr>
                  <w:tcW w:w="752" w:type="pct"/>
                  <w:vAlign w:val="center"/>
                </w:tcPr>
                <w:p w14:paraId="33DFB10E">
                  <w:pPr>
                    <w:widowControl/>
                    <w:snapToGrid w:val="0"/>
                    <w:spacing w:line="320" w:lineRule="exact"/>
                    <w:jc w:val="center"/>
                    <w:rPr>
                      <w:color w:val="auto"/>
                      <w:sz w:val="21"/>
                      <w:szCs w:val="21"/>
                    </w:rPr>
                  </w:pPr>
                  <w:r>
                    <w:rPr>
                      <w:rFonts w:hint="eastAsia"/>
                      <w:color w:val="auto"/>
                      <w:sz w:val="21"/>
                      <w:szCs w:val="21"/>
                    </w:rPr>
                    <w:t>达标</w:t>
                  </w:r>
                </w:p>
              </w:tc>
            </w:tr>
            <w:tr w14:paraId="74D8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28AA5155">
                  <w:pPr>
                    <w:jc w:val="center"/>
                    <w:rPr>
                      <w:color w:val="auto"/>
                      <w:sz w:val="21"/>
                      <w:szCs w:val="21"/>
                    </w:rPr>
                  </w:pPr>
                  <w:r>
                    <w:rPr>
                      <w:color w:val="auto"/>
                      <w:sz w:val="21"/>
                      <w:szCs w:val="21"/>
                    </w:rPr>
                    <w:t>*氯乙烯</w:t>
                  </w:r>
                </w:p>
              </w:tc>
              <w:tc>
                <w:tcPr>
                  <w:tcW w:w="940" w:type="pct"/>
                  <w:vAlign w:val="center"/>
                </w:tcPr>
                <w:p w14:paraId="43629A28">
                  <w:pPr>
                    <w:jc w:val="center"/>
                    <w:rPr>
                      <w:color w:val="auto"/>
                      <w:sz w:val="21"/>
                      <w:szCs w:val="21"/>
                    </w:rPr>
                  </w:pPr>
                  <w:r>
                    <w:rPr>
                      <w:color w:val="auto"/>
                      <w:sz w:val="21"/>
                      <w:szCs w:val="21"/>
                    </w:rPr>
                    <w:t>μg/kg</w:t>
                  </w:r>
                </w:p>
              </w:tc>
              <w:tc>
                <w:tcPr>
                  <w:tcW w:w="961" w:type="pct"/>
                  <w:vAlign w:val="center"/>
                </w:tcPr>
                <w:p w14:paraId="64DBD680">
                  <w:pPr>
                    <w:tabs>
                      <w:tab w:val="left" w:pos="4996"/>
                    </w:tabs>
                    <w:jc w:val="center"/>
                    <w:rPr>
                      <w:color w:val="auto"/>
                      <w:sz w:val="21"/>
                      <w:szCs w:val="21"/>
                    </w:rPr>
                  </w:pPr>
                  <w:r>
                    <w:rPr>
                      <w:bCs/>
                      <w:color w:val="auto"/>
                      <w:sz w:val="21"/>
                      <w:szCs w:val="21"/>
                    </w:rPr>
                    <w:t>1.0</w:t>
                  </w:r>
                  <w:r>
                    <w:rPr>
                      <w:rFonts w:hint="eastAsia"/>
                      <w:bCs/>
                      <w:color w:val="auto"/>
                      <w:sz w:val="21"/>
                      <w:szCs w:val="21"/>
                    </w:rPr>
                    <w:t>L</w:t>
                  </w:r>
                </w:p>
              </w:tc>
              <w:tc>
                <w:tcPr>
                  <w:tcW w:w="796" w:type="pct"/>
                  <w:vAlign w:val="center"/>
                </w:tcPr>
                <w:p w14:paraId="21C372CA">
                  <w:pPr>
                    <w:jc w:val="center"/>
                    <w:rPr>
                      <w:color w:val="auto"/>
                      <w:sz w:val="21"/>
                      <w:szCs w:val="21"/>
                    </w:rPr>
                  </w:pPr>
                  <w:r>
                    <w:rPr>
                      <w:rFonts w:hint="eastAsia"/>
                      <w:snapToGrid w:val="0"/>
                      <w:color w:val="auto"/>
                      <w:kern w:val="0"/>
                      <w:sz w:val="21"/>
                      <w:szCs w:val="21"/>
                    </w:rPr>
                    <w:t>0.43</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781D0191">
                  <w:pPr>
                    <w:widowControl/>
                    <w:snapToGrid w:val="0"/>
                    <w:spacing w:line="320" w:lineRule="exact"/>
                    <w:jc w:val="center"/>
                    <w:rPr>
                      <w:color w:val="auto"/>
                      <w:sz w:val="21"/>
                      <w:szCs w:val="21"/>
                    </w:rPr>
                  </w:pPr>
                  <w:r>
                    <w:rPr>
                      <w:rFonts w:hint="eastAsia"/>
                      <w:color w:val="auto"/>
                      <w:sz w:val="21"/>
                      <w:szCs w:val="21"/>
                    </w:rPr>
                    <w:t>达标</w:t>
                  </w:r>
                </w:p>
              </w:tc>
            </w:tr>
            <w:tr w14:paraId="5EAE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551D6088">
                  <w:pPr>
                    <w:jc w:val="center"/>
                    <w:rPr>
                      <w:color w:val="auto"/>
                      <w:sz w:val="21"/>
                      <w:szCs w:val="21"/>
                    </w:rPr>
                  </w:pPr>
                  <w:r>
                    <w:rPr>
                      <w:color w:val="auto"/>
                      <w:sz w:val="21"/>
                      <w:szCs w:val="21"/>
                    </w:rPr>
                    <w:t>*1,1二氯乙烯</w:t>
                  </w:r>
                </w:p>
              </w:tc>
              <w:tc>
                <w:tcPr>
                  <w:tcW w:w="940" w:type="pct"/>
                  <w:vAlign w:val="center"/>
                </w:tcPr>
                <w:p w14:paraId="6733819A">
                  <w:pPr>
                    <w:jc w:val="center"/>
                    <w:rPr>
                      <w:color w:val="auto"/>
                      <w:sz w:val="21"/>
                      <w:szCs w:val="21"/>
                    </w:rPr>
                  </w:pPr>
                  <w:r>
                    <w:rPr>
                      <w:color w:val="auto"/>
                      <w:sz w:val="21"/>
                      <w:szCs w:val="21"/>
                    </w:rPr>
                    <w:t>μg/kg</w:t>
                  </w:r>
                </w:p>
              </w:tc>
              <w:tc>
                <w:tcPr>
                  <w:tcW w:w="961" w:type="pct"/>
                  <w:vAlign w:val="center"/>
                </w:tcPr>
                <w:p w14:paraId="019DB2F1">
                  <w:pPr>
                    <w:tabs>
                      <w:tab w:val="left" w:pos="4996"/>
                    </w:tabs>
                    <w:jc w:val="center"/>
                    <w:rPr>
                      <w:color w:val="auto"/>
                      <w:sz w:val="21"/>
                      <w:szCs w:val="21"/>
                    </w:rPr>
                  </w:pPr>
                  <w:r>
                    <w:rPr>
                      <w:bCs/>
                      <w:color w:val="auto"/>
                      <w:sz w:val="21"/>
                      <w:szCs w:val="21"/>
                    </w:rPr>
                    <w:t>1.0</w:t>
                  </w:r>
                  <w:r>
                    <w:rPr>
                      <w:rFonts w:hint="eastAsia"/>
                      <w:bCs/>
                      <w:color w:val="auto"/>
                      <w:sz w:val="21"/>
                      <w:szCs w:val="21"/>
                    </w:rPr>
                    <w:t>L</w:t>
                  </w:r>
                </w:p>
              </w:tc>
              <w:tc>
                <w:tcPr>
                  <w:tcW w:w="796" w:type="pct"/>
                  <w:vAlign w:val="center"/>
                </w:tcPr>
                <w:p w14:paraId="6EBBBB3F">
                  <w:pPr>
                    <w:jc w:val="center"/>
                    <w:rPr>
                      <w:color w:val="auto"/>
                      <w:sz w:val="21"/>
                      <w:szCs w:val="21"/>
                    </w:rPr>
                  </w:pPr>
                  <w:r>
                    <w:rPr>
                      <w:rFonts w:hint="eastAsia"/>
                      <w:snapToGrid w:val="0"/>
                      <w:color w:val="auto"/>
                      <w:kern w:val="0"/>
                      <w:sz w:val="21"/>
                      <w:szCs w:val="21"/>
                    </w:rPr>
                    <w:t>66</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72C5E2EA">
                  <w:pPr>
                    <w:widowControl/>
                    <w:snapToGrid w:val="0"/>
                    <w:spacing w:line="320" w:lineRule="exact"/>
                    <w:jc w:val="center"/>
                    <w:rPr>
                      <w:color w:val="auto"/>
                      <w:sz w:val="21"/>
                      <w:szCs w:val="21"/>
                    </w:rPr>
                  </w:pPr>
                  <w:r>
                    <w:rPr>
                      <w:rFonts w:hint="eastAsia"/>
                      <w:color w:val="auto"/>
                      <w:sz w:val="21"/>
                      <w:szCs w:val="21"/>
                    </w:rPr>
                    <w:t>达标</w:t>
                  </w:r>
                </w:p>
              </w:tc>
            </w:tr>
            <w:tr w14:paraId="3DFDF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1928D305">
                  <w:pPr>
                    <w:jc w:val="center"/>
                    <w:rPr>
                      <w:color w:val="auto"/>
                      <w:sz w:val="21"/>
                      <w:szCs w:val="21"/>
                    </w:rPr>
                  </w:pPr>
                  <w:r>
                    <w:rPr>
                      <w:color w:val="auto"/>
                      <w:sz w:val="21"/>
                      <w:szCs w:val="21"/>
                    </w:rPr>
                    <w:t>*二氯甲烷</w:t>
                  </w:r>
                </w:p>
              </w:tc>
              <w:tc>
                <w:tcPr>
                  <w:tcW w:w="940" w:type="pct"/>
                  <w:vAlign w:val="center"/>
                </w:tcPr>
                <w:p w14:paraId="3AD460DB">
                  <w:pPr>
                    <w:jc w:val="center"/>
                    <w:rPr>
                      <w:color w:val="auto"/>
                      <w:sz w:val="21"/>
                      <w:szCs w:val="21"/>
                    </w:rPr>
                  </w:pPr>
                  <w:r>
                    <w:rPr>
                      <w:color w:val="auto"/>
                      <w:sz w:val="21"/>
                      <w:szCs w:val="21"/>
                    </w:rPr>
                    <w:t>μg/kg</w:t>
                  </w:r>
                </w:p>
              </w:tc>
              <w:tc>
                <w:tcPr>
                  <w:tcW w:w="961" w:type="pct"/>
                  <w:vAlign w:val="center"/>
                </w:tcPr>
                <w:p w14:paraId="17F425AC">
                  <w:pPr>
                    <w:tabs>
                      <w:tab w:val="left" w:pos="4996"/>
                    </w:tabs>
                    <w:jc w:val="center"/>
                    <w:rPr>
                      <w:color w:val="auto"/>
                      <w:sz w:val="21"/>
                      <w:szCs w:val="21"/>
                    </w:rPr>
                  </w:pPr>
                  <w:r>
                    <w:rPr>
                      <w:bCs/>
                      <w:color w:val="auto"/>
                      <w:sz w:val="21"/>
                      <w:szCs w:val="21"/>
                    </w:rPr>
                    <w:t>1.5</w:t>
                  </w:r>
                  <w:r>
                    <w:rPr>
                      <w:rFonts w:hint="eastAsia"/>
                      <w:bCs/>
                      <w:color w:val="auto"/>
                      <w:sz w:val="21"/>
                      <w:szCs w:val="21"/>
                    </w:rPr>
                    <w:t>L</w:t>
                  </w:r>
                </w:p>
              </w:tc>
              <w:tc>
                <w:tcPr>
                  <w:tcW w:w="796" w:type="pct"/>
                  <w:vAlign w:val="center"/>
                </w:tcPr>
                <w:p w14:paraId="7E776691">
                  <w:pPr>
                    <w:jc w:val="center"/>
                    <w:rPr>
                      <w:color w:val="auto"/>
                      <w:sz w:val="21"/>
                      <w:szCs w:val="21"/>
                    </w:rPr>
                  </w:pPr>
                  <w:r>
                    <w:rPr>
                      <w:rFonts w:hint="eastAsia"/>
                      <w:snapToGrid w:val="0"/>
                      <w:color w:val="auto"/>
                      <w:kern w:val="0"/>
                      <w:sz w:val="21"/>
                      <w:szCs w:val="21"/>
                    </w:rPr>
                    <w:t>616</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0C6EFD67">
                  <w:pPr>
                    <w:widowControl/>
                    <w:snapToGrid w:val="0"/>
                    <w:spacing w:line="320" w:lineRule="exact"/>
                    <w:jc w:val="center"/>
                    <w:rPr>
                      <w:color w:val="auto"/>
                      <w:sz w:val="21"/>
                      <w:szCs w:val="21"/>
                    </w:rPr>
                  </w:pPr>
                  <w:r>
                    <w:rPr>
                      <w:rFonts w:hint="eastAsia"/>
                      <w:color w:val="auto"/>
                      <w:sz w:val="21"/>
                      <w:szCs w:val="21"/>
                    </w:rPr>
                    <w:t>达标</w:t>
                  </w:r>
                </w:p>
              </w:tc>
            </w:tr>
            <w:tr w14:paraId="686B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7B343A32">
                  <w:pPr>
                    <w:jc w:val="center"/>
                    <w:rPr>
                      <w:color w:val="auto"/>
                      <w:sz w:val="21"/>
                      <w:szCs w:val="21"/>
                    </w:rPr>
                  </w:pPr>
                  <w:r>
                    <w:rPr>
                      <w:color w:val="auto"/>
                      <w:sz w:val="21"/>
                      <w:szCs w:val="21"/>
                    </w:rPr>
                    <w:t>*</w:t>
                  </w:r>
                  <w:r>
                    <w:rPr>
                      <w:bCs/>
                      <w:color w:val="auto"/>
                      <w:sz w:val="21"/>
                      <w:szCs w:val="21"/>
                    </w:rPr>
                    <w:t>反式-1,2-二氯乙</w:t>
                  </w:r>
                  <w:r>
                    <w:rPr>
                      <w:rFonts w:hint="eastAsia"/>
                      <w:bCs/>
                      <w:color w:val="auto"/>
                      <w:sz w:val="21"/>
                      <w:szCs w:val="21"/>
                    </w:rPr>
                    <w:t>烯</w:t>
                  </w:r>
                </w:p>
              </w:tc>
              <w:tc>
                <w:tcPr>
                  <w:tcW w:w="940" w:type="pct"/>
                  <w:vAlign w:val="center"/>
                </w:tcPr>
                <w:p w14:paraId="09DB65B8">
                  <w:pPr>
                    <w:jc w:val="center"/>
                    <w:rPr>
                      <w:color w:val="auto"/>
                      <w:sz w:val="21"/>
                      <w:szCs w:val="21"/>
                    </w:rPr>
                  </w:pPr>
                  <w:r>
                    <w:rPr>
                      <w:color w:val="auto"/>
                      <w:sz w:val="21"/>
                      <w:szCs w:val="21"/>
                    </w:rPr>
                    <w:t>μg/kg</w:t>
                  </w:r>
                </w:p>
              </w:tc>
              <w:tc>
                <w:tcPr>
                  <w:tcW w:w="961" w:type="pct"/>
                  <w:vAlign w:val="center"/>
                </w:tcPr>
                <w:p w14:paraId="4634A5D6">
                  <w:pPr>
                    <w:tabs>
                      <w:tab w:val="left" w:pos="4996"/>
                    </w:tabs>
                    <w:jc w:val="center"/>
                    <w:rPr>
                      <w:color w:val="auto"/>
                      <w:sz w:val="21"/>
                      <w:szCs w:val="21"/>
                    </w:rPr>
                  </w:pPr>
                  <w:r>
                    <w:rPr>
                      <w:bCs/>
                      <w:color w:val="auto"/>
                      <w:sz w:val="21"/>
                      <w:szCs w:val="21"/>
                    </w:rPr>
                    <w:t>1.4</w:t>
                  </w:r>
                  <w:r>
                    <w:rPr>
                      <w:rFonts w:hint="eastAsia"/>
                      <w:bCs/>
                      <w:color w:val="auto"/>
                      <w:sz w:val="21"/>
                      <w:szCs w:val="21"/>
                    </w:rPr>
                    <w:t>L</w:t>
                  </w:r>
                </w:p>
              </w:tc>
              <w:tc>
                <w:tcPr>
                  <w:tcW w:w="796" w:type="pct"/>
                  <w:vAlign w:val="center"/>
                </w:tcPr>
                <w:p w14:paraId="2A580F19">
                  <w:pPr>
                    <w:jc w:val="center"/>
                    <w:rPr>
                      <w:color w:val="auto"/>
                      <w:sz w:val="21"/>
                      <w:szCs w:val="21"/>
                    </w:rPr>
                  </w:pPr>
                  <w:r>
                    <w:rPr>
                      <w:rFonts w:hint="eastAsia"/>
                      <w:snapToGrid w:val="0"/>
                      <w:color w:val="auto"/>
                      <w:kern w:val="0"/>
                      <w:sz w:val="21"/>
                      <w:szCs w:val="21"/>
                    </w:rPr>
                    <w:t>54</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3D362E8C">
                  <w:pPr>
                    <w:widowControl/>
                    <w:snapToGrid w:val="0"/>
                    <w:spacing w:line="320" w:lineRule="exact"/>
                    <w:jc w:val="center"/>
                    <w:rPr>
                      <w:color w:val="auto"/>
                      <w:sz w:val="21"/>
                      <w:szCs w:val="21"/>
                    </w:rPr>
                  </w:pPr>
                  <w:r>
                    <w:rPr>
                      <w:rFonts w:hint="eastAsia"/>
                      <w:color w:val="auto"/>
                      <w:sz w:val="21"/>
                      <w:szCs w:val="21"/>
                    </w:rPr>
                    <w:t>达标</w:t>
                  </w:r>
                </w:p>
              </w:tc>
            </w:tr>
            <w:tr w14:paraId="049F5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5C2C673B">
                  <w:pPr>
                    <w:jc w:val="center"/>
                    <w:rPr>
                      <w:color w:val="auto"/>
                      <w:sz w:val="21"/>
                      <w:szCs w:val="21"/>
                    </w:rPr>
                  </w:pPr>
                  <w:r>
                    <w:rPr>
                      <w:color w:val="auto"/>
                      <w:sz w:val="21"/>
                      <w:szCs w:val="21"/>
                    </w:rPr>
                    <w:t>*1,1-二氯乙烷</w:t>
                  </w:r>
                </w:p>
              </w:tc>
              <w:tc>
                <w:tcPr>
                  <w:tcW w:w="940" w:type="pct"/>
                  <w:vAlign w:val="center"/>
                </w:tcPr>
                <w:p w14:paraId="74F81B0F">
                  <w:pPr>
                    <w:jc w:val="center"/>
                    <w:rPr>
                      <w:color w:val="auto"/>
                      <w:sz w:val="21"/>
                      <w:szCs w:val="21"/>
                    </w:rPr>
                  </w:pPr>
                  <w:r>
                    <w:rPr>
                      <w:color w:val="auto"/>
                      <w:sz w:val="21"/>
                      <w:szCs w:val="21"/>
                    </w:rPr>
                    <w:t>μg/kg</w:t>
                  </w:r>
                </w:p>
              </w:tc>
              <w:tc>
                <w:tcPr>
                  <w:tcW w:w="961" w:type="pct"/>
                  <w:vAlign w:val="center"/>
                </w:tcPr>
                <w:p w14:paraId="2C269629">
                  <w:pPr>
                    <w:tabs>
                      <w:tab w:val="left" w:pos="4996"/>
                    </w:tabs>
                    <w:jc w:val="center"/>
                    <w:rPr>
                      <w:color w:val="auto"/>
                      <w:sz w:val="21"/>
                      <w:szCs w:val="21"/>
                    </w:rPr>
                  </w:pPr>
                  <w:r>
                    <w:rPr>
                      <w:bCs/>
                      <w:color w:val="auto"/>
                      <w:sz w:val="21"/>
                      <w:szCs w:val="21"/>
                    </w:rPr>
                    <w:t>1.2</w:t>
                  </w:r>
                  <w:r>
                    <w:rPr>
                      <w:rFonts w:hint="eastAsia"/>
                      <w:bCs/>
                      <w:color w:val="auto"/>
                      <w:sz w:val="21"/>
                      <w:szCs w:val="21"/>
                    </w:rPr>
                    <w:t>L</w:t>
                  </w:r>
                </w:p>
              </w:tc>
              <w:tc>
                <w:tcPr>
                  <w:tcW w:w="796" w:type="pct"/>
                  <w:vAlign w:val="center"/>
                </w:tcPr>
                <w:p w14:paraId="56D4AE8E">
                  <w:pPr>
                    <w:jc w:val="center"/>
                    <w:rPr>
                      <w:color w:val="auto"/>
                      <w:sz w:val="21"/>
                      <w:szCs w:val="21"/>
                    </w:rPr>
                  </w:pPr>
                  <w:r>
                    <w:rPr>
                      <w:rFonts w:hint="eastAsia"/>
                      <w:snapToGrid w:val="0"/>
                      <w:color w:val="auto"/>
                      <w:kern w:val="0"/>
                      <w:sz w:val="21"/>
                      <w:szCs w:val="21"/>
                    </w:rPr>
                    <w:t>9</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008B4F61">
                  <w:pPr>
                    <w:widowControl/>
                    <w:snapToGrid w:val="0"/>
                    <w:spacing w:line="320" w:lineRule="exact"/>
                    <w:jc w:val="center"/>
                    <w:rPr>
                      <w:color w:val="auto"/>
                      <w:sz w:val="21"/>
                      <w:szCs w:val="21"/>
                    </w:rPr>
                  </w:pPr>
                  <w:r>
                    <w:rPr>
                      <w:rFonts w:hint="eastAsia"/>
                      <w:color w:val="auto"/>
                      <w:sz w:val="21"/>
                      <w:szCs w:val="21"/>
                    </w:rPr>
                    <w:t>达标</w:t>
                  </w:r>
                </w:p>
              </w:tc>
            </w:tr>
            <w:tr w14:paraId="3688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303833B4">
                  <w:pPr>
                    <w:jc w:val="center"/>
                    <w:rPr>
                      <w:color w:val="auto"/>
                      <w:sz w:val="21"/>
                      <w:szCs w:val="21"/>
                    </w:rPr>
                  </w:pPr>
                  <w:r>
                    <w:rPr>
                      <w:color w:val="auto"/>
                      <w:sz w:val="21"/>
                      <w:szCs w:val="21"/>
                    </w:rPr>
                    <w:t>*</w:t>
                  </w:r>
                  <w:r>
                    <w:rPr>
                      <w:bCs/>
                      <w:color w:val="auto"/>
                      <w:sz w:val="21"/>
                      <w:szCs w:val="21"/>
                    </w:rPr>
                    <w:t>顺式-1,2-二氯乙烯</w:t>
                  </w:r>
                </w:p>
              </w:tc>
              <w:tc>
                <w:tcPr>
                  <w:tcW w:w="940" w:type="pct"/>
                  <w:vAlign w:val="center"/>
                </w:tcPr>
                <w:p w14:paraId="5E739619">
                  <w:pPr>
                    <w:jc w:val="center"/>
                    <w:rPr>
                      <w:color w:val="auto"/>
                      <w:sz w:val="21"/>
                      <w:szCs w:val="21"/>
                    </w:rPr>
                  </w:pPr>
                  <w:r>
                    <w:rPr>
                      <w:color w:val="auto"/>
                      <w:sz w:val="21"/>
                      <w:szCs w:val="21"/>
                    </w:rPr>
                    <w:t>μg/kg</w:t>
                  </w:r>
                </w:p>
              </w:tc>
              <w:tc>
                <w:tcPr>
                  <w:tcW w:w="961" w:type="pct"/>
                  <w:vAlign w:val="center"/>
                </w:tcPr>
                <w:p w14:paraId="2E8E5422">
                  <w:pPr>
                    <w:tabs>
                      <w:tab w:val="left" w:pos="4996"/>
                    </w:tabs>
                    <w:jc w:val="center"/>
                    <w:rPr>
                      <w:color w:val="auto"/>
                      <w:sz w:val="21"/>
                      <w:szCs w:val="21"/>
                    </w:rPr>
                  </w:pPr>
                  <w:r>
                    <w:rPr>
                      <w:bCs/>
                      <w:color w:val="auto"/>
                      <w:sz w:val="21"/>
                      <w:szCs w:val="21"/>
                    </w:rPr>
                    <w:t>1.3</w:t>
                  </w:r>
                  <w:r>
                    <w:rPr>
                      <w:rFonts w:hint="eastAsia"/>
                      <w:bCs/>
                      <w:color w:val="auto"/>
                      <w:sz w:val="21"/>
                      <w:szCs w:val="21"/>
                    </w:rPr>
                    <w:t>L</w:t>
                  </w:r>
                </w:p>
              </w:tc>
              <w:tc>
                <w:tcPr>
                  <w:tcW w:w="796" w:type="pct"/>
                  <w:vAlign w:val="center"/>
                </w:tcPr>
                <w:p w14:paraId="6BE70A88">
                  <w:pPr>
                    <w:jc w:val="center"/>
                    <w:rPr>
                      <w:color w:val="auto"/>
                      <w:sz w:val="21"/>
                      <w:szCs w:val="21"/>
                    </w:rPr>
                  </w:pPr>
                  <w:r>
                    <w:rPr>
                      <w:rFonts w:hint="eastAsia"/>
                      <w:snapToGrid w:val="0"/>
                      <w:color w:val="auto"/>
                      <w:kern w:val="0"/>
                      <w:sz w:val="21"/>
                      <w:szCs w:val="21"/>
                    </w:rPr>
                    <w:t>596</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7EC24057">
                  <w:pPr>
                    <w:widowControl/>
                    <w:snapToGrid w:val="0"/>
                    <w:spacing w:line="320" w:lineRule="exact"/>
                    <w:jc w:val="center"/>
                    <w:rPr>
                      <w:color w:val="auto"/>
                      <w:sz w:val="21"/>
                      <w:szCs w:val="21"/>
                    </w:rPr>
                  </w:pPr>
                  <w:r>
                    <w:rPr>
                      <w:rFonts w:hint="eastAsia"/>
                      <w:color w:val="auto"/>
                      <w:sz w:val="21"/>
                      <w:szCs w:val="21"/>
                    </w:rPr>
                    <w:t>达标</w:t>
                  </w:r>
                </w:p>
              </w:tc>
            </w:tr>
            <w:tr w14:paraId="78FC1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1CF0C9BD">
                  <w:pPr>
                    <w:jc w:val="center"/>
                    <w:rPr>
                      <w:color w:val="auto"/>
                      <w:sz w:val="21"/>
                      <w:szCs w:val="21"/>
                    </w:rPr>
                  </w:pPr>
                  <w:r>
                    <w:rPr>
                      <w:color w:val="auto"/>
                      <w:sz w:val="21"/>
                      <w:szCs w:val="21"/>
                    </w:rPr>
                    <w:t>*氯仿</w:t>
                  </w:r>
                </w:p>
              </w:tc>
              <w:tc>
                <w:tcPr>
                  <w:tcW w:w="940" w:type="pct"/>
                  <w:vAlign w:val="center"/>
                </w:tcPr>
                <w:p w14:paraId="16A758AF">
                  <w:pPr>
                    <w:jc w:val="center"/>
                    <w:rPr>
                      <w:color w:val="auto"/>
                      <w:sz w:val="21"/>
                      <w:szCs w:val="21"/>
                    </w:rPr>
                  </w:pPr>
                  <w:r>
                    <w:rPr>
                      <w:color w:val="auto"/>
                      <w:sz w:val="21"/>
                      <w:szCs w:val="21"/>
                    </w:rPr>
                    <w:t>μg/kg</w:t>
                  </w:r>
                </w:p>
              </w:tc>
              <w:tc>
                <w:tcPr>
                  <w:tcW w:w="961" w:type="pct"/>
                  <w:vAlign w:val="center"/>
                </w:tcPr>
                <w:p w14:paraId="4A1800FF">
                  <w:pPr>
                    <w:tabs>
                      <w:tab w:val="left" w:pos="4996"/>
                    </w:tabs>
                    <w:jc w:val="center"/>
                    <w:rPr>
                      <w:color w:val="auto"/>
                      <w:sz w:val="21"/>
                      <w:szCs w:val="21"/>
                    </w:rPr>
                  </w:pPr>
                  <w:r>
                    <w:rPr>
                      <w:bCs/>
                      <w:color w:val="auto"/>
                      <w:sz w:val="21"/>
                      <w:szCs w:val="21"/>
                    </w:rPr>
                    <w:t>1.1</w:t>
                  </w:r>
                  <w:r>
                    <w:rPr>
                      <w:rFonts w:hint="eastAsia"/>
                      <w:bCs/>
                      <w:color w:val="auto"/>
                      <w:sz w:val="21"/>
                      <w:szCs w:val="21"/>
                    </w:rPr>
                    <w:t>L</w:t>
                  </w:r>
                </w:p>
              </w:tc>
              <w:tc>
                <w:tcPr>
                  <w:tcW w:w="796" w:type="pct"/>
                  <w:vAlign w:val="center"/>
                </w:tcPr>
                <w:p w14:paraId="2C4830EA">
                  <w:pPr>
                    <w:jc w:val="center"/>
                    <w:rPr>
                      <w:color w:val="auto"/>
                      <w:sz w:val="21"/>
                      <w:szCs w:val="21"/>
                    </w:rPr>
                  </w:pPr>
                  <w:r>
                    <w:rPr>
                      <w:rFonts w:hint="eastAsia"/>
                      <w:snapToGrid w:val="0"/>
                      <w:color w:val="auto"/>
                      <w:kern w:val="0"/>
                      <w:sz w:val="21"/>
                      <w:szCs w:val="21"/>
                    </w:rPr>
                    <w:t>0.9</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763F37FA">
                  <w:pPr>
                    <w:widowControl/>
                    <w:snapToGrid w:val="0"/>
                    <w:spacing w:line="320" w:lineRule="exact"/>
                    <w:jc w:val="center"/>
                    <w:rPr>
                      <w:color w:val="auto"/>
                      <w:sz w:val="21"/>
                      <w:szCs w:val="21"/>
                    </w:rPr>
                  </w:pPr>
                  <w:r>
                    <w:rPr>
                      <w:rFonts w:hint="eastAsia"/>
                      <w:color w:val="auto"/>
                      <w:sz w:val="21"/>
                      <w:szCs w:val="21"/>
                    </w:rPr>
                    <w:t>达标</w:t>
                  </w:r>
                </w:p>
              </w:tc>
            </w:tr>
            <w:tr w14:paraId="42F65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0CB23072">
                  <w:pPr>
                    <w:jc w:val="center"/>
                    <w:rPr>
                      <w:color w:val="auto"/>
                      <w:sz w:val="21"/>
                      <w:szCs w:val="21"/>
                    </w:rPr>
                  </w:pPr>
                  <w:r>
                    <w:rPr>
                      <w:color w:val="auto"/>
                      <w:sz w:val="21"/>
                      <w:szCs w:val="21"/>
                    </w:rPr>
                    <w:t>*1,1,1-三氯乙烷</w:t>
                  </w:r>
                </w:p>
              </w:tc>
              <w:tc>
                <w:tcPr>
                  <w:tcW w:w="940" w:type="pct"/>
                  <w:vAlign w:val="center"/>
                </w:tcPr>
                <w:p w14:paraId="28CB618C">
                  <w:pPr>
                    <w:jc w:val="center"/>
                    <w:rPr>
                      <w:color w:val="auto"/>
                      <w:sz w:val="21"/>
                      <w:szCs w:val="21"/>
                    </w:rPr>
                  </w:pPr>
                  <w:r>
                    <w:rPr>
                      <w:color w:val="auto"/>
                      <w:sz w:val="21"/>
                      <w:szCs w:val="21"/>
                    </w:rPr>
                    <w:t>μg/kg</w:t>
                  </w:r>
                </w:p>
              </w:tc>
              <w:tc>
                <w:tcPr>
                  <w:tcW w:w="961" w:type="pct"/>
                  <w:vAlign w:val="center"/>
                </w:tcPr>
                <w:p w14:paraId="40EB0B91">
                  <w:pPr>
                    <w:tabs>
                      <w:tab w:val="left" w:pos="4996"/>
                    </w:tabs>
                    <w:jc w:val="center"/>
                    <w:rPr>
                      <w:color w:val="auto"/>
                      <w:sz w:val="21"/>
                      <w:szCs w:val="21"/>
                    </w:rPr>
                  </w:pPr>
                  <w:r>
                    <w:rPr>
                      <w:bCs/>
                      <w:color w:val="auto"/>
                      <w:sz w:val="21"/>
                      <w:szCs w:val="21"/>
                    </w:rPr>
                    <w:t>1.3</w:t>
                  </w:r>
                  <w:r>
                    <w:rPr>
                      <w:rFonts w:hint="eastAsia"/>
                      <w:bCs/>
                      <w:color w:val="auto"/>
                      <w:sz w:val="21"/>
                      <w:szCs w:val="21"/>
                    </w:rPr>
                    <w:t>L</w:t>
                  </w:r>
                </w:p>
              </w:tc>
              <w:tc>
                <w:tcPr>
                  <w:tcW w:w="796" w:type="pct"/>
                  <w:vAlign w:val="center"/>
                </w:tcPr>
                <w:p w14:paraId="29431EBE">
                  <w:pPr>
                    <w:jc w:val="center"/>
                    <w:rPr>
                      <w:color w:val="auto"/>
                      <w:sz w:val="21"/>
                      <w:szCs w:val="21"/>
                    </w:rPr>
                  </w:pPr>
                  <w:r>
                    <w:rPr>
                      <w:rFonts w:hint="eastAsia"/>
                      <w:snapToGrid w:val="0"/>
                      <w:color w:val="auto"/>
                      <w:kern w:val="0"/>
                      <w:sz w:val="21"/>
                      <w:szCs w:val="21"/>
                    </w:rPr>
                    <w:t>840</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0D9EBBF5">
                  <w:pPr>
                    <w:widowControl/>
                    <w:snapToGrid w:val="0"/>
                    <w:spacing w:line="320" w:lineRule="exact"/>
                    <w:jc w:val="center"/>
                    <w:rPr>
                      <w:color w:val="auto"/>
                      <w:sz w:val="21"/>
                      <w:szCs w:val="21"/>
                    </w:rPr>
                  </w:pPr>
                  <w:r>
                    <w:rPr>
                      <w:rFonts w:hint="eastAsia"/>
                      <w:color w:val="auto"/>
                      <w:sz w:val="21"/>
                      <w:szCs w:val="21"/>
                    </w:rPr>
                    <w:t>达标</w:t>
                  </w:r>
                </w:p>
              </w:tc>
            </w:tr>
            <w:tr w14:paraId="6306A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23AEB433">
                  <w:pPr>
                    <w:widowControl/>
                    <w:jc w:val="center"/>
                    <w:rPr>
                      <w:color w:val="auto"/>
                      <w:sz w:val="21"/>
                      <w:szCs w:val="21"/>
                    </w:rPr>
                  </w:pPr>
                  <w:r>
                    <w:rPr>
                      <w:color w:val="auto"/>
                      <w:sz w:val="21"/>
                      <w:szCs w:val="21"/>
                    </w:rPr>
                    <w:t>*四氯化碳</w:t>
                  </w:r>
                </w:p>
              </w:tc>
              <w:tc>
                <w:tcPr>
                  <w:tcW w:w="940" w:type="pct"/>
                  <w:vAlign w:val="center"/>
                </w:tcPr>
                <w:p w14:paraId="70C9F805">
                  <w:pPr>
                    <w:jc w:val="center"/>
                    <w:rPr>
                      <w:color w:val="auto"/>
                      <w:sz w:val="21"/>
                      <w:szCs w:val="21"/>
                    </w:rPr>
                  </w:pPr>
                  <w:r>
                    <w:rPr>
                      <w:color w:val="auto"/>
                      <w:sz w:val="21"/>
                      <w:szCs w:val="21"/>
                    </w:rPr>
                    <w:t>μg/kg</w:t>
                  </w:r>
                </w:p>
              </w:tc>
              <w:tc>
                <w:tcPr>
                  <w:tcW w:w="961" w:type="pct"/>
                  <w:vAlign w:val="center"/>
                </w:tcPr>
                <w:p w14:paraId="21F524B2">
                  <w:pPr>
                    <w:tabs>
                      <w:tab w:val="left" w:pos="4996"/>
                    </w:tabs>
                    <w:jc w:val="center"/>
                    <w:rPr>
                      <w:color w:val="auto"/>
                      <w:sz w:val="21"/>
                      <w:szCs w:val="21"/>
                    </w:rPr>
                  </w:pPr>
                  <w:r>
                    <w:rPr>
                      <w:bCs/>
                      <w:color w:val="auto"/>
                      <w:sz w:val="21"/>
                      <w:szCs w:val="21"/>
                    </w:rPr>
                    <w:t>1.3</w:t>
                  </w:r>
                  <w:r>
                    <w:rPr>
                      <w:rFonts w:hint="eastAsia"/>
                      <w:bCs/>
                      <w:color w:val="auto"/>
                      <w:sz w:val="21"/>
                      <w:szCs w:val="21"/>
                    </w:rPr>
                    <w:t>L</w:t>
                  </w:r>
                </w:p>
              </w:tc>
              <w:tc>
                <w:tcPr>
                  <w:tcW w:w="796" w:type="pct"/>
                  <w:vAlign w:val="center"/>
                </w:tcPr>
                <w:p w14:paraId="76CBAA12">
                  <w:pPr>
                    <w:jc w:val="center"/>
                    <w:rPr>
                      <w:color w:val="auto"/>
                      <w:sz w:val="21"/>
                      <w:szCs w:val="21"/>
                    </w:rPr>
                  </w:pPr>
                  <w:r>
                    <w:rPr>
                      <w:rFonts w:hint="eastAsia"/>
                      <w:snapToGrid w:val="0"/>
                      <w:color w:val="auto"/>
                      <w:kern w:val="0"/>
                      <w:sz w:val="21"/>
                      <w:szCs w:val="21"/>
                    </w:rPr>
                    <w:t>2.8</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3100210C">
                  <w:pPr>
                    <w:widowControl/>
                    <w:snapToGrid w:val="0"/>
                    <w:spacing w:line="320" w:lineRule="exact"/>
                    <w:jc w:val="center"/>
                    <w:rPr>
                      <w:color w:val="auto"/>
                      <w:sz w:val="21"/>
                      <w:szCs w:val="21"/>
                    </w:rPr>
                  </w:pPr>
                  <w:r>
                    <w:rPr>
                      <w:rFonts w:hint="eastAsia"/>
                      <w:color w:val="auto"/>
                      <w:sz w:val="21"/>
                      <w:szCs w:val="21"/>
                    </w:rPr>
                    <w:t>达标</w:t>
                  </w:r>
                </w:p>
              </w:tc>
            </w:tr>
            <w:tr w14:paraId="77D8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16C01D1B">
                  <w:pPr>
                    <w:jc w:val="center"/>
                    <w:rPr>
                      <w:color w:val="auto"/>
                      <w:sz w:val="21"/>
                      <w:szCs w:val="21"/>
                    </w:rPr>
                  </w:pPr>
                  <w:r>
                    <w:rPr>
                      <w:color w:val="auto"/>
                      <w:sz w:val="21"/>
                      <w:szCs w:val="21"/>
                    </w:rPr>
                    <w:t>*苯</w:t>
                  </w:r>
                </w:p>
              </w:tc>
              <w:tc>
                <w:tcPr>
                  <w:tcW w:w="940" w:type="pct"/>
                  <w:vAlign w:val="center"/>
                </w:tcPr>
                <w:p w14:paraId="51031C0A">
                  <w:pPr>
                    <w:jc w:val="center"/>
                    <w:rPr>
                      <w:color w:val="auto"/>
                      <w:sz w:val="21"/>
                      <w:szCs w:val="21"/>
                    </w:rPr>
                  </w:pPr>
                  <w:r>
                    <w:rPr>
                      <w:color w:val="auto"/>
                      <w:sz w:val="21"/>
                      <w:szCs w:val="21"/>
                    </w:rPr>
                    <w:t>μg/kg</w:t>
                  </w:r>
                </w:p>
              </w:tc>
              <w:tc>
                <w:tcPr>
                  <w:tcW w:w="961" w:type="pct"/>
                  <w:vAlign w:val="center"/>
                </w:tcPr>
                <w:p w14:paraId="5EFDD4E6">
                  <w:pPr>
                    <w:tabs>
                      <w:tab w:val="left" w:pos="4996"/>
                    </w:tabs>
                    <w:jc w:val="center"/>
                    <w:rPr>
                      <w:color w:val="auto"/>
                      <w:sz w:val="21"/>
                      <w:szCs w:val="21"/>
                    </w:rPr>
                  </w:pPr>
                  <w:r>
                    <w:rPr>
                      <w:bCs/>
                      <w:color w:val="auto"/>
                      <w:sz w:val="21"/>
                      <w:szCs w:val="21"/>
                    </w:rPr>
                    <w:t>1.9</w:t>
                  </w:r>
                  <w:r>
                    <w:rPr>
                      <w:rFonts w:hint="eastAsia"/>
                      <w:bCs/>
                      <w:color w:val="auto"/>
                      <w:sz w:val="21"/>
                      <w:szCs w:val="21"/>
                    </w:rPr>
                    <w:t>L</w:t>
                  </w:r>
                </w:p>
              </w:tc>
              <w:tc>
                <w:tcPr>
                  <w:tcW w:w="796" w:type="pct"/>
                  <w:vAlign w:val="center"/>
                </w:tcPr>
                <w:p w14:paraId="11117148">
                  <w:pPr>
                    <w:jc w:val="center"/>
                    <w:rPr>
                      <w:color w:val="auto"/>
                      <w:sz w:val="21"/>
                      <w:szCs w:val="21"/>
                    </w:rPr>
                  </w:pPr>
                  <w:r>
                    <w:rPr>
                      <w:rFonts w:hint="eastAsia"/>
                      <w:snapToGrid w:val="0"/>
                      <w:color w:val="auto"/>
                      <w:kern w:val="0"/>
                      <w:sz w:val="21"/>
                      <w:szCs w:val="21"/>
                    </w:rPr>
                    <w:t>4</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501F4AB6">
                  <w:pPr>
                    <w:widowControl/>
                    <w:snapToGrid w:val="0"/>
                    <w:spacing w:line="320" w:lineRule="exact"/>
                    <w:jc w:val="center"/>
                    <w:rPr>
                      <w:color w:val="auto"/>
                      <w:sz w:val="21"/>
                      <w:szCs w:val="21"/>
                    </w:rPr>
                  </w:pPr>
                  <w:r>
                    <w:rPr>
                      <w:rFonts w:hint="eastAsia"/>
                      <w:color w:val="auto"/>
                      <w:sz w:val="21"/>
                      <w:szCs w:val="21"/>
                    </w:rPr>
                    <w:t>达标</w:t>
                  </w:r>
                </w:p>
              </w:tc>
            </w:tr>
            <w:tr w14:paraId="5FD8E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28E3A8B7">
                  <w:pPr>
                    <w:jc w:val="center"/>
                    <w:rPr>
                      <w:color w:val="auto"/>
                      <w:sz w:val="21"/>
                      <w:szCs w:val="21"/>
                    </w:rPr>
                  </w:pPr>
                  <w:r>
                    <w:rPr>
                      <w:color w:val="auto"/>
                      <w:sz w:val="21"/>
                      <w:szCs w:val="21"/>
                    </w:rPr>
                    <w:t>*1,2-二氯乙烷</w:t>
                  </w:r>
                </w:p>
              </w:tc>
              <w:tc>
                <w:tcPr>
                  <w:tcW w:w="940" w:type="pct"/>
                  <w:vAlign w:val="center"/>
                </w:tcPr>
                <w:p w14:paraId="4A0A573A">
                  <w:pPr>
                    <w:jc w:val="center"/>
                    <w:rPr>
                      <w:color w:val="auto"/>
                      <w:sz w:val="21"/>
                      <w:szCs w:val="21"/>
                    </w:rPr>
                  </w:pPr>
                  <w:r>
                    <w:rPr>
                      <w:color w:val="auto"/>
                      <w:sz w:val="21"/>
                      <w:szCs w:val="21"/>
                    </w:rPr>
                    <w:t>μg/kg</w:t>
                  </w:r>
                </w:p>
              </w:tc>
              <w:tc>
                <w:tcPr>
                  <w:tcW w:w="961" w:type="pct"/>
                  <w:vAlign w:val="center"/>
                </w:tcPr>
                <w:p w14:paraId="5848F3D8">
                  <w:pPr>
                    <w:tabs>
                      <w:tab w:val="left" w:pos="4996"/>
                    </w:tabs>
                    <w:jc w:val="center"/>
                    <w:rPr>
                      <w:color w:val="auto"/>
                      <w:sz w:val="21"/>
                      <w:szCs w:val="21"/>
                    </w:rPr>
                  </w:pPr>
                  <w:r>
                    <w:rPr>
                      <w:bCs/>
                      <w:color w:val="auto"/>
                      <w:sz w:val="21"/>
                      <w:szCs w:val="21"/>
                    </w:rPr>
                    <w:t>1.3</w:t>
                  </w:r>
                  <w:r>
                    <w:rPr>
                      <w:rFonts w:hint="eastAsia"/>
                      <w:bCs/>
                      <w:color w:val="auto"/>
                      <w:sz w:val="21"/>
                      <w:szCs w:val="21"/>
                    </w:rPr>
                    <w:t>L</w:t>
                  </w:r>
                </w:p>
              </w:tc>
              <w:tc>
                <w:tcPr>
                  <w:tcW w:w="796" w:type="pct"/>
                  <w:vAlign w:val="center"/>
                </w:tcPr>
                <w:p w14:paraId="0954125E">
                  <w:pPr>
                    <w:jc w:val="center"/>
                    <w:rPr>
                      <w:color w:val="auto"/>
                      <w:sz w:val="21"/>
                      <w:szCs w:val="21"/>
                    </w:rPr>
                  </w:pPr>
                  <w:r>
                    <w:rPr>
                      <w:rFonts w:hint="eastAsia"/>
                      <w:snapToGrid w:val="0"/>
                      <w:color w:val="auto"/>
                      <w:kern w:val="0"/>
                      <w:sz w:val="21"/>
                      <w:szCs w:val="21"/>
                    </w:rPr>
                    <w:t>5</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35ABE857">
                  <w:pPr>
                    <w:widowControl/>
                    <w:snapToGrid w:val="0"/>
                    <w:spacing w:line="320" w:lineRule="exact"/>
                    <w:jc w:val="center"/>
                    <w:rPr>
                      <w:color w:val="auto"/>
                      <w:sz w:val="21"/>
                      <w:szCs w:val="21"/>
                    </w:rPr>
                  </w:pPr>
                  <w:r>
                    <w:rPr>
                      <w:rFonts w:hint="eastAsia"/>
                      <w:color w:val="auto"/>
                      <w:sz w:val="21"/>
                      <w:szCs w:val="21"/>
                    </w:rPr>
                    <w:t>达标</w:t>
                  </w:r>
                </w:p>
              </w:tc>
            </w:tr>
            <w:tr w14:paraId="40641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560C9C3F">
                  <w:pPr>
                    <w:jc w:val="center"/>
                    <w:rPr>
                      <w:color w:val="auto"/>
                      <w:sz w:val="21"/>
                      <w:szCs w:val="21"/>
                    </w:rPr>
                  </w:pPr>
                  <w:r>
                    <w:rPr>
                      <w:color w:val="auto"/>
                      <w:sz w:val="21"/>
                      <w:szCs w:val="21"/>
                    </w:rPr>
                    <w:t>*三氯乙烯</w:t>
                  </w:r>
                </w:p>
              </w:tc>
              <w:tc>
                <w:tcPr>
                  <w:tcW w:w="940" w:type="pct"/>
                  <w:vAlign w:val="center"/>
                </w:tcPr>
                <w:p w14:paraId="2EE4D40A">
                  <w:pPr>
                    <w:jc w:val="center"/>
                    <w:rPr>
                      <w:color w:val="auto"/>
                      <w:sz w:val="21"/>
                      <w:szCs w:val="21"/>
                    </w:rPr>
                  </w:pPr>
                  <w:r>
                    <w:rPr>
                      <w:color w:val="auto"/>
                      <w:sz w:val="21"/>
                      <w:szCs w:val="21"/>
                    </w:rPr>
                    <w:t>μg/kg</w:t>
                  </w:r>
                </w:p>
              </w:tc>
              <w:tc>
                <w:tcPr>
                  <w:tcW w:w="961" w:type="pct"/>
                  <w:vAlign w:val="center"/>
                </w:tcPr>
                <w:p w14:paraId="1C87F7AC">
                  <w:pPr>
                    <w:tabs>
                      <w:tab w:val="left" w:pos="4996"/>
                    </w:tabs>
                    <w:jc w:val="center"/>
                    <w:rPr>
                      <w:color w:val="auto"/>
                      <w:sz w:val="21"/>
                      <w:szCs w:val="21"/>
                    </w:rPr>
                  </w:pPr>
                  <w:r>
                    <w:rPr>
                      <w:bCs/>
                      <w:color w:val="auto"/>
                      <w:sz w:val="21"/>
                      <w:szCs w:val="21"/>
                    </w:rPr>
                    <w:t>1.2</w:t>
                  </w:r>
                  <w:r>
                    <w:rPr>
                      <w:rFonts w:hint="eastAsia"/>
                      <w:bCs/>
                      <w:color w:val="auto"/>
                      <w:sz w:val="21"/>
                      <w:szCs w:val="21"/>
                    </w:rPr>
                    <w:t>L</w:t>
                  </w:r>
                </w:p>
              </w:tc>
              <w:tc>
                <w:tcPr>
                  <w:tcW w:w="796" w:type="pct"/>
                  <w:vAlign w:val="center"/>
                </w:tcPr>
                <w:p w14:paraId="61B66BF3">
                  <w:pPr>
                    <w:jc w:val="center"/>
                    <w:rPr>
                      <w:color w:val="auto"/>
                      <w:sz w:val="21"/>
                      <w:szCs w:val="21"/>
                    </w:rPr>
                  </w:pPr>
                  <w:r>
                    <w:rPr>
                      <w:rFonts w:hint="eastAsia"/>
                      <w:snapToGrid w:val="0"/>
                      <w:color w:val="auto"/>
                      <w:kern w:val="0"/>
                      <w:sz w:val="21"/>
                      <w:szCs w:val="21"/>
                    </w:rPr>
                    <w:t>2.8</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2DDB6212">
                  <w:pPr>
                    <w:widowControl/>
                    <w:snapToGrid w:val="0"/>
                    <w:spacing w:line="320" w:lineRule="exact"/>
                    <w:jc w:val="center"/>
                    <w:rPr>
                      <w:color w:val="auto"/>
                      <w:sz w:val="21"/>
                      <w:szCs w:val="21"/>
                    </w:rPr>
                  </w:pPr>
                  <w:r>
                    <w:rPr>
                      <w:rFonts w:hint="eastAsia"/>
                      <w:color w:val="auto"/>
                      <w:sz w:val="21"/>
                      <w:szCs w:val="21"/>
                    </w:rPr>
                    <w:t>达标</w:t>
                  </w:r>
                </w:p>
              </w:tc>
            </w:tr>
            <w:tr w14:paraId="180EC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40DC4043">
                  <w:pPr>
                    <w:jc w:val="center"/>
                    <w:rPr>
                      <w:color w:val="auto"/>
                      <w:sz w:val="21"/>
                      <w:szCs w:val="21"/>
                    </w:rPr>
                  </w:pPr>
                  <w:r>
                    <w:rPr>
                      <w:color w:val="auto"/>
                      <w:sz w:val="21"/>
                      <w:szCs w:val="21"/>
                    </w:rPr>
                    <w:t>*1,2-二氯丙烷</w:t>
                  </w:r>
                </w:p>
              </w:tc>
              <w:tc>
                <w:tcPr>
                  <w:tcW w:w="940" w:type="pct"/>
                  <w:vAlign w:val="center"/>
                </w:tcPr>
                <w:p w14:paraId="2D06528A">
                  <w:pPr>
                    <w:jc w:val="center"/>
                    <w:rPr>
                      <w:color w:val="auto"/>
                      <w:sz w:val="21"/>
                      <w:szCs w:val="21"/>
                    </w:rPr>
                  </w:pPr>
                  <w:r>
                    <w:rPr>
                      <w:color w:val="auto"/>
                      <w:sz w:val="21"/>
                      <w:szCs w:val="21"/>
                    </w:rPr>
                    <w:t>μg/kg</w:t>
                  </w:r>
                </w:p>
              </w:tc>
              <w:tc>
                <w:tcPr>
                  <w:tcW w:w="961" w:type="pct"/>
                  <w:vAlign w:val="center"/>
                </w:tcPr>
                <w:p w14:paraId="479B7109">
                  <w:pPr>
                    <w:tabs>
                      <w:tab w:val="left" w:pos="4996"/>
                    </w:tabs>
                    <w:jc w:val="center"/>
                    <w:rPr>
                      <w:color w:val="auto"/>
                      <w:sz w:val="21"/>
                      <w:szCs w:val="21"/>
                    </w:rPr>
                  </w:pPr>
                  <w:r>
                    <w:rPr>
                      <w:bCs/>
                      <w:color w:val="auto"/>
                      <w:sz w:val="21"/>
                      <w:szCs w:val="21"/>
                    </w:rPr>
                    <w:t>1.1</w:t>
                  </w:r>
                  <w:r>
                    <w:rPr>
                      <w:rFonts w:hint="eastAsia"/>
                      <w:bCs/>
                      <w:color w:val="auto"/>
                      <w:sz w:val="21"/>
                      <w:szCs w:val="21"/>
                    </w:rPr>
                    <w:t>L</w:t>
                  </w:r>
                </w:p>
              </w:tc>
              <w:tc>
                <w:tcPr>
                  <w:tcW w:w="796" w:type="pct"/>
                  <w:vAlign w:val="center"/>
                </w:tcPr>
                <w:p w14:paraId="622B2E16">
                  <w:pPr>
                    <w:jc w:val="center"/>
                    <w:rPr>
                      <w:color w:val="auto"/>
                      <w:sz w:val="21"/>
                      <w:szCs w:val="21"/>
                    </w:rPr>
                  </w:pPr>
                  <w:r>
                    <w:rPr>
                      <w:rFonts w:hint="eastAsia"/>
                      <w:snapToGrid w:val="0"/>
                      <w:color w:val="auto"/>
                      <w:kern w:val="0"/>
                      <w:sz w:val="21"/>
                      <w:szCs w:val="21"/>
                    </w:rPr>
                    <w:t>5</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628CC6FE">
                  <w:pPr>
                    <w:widowControl/>
                    <w:snapToGrid w:val="0"/>
                    <w:spacing w:line="320" w:lineRule="exact"/>
                    <w:jc w:val="center"/>
                    <w:rPr>
                      <w:color w:val="auto"/>
                      <w:sz w:val="21"/>
                      <w:szCs w:val="21"/>
                    </w:rPr>
                  </w:pPr>
                  <w:r>
                    <w:rPr>
                      <w:rFonts w:hint="eastAsia"/>
                      <w:color w:val="auto"/>
                      <w:sz w:val="21"/>
                      <w:szCs w:val="21"/>
                    </w:rPr>
                    <w:t>达标</w:t>
                  </w:r>
                </w:p>
              </w:tc>
            </w:tr>
            <w:tr w14:paraId="6E6E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1D57A6E9">
                  <w:pPr>
                    <w:jc w:val="center"/>
                    <w:rPr>
                      <w:color w:val="auto"/>
                      <w:sz w:val="21"/>
                      <w:szCs w:val="21"/>
                    </w:rPr>
                  </w:pPr>
                  <w:r>
                    <w:rPr>
                      <w:color w:val="auto"/>
                      <w:sz w:val="21"/>
                      <w:szCs w:val="21"/>
                    </w:rPr>
                    <w:t>*甲苯</w:t>
                  </w:r>
                </w:p>
              </w:tc>
              <w:tc>
                <w:tcPr>
                  <w:tcW w:w="940" w:type="pct"/>
                  <w:vAlign w:val="center"/>
                </w:tcPr>
                <w:p w14:paraId="428DA8DE">
                  <w:pPr>
                    <w:jc w:val="center"/>
                    <w:rPr>
                      <w:color w:val="auto"/>
                      <w:sz w:val="21"/>
                      <w:szCs w:val="21"/>
                    </w:rPr>
                  </w:pPr>
                  <w:r>
                    <w:rPr>
                      <w:color w:val="auto"/>
                      <w:sz w:val="21"/>
                      <w:szCs w:val="21"/>
                    </w:rPr>
                    <w:t>μg/kg</w:t>
                  </w:r>
                </w:p>
              </w:tc>
              <w:tc>
                <w:tcPr>
                  <w:tcW w:w="961" w:type="pct"/>
                  <w:vAlign w:val="center"/>
                </w:tcPr>
                <w:p w14:paraId="7373B14F">
                  <w:pPr>
                    <w:tabs>
                      <w:tab w:val="left" w:pos="4996"/>
                    </w:tabs>
                    <w:jc w:val="center"/>
                    <w:rPr>
                      <w:color w:val="auto"/>
                      <w:sz w:val="21"/>
                      <w:szCs w:val="21"/>
                    </w:rPr>
                  </w:pPr>
                  <w:r>
                    <w:rPr>
                      <w:bCs/>
                      <w:color w:val="auto"/>
                      <w:sz w:val="21"/>
                      <w:szCs w:val="21"/>
                    </w:rPr>
                    <w:t>1.3</w:t>
                  </w:r>
                  <w:r>
                    <w:rPr>
                      <w:rFonts w:hint="eastAsia"/>
                      <w:bCs/>
                      <w:color w:val="auto"/>
                      <w:sz w:val="21"/>
                      <w:szCs w:val="21"/>
                    </w:rPr>
                    <w:t>L</w:t>
                  </w:r>
                </w:p>
              </w:tc>
              <w:tc>
                <w:tcPr>
                  <w:tcW w:w="796" w:type="pct"/>
                  <w:vAlign w:val="center"/>
                </w:tcPr>
                <w:p w14:paraId="35ADC8A0">
                  <w:pPr>
                    <w:jc w:val="center"/>
                    <w:rPr>
                      <w:color w:val="auto"/>
                      <w:sz w:val="21"/>
                      <w:szCs w:val="21"/>
                    </w:rPr>
                  </w:pPr>
                  <w:r>
                    <w:rPr>
                      <w:rFonts w:hint="eastAsia"/>
                      <w:snapToGrid w:val="0"/>
                      <w:color w:val="auto"/>
                      <w:kern w:val="0"/>
                      <w:sz w:val="21"/>
                      <w:szCs w:val="21"/>
                    </w:rPr>
                    <w:t>1.20</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6</w:t>
                  </w:r>
                </w:p>
              </w:tc>
              <w:tc>
                <w:tcPr>
                  <w:tcW w:w="752" w:type="pct"/>
                  <w:vAlign w:val="center"/>
                </w:tcPr>
                <w:p w14:paraId="670D9E96">
                  <w:pPr>
                    <w:widowControl/>
                    <w:snapToGrid w:val="0"/>
                    <w:spacing w:line="320" w:lineRule="exact"/>
                    <w:jc w:val="center"/>
                    <w:rPr>
                      <w:color w:val="auto"/>
                      <w:sz w:val="21"/>
                      <w:szCs w:val="21"/>
                    </w:rPr>
                  </w:pPr>
                  <w:r>
                    <w:rPr>
                      <w:rFonts w:hint="eastAsia"/>
                      <w:color w:val="auto"/>
                      <w:sz w:val="21"/>
                      <w:szCs w:val="21"/>
                    </w:rPr>
                    <w:t>达标</w:t>
                  </w:r>
                </w:p>
              </w:tc>
            </w:tr>
            <w:tr w14:paraId="53D1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6FF58295">
                  <w:pPr>
                    <w:jc w:val="center"/>
                    <w:rPr>
                      <w:color w:val="auto"/>
                      <w:sz w:val="21"/>
                      <w:szCs w:val="21"/>
                    </w:rPr>
                  </w:pPr>
                  <w:r>
                    <w:rPr>
                      <w:color w:val="auto"/>
                      <w:sz w:val="21"/>
                      <w:szCs w:val="21"/>
                    </w:rPr>
                    <w:t>*1,1,2-三氯乙烷</w:t>
                  </w:r>
                </w:p>
              </w:tc>
              <w:tc>
                <w:tcPr>
                  <w:tcW w:w="940" w:type="pct"/>
                  <w:vAlign w:val="center"/>
                </w:tcPr>
                <w:p w14:paraId="3F2FB2C3">
                  <w:pPr>
                    <w:jc w:val="center"/>
                    <w:rPr>
                      <w:color w:val="auto"/>
                      <w:sz w:val="21"/>
                      <w:szCs w:val="21"/>
                    </w:rPr>
                  </w:pPr>
                  <w:r>
                    <w:rPr>
                      <w:color w:val="auto"/>
                      <w:sz w:val="21"/>
                      <w:szCs w:val="21"/>
                    </w:rPr>
                    <w:t>μg/kg</w:t>
                  </w:r>
                </w:p>
              </w:tc>
              <w:tc>
                <w:tcPr>
                  <w:tcW w:w="961" w:type="pct"/>
                  <w:vAlign w:val="center"/>
                </w:tcPr>
                <w:p w14:paraId="67E50613">
                  <w:pPr>
                    <w:tabs>
                      <w:tab w:val="left" w:pos="4996"/>
                    </w:tabs>
                    <w:jc w:val="center"/>
                    <w:rPr>
                      <w:color w:val="auto"/>
                      <w:sz w:val="21"/>
                      <w:szCs w:val="21"/>
                    </w:rPr>
                  </w:pPr>
                  <w:r>
                    <w:rPr>
                      <w:bCs/>
                      <w:color w:val="auto"/>
                      <w:sz w:val="21"/>
                      <w:szCs w:val="21"/>
                    </w:rPr>
                    <w:t>1.2</w:t>
                  </w:r>
                  <w:r>
                    <w:rPr>
                      <w:rFonts w:hint="eastAsia"/>
                      <w:bCs/>
                      <w:color w:val="auto"/>
                      <w:sz w:val="21"/>
                      <w:szCs w:val="21"/>
                    </w:rPr>
                    <w:t>L</w:t>
                  </w:r>
                </w:p>
              </w:tc>
              <w:tc>
                <w:tcPr>
                  <w:tcW w:w="796" w:type="pct"/>
                  <w:vAlign w:val="center"/>
                </w:tcPr>
                <w:p w14:paraId="0D0D2F0F">
                  <w:pPr>
                    <w:jc w:val="center"/>
                    <w:rPr>
                      <w:color w:val="auto"/>
                      <w:sz w:val="21"/>
                      <w:szCs w:val="21"/>
                    </w:rPr>
                  </w:pPr>
                  <w:r>
                    <w:rPr>
                      <w:rFonts w:hint="eastAsia"/>
                      <w:snapToGrid w:val="0"/>
                      <w:color w:val="auto"/>
                      <w:kern w:val="0"/>
                      <w:sz w:val="21"/>
                      <w:szCs w:val="21"/>
                    </w:rPr>
                    <w:t>2.8</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0ECB6ABE">
                  <w:pPr>
                    <w:widowControl/>
                    <w:snapToGrid w:val="0"/>
                    <w:spacing w:line="320" w:lineRule="exact"/>
                    <w:jc w:val="center"/>
                    <w:rPr>
                      <w:color w:val="auto"/>
                      <w:sz w:val="21"/>
                      <w:szCs w:val="21"/>
                    </w:rPr>
                  </w:pPr>
                  <w:r>
                    <w:rPr>
                      <w:rFonts w:hint="eastAsia"/>
                      <w:color w:val="auto"/>
                      <w:sz w:val="21"/>
                      <w:szCs w:val="21"/>
                    </w:rPr>
                    <w:t>达标</w:t>
                  </w:r>
                </w:p>
              </w:tc>
            </w:tr>
            <w:tr w14:paraId="481A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037449EF">
                  <w:pPr>
                    <w:jc w:val="center"/>
                    <w:rPr>
                      <w:color w:val="auto"/>
                      <w:sz w:val="21"/>
                      <w:szCs w:val="21"/>
                    </w:rPr>
                  </w:pPr>
                  <w:r>
                    <w:rPr>
                      <w:color w:val="auto"/>
                      <w:sz w:val="21"/>
                      <w:szCs w:val="21"/>
                    </w:rPr>
                    <w:t>*四氯乙烯</w:t>
                  </w:r>
                </w:p>
              </w:tc>
              <w:tc>
                <w:tcPr>
                  <w:tcW w:w="940" w:type="pct"/>
                  <w:vAlign w:val="center"/>
                </w:tcPr>
                <w:p w14:paraId="021CB868">
                  <w:pPr>
                    <w:jc w:val="center"/>
                    <w:rPr>
                      <w:color w:val="auto"/>
                      <w:sz w:val="21"/>
                      <w:szCs w:val="21"/>
                    </w:rPr>
                  </w:pPr>
                  <w:r>
                    <w:rPr>
                      <w:color w:val="auto"/>
                      <w:sz w:val="21"/>
                      <w:szCs w:val="21"/>
                    </w:rPr>
                    <w:t>μg/kg</w:t>
                  </w:r>
                </w:p>
              </w:tc>
              <w:tc>
                <w:tcPr>
                  <w:tcW w:w="961" w:type="pct"/>
                  <w:vAlign w:val="center"/>
                </w:tcPr>
                <w:p w14:paraId="1EFCDFDA">
                  <w:pPr>
                    <w:tabs>
                      <w:tab w:val="left" w:pos="4996"/>
                    </w:tabs>
                    <w:jc w:val="center"/>
                    <w:rPr>
                      <w:color w:val="auto"/>
                      <w:sz w:val="21"/>
                      <w:szCs w:val="21"/>
                    </w:rPr>
                  </w:pPr>
                  <w:r>
                    <w:rPr>
                      <w:bCs/>
                      <w:color w:val="auto"/>
                      <w:sz w:val="21"/>
                      <w:szCs w:val="21"/>
                    </w:rPr>
                    <w:t>1.4</w:t>
                  </w:r>
                  <w:r>
                    <w:rPr>
                      <w:rFonts w:hint="eastAsia"/>
                      <w:bCs/>
                      <w:color w:val="auto"/>
                      <w:sz w:val="21"/>
                      <w:szCs w:val="21"/>
                    </w:rPr>
                    <w:t>L</w:t>
                  </w:r>
                </w:p>
              </w:tc>
              <w:tc>
                <w:tcPr>
                  <w:tcW w:w="796" w:type="pct"/>
                  <w:vAlign w:val="center"/>
                </w:tcPr>
                <w:p w14:paraId="2A420DC6">
                  <w:pPr>
                    <w:jc w:val="center"/>
                    <w:rPr>
                      <w:color w:val="auto"/>
                      <w:sz w:val="21"/>
                      <w:szCs w:val="21"/>
                    </w:rPr>
                  </w:pPr>
                  <w:r>
                    <w:rPr>
                      <w:rFonts w:hint="eastAsia"/>
                      <w:snapToGrid w:val="0"/>
                      <w:color w:val="auto"/>
                      <w:kern w:val="0"/>
                      <w:sz w:val="21"/>
                      <w:szCs w:val="21"/>
                    </w:rPr>
                    <w:t>53</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0C4C0FE1">
                  <w:pPr>
                    <w:widowControl/>
                    <w:snapToGrid w:val="0"/>
                    <w:spacing w:line="320" w:lineRule="exact"/>
                    <w:jc w:val="center"/>
                    <w:rPr>
                      <w:color w:val="auto"/>
                      <w:sz w:val="21"/>
                      <w:szCs w:val="21"/>
                    </w:rPr>
                  </w:pPr>
                  <w:r>
                    <w:rPr>
                      <w:rFonts w:hint="eastAsia"/>
                      <w:color w:val="auto"/>
                      <w:sz w:val="21"/>
                      <w:szCs w:val="21"/>
                    </w:rPr>
                    <w:t>达标</w:t>
                  </w:r>
                </w:p>
              </w:tc>
            </w:tr>
            <w:tr w14:paraId="7079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60A21F2E">
                  <w:pPr>
                    <w:jc w:val="center"/>
                    <w:rPr>
                      <w:color w:val="auto"/>
                      <w:sz w:val="21"/>
                      <w:szCs w:val="21"/>
                    </w:rPr>
                  </w:pPr>
                  <w:r>
                    <w:rPr>
                      <w:color w:val="auto"/>
                      <w:sz w:val="21"/>
                      <w:szCs w:val="21"/>
                    </w:rPr>
                    <w:t>*氯苯</w:t>
                  </w:r>
                </w:p>
              </w:tc>
              <w:tc>
                <w:tcPr>
                  <w:tcW w:w="940" w:type="pct"/>
                  <w:vAlign w:val="center"/>
                </w:tcPr>
                <w:p w14:paraId="2B9EA24D">
                  <w:pPr>
                    <w:jc w:val="center"/>
                    <w:rPr>
                      <w:color w:val="auto"/>
                      <w:sz w:val="21"/>
                      <w:szCs w:val="21"/>
                    </w:rPr>
                  </w:pPr>
                  <w:r>
                    <w:rPr>
                      <w:color w:val="auto"/>
                      <w:sz w:val="21"/>
                      <w:szCs w:val="21"/>
                    </w:rPr>
                    <w:t>μg/kg</w:t>
                  </w:r>
                </w:p>
              </w:tc>
              <w:tc>
                <w:tcPr>
                  <w:tcW w:w="961" w:type="pct"/>
                  <w:vAlign w:val="center"/>
                </w:tcPr>
                <w:p w14:paraId="0CF5D848">
                  <w:pPr>
                    <w:tabs>
                      <w:tab w:val="left" w:pos="4996"/>
                    </w:tabs>
                    <w:jc w:val="center"/>
                    <w:rPr>
                      <w:color w:val="auto"/>
                      <w:sz w:val="21"/>
                      <w:szCs w:val="21"/>
                    </w:rPr>
                  </w:pPr>
                  <w:r>
                    <w:rPr>
                      <w:bCs/>
                      <w:color w:val="auto"/>
                      <w:sz w:val="21"/>
                      <w:szCs w:val="21"/>
                    </w:rPr>
                    <w:t>1.2</w:t>
                  </w:r>
                  <w:r>
                    <w:rPr>
                      <w:rFonts w:hint="eastAsia"/>
                      <w:bCs/>
                      <w:color w:val="auto"/>
                      <w:sz w:val="21"/>
                      <w:szCs w:val="21"/>
                    </w:rPr>
                    <w:t>L</w:t>
                  </w:r>
                </w:p>
              </w:tc>
              <w:tc>
                <w:tcPr>
                  <w:tcW w:w="796" w:type="pct"/>
                  <w:vAlign w:val="center"/>
                </w:tcPr>
                <w:p w14:paraId="6B50787F">
                  <w:pPr>
                    <w:jc w:val="center"/>
                    <w:rPr>
                      <w:color w:val="auto"/>
                      <w:sz w:val="21"/>
                      <w:szCs w:val="21"/>
                    </w:rPr>
                  </w:pPr>
                  <w:r>
                    <w:rPr>
                      <w:rFonts w:hint="eastAsia"/>
                      <w:snapToGrid w:val="0"/>
                      <w:color w:val="auto"/>
                      <w:kern w:val="0"/>
                      <w:sz w:val="21"/>
                      <w:szCs w:val="21"/>
                    </w:rPr>
                    <w:t>270</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63A99F02">
                  <w:pPr>
                    <w:widowControl/>
                    <w:snapToGrid w:val="0"/>
                    <w:spacing w:line="320" w:lineRule="exact"/>
                    <w:jc w:val="center"/>
                    <w:rPr>
                      <w:color w:val="auto"/>
                      <w:sz w:val="21"/>
                      <w:szCs w:val="21"/>
                    </w:rPr>
                  </w:pPr>
                  <w:r>
                    <w:rPr>
                      <w:rFonts w:hint="eastAsia"/>
                      <w:color w:val="auto"/>
                      <w:sz w:val="21"/>
                      <w:szCs w:val="21"/>
                    </w:rPr>
                    <w:t>达标</w:t>
                  </w:r>
                </w:p>
              </w:tc>
            </w:tr>
            <w:tr w14:paraId="20D6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3B173F03">
                  <w:pPr>
                    <w:jc w:val="center"/>
                    <w:rPr>
                      <w:color w:val="auto"/>
                      <w:sz w:val="21"/>
                      <w:szCs w:val="21"/>
                    </w:rPr>
                  </w:pPr>
                  <w:r>
                    <w:rPr>
                      <w:color w:val="auto"/>
                      <w:sz w:val="21"/>
                      <w:szCs w:val="21"/>
                    </w:rPr>
                    <w:t>*1,1,1,2-四氯乙烷</w:t>
                  </w:r>
                </w:p>
              </w:tc>
              <w:tc>
                <w:tcPr>
                  <w:tcW w:w="940" w:type="pct"/>
                  <w:vAlign w:val="center"/>
                </w:tcPr>
                <w:p w14:paraId="104F4876">
                  <w:pPr>
                    <w:jc w:val="center"/>
                    <w:rPr>
                      <w:color w:val="auto"/>
                      <w:sz w:val="21"/>
                      <w:szCs w:val="21"/>
                    </w:rPr>
                  </w:pPr>
                  <w:r>
                    <w:rPr>
                      <w:color w:val="auto"/>
                      <w:sz w:val="21"/>
                      <w:szCs w:val="21"/>
                    </w:rPr>
                    <w:t>μg/kg</w:t>
                  </w:r>
                </w:p>
              </w:tc>
              <w:tc>
                <w:tcPr>
                  <w:tcW w:w="961" w:type="pct"/>
                  <w:vAlign w:val="center"/>
                </w:tcPr>
                <w:p w14:paraId="0E1CC406">
                  <w:pPr>
                    <w:tabs>
                      <w:tab w:val="left" w:pos="4996"/>
                    </w:tabs>
                    <w:jc w:val="center"/>
                    <w:rPr>
                      <w:color w:val="auto"/>
                      <w:sz w:val="21"/>
                      <w:szCs w:val="21"/>
                    </w:rPr>
                  </w:pPr>
                  <w:r>
                    <w:rPr>
                      <w:bCs/>
                      <w:color w:val="auto"/>
                      <w:sz w:val="21"/>
                      <w:szCs w:val="21"/>
                    </w:rPr>
                    <w:t>1.2</w:t>
                  </w:r>
                  <w:r>
                    <w:rPr>
                      <w:rFonts w:hint="eastAsia"/>
                      <w:bCs/>
                      <w:color w:val="auto"/>
                      <w:sz w:val="21"/>
                      <w:szCs w:val="21"/>
                    </w:rPr>
                    <w:t>L</w:t>
                  </w:r>
                </w:p>
              </w:tc>
              <w:tc>
                <w:tcPr>
                  <w:tcW w:w="796" w:type="pct"/>
                  <w:vAlign w:val="center"/>
                </w:tcPr>
                <w:p w14:paraId="1AEFDDDF">
                  <w:pPr>
                    <w:jc w:val="center"/>
                    <w:rPr>
                      <w:color w:val="auto"/>
                      <w:sz w:val="21"/>
                      <w:szCs w:val="21"/>
                    </w:rPr>
                  </w:pPr>
                  <w:r>
                    <w:rPr>
                      <w:rFonts w:hint="eastAsia"/>
                      <w:snapToGrid w:val="0"/>
                      <w:color w:val="auto"/>
                      <w:kern w:val="0"/>
                      <w:sz w:val="21"/>
                      <w:szCs w:val="21"/>
                    </w:rPr>
                    <w:t>10</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05E3B3A0">
                  <w:pPr>
                    <w:widowControl/>
                    <w:snapToGrid w:val="0"/>
                    <w:spacing w:line="320" w:lineRule="exact"/>
                    <w:jc w:val="center"/>
                    <w:rPr>
                      <w:color w:val="auto"/>
                      <w:sz w:val="21"/>
                      <w:szCs w:val="21"/>
                    </w:rPr>
                  </w:pPr>
                  <w:r>
                    <w:rPr>
                      <w:rFonts w:hint="eastAsia"/>
                      <w:color w:val="auto"/>
                      <w:sz w:val="21"/>
                      <w:szCs w:val="21"/>
                    </w:rPr>
                    <w:t>达标</w:t>
                  </w:r>
                </w:p>
              </w:tc>
            </w:tr>
            <w:tr w14:paraId="4C4C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32141FA7">
                  <w:pPr>
                    <w:jc w:val="center"/>
                    <w:rPr>
                      <w:color w:val="auto"/>
                      <w:sz w:val="21"/>
                      <w:szCs w:val="21"/>
                    </w:rPr>
                  </w:pPr>
                  <w:r>
                    <w:rPr>
                      <w:color w:val="auto"/>
                      <w:sz w:val="21"/>
                      <w:szCs w:val="21"/>
                    </w:rPr>
                    <w:t>*乙苯</w:t>
                  </w:r>
                </w:p>
              </w:tc>
              <w:tc>
                <w:tcPr>
                  <w:tcW w:w="940" w:type="pct"/>
                  <w:vAlign w:val="center"/>
                </w:tcPr>
                <w:p w14:paraId="63454526">
                  <w:pPr>
                    <w:jc w:val="center"/>
                    <w:rPr>
                      <w:color w:val="auto"/>
                      <w:sz w:val="21"/>
                      <w:szCs w:val="21"/>
                    </w:rPr>
                  </w:pPr>
                  <w:r>
                    <w:rPr>
                      <w:color w:val="auto"/>
                      <w:sz w:val="21"/>
                      <w:szCs w:val="21"/>
                    </w:rPr>
                    <w:t>μg/kg</w:t>
                  </w:r>
                </w:p>
              </w:tc>
              <w:tc>
                <w:tcPr>
                  <w:tcW w:w="961" w:type="pct"/>
                  <w:vAlign w:val="center"/>
                </w:tcPr>
                <w:p w14:paraId="378D1BAA">
                  <w:pPr>
                    <w:tabs>
                      <w:tab w:val="left" w:pos="4996"/>
                    </w:tabs>
                    <w:jc w:val="center"/>
                    <w:rPr>
                      <w:color w:val="auto"/>
                      <w:sz w:val="21"/>
                      <w:szCs w:val="21"/>
                    </w:rPr>
                  </w:pPr>
                  <w:r>
                    <w:rPr>
                      <w:bCs/>
                      <w:color w:val="auto"/>
                      <w:sz w:val="21"/>
                      <w:szCs w:val="21"/>
                    </w:rPr>
                    <w:t>1.2</w:t>
                  </w:r>
                  <w:r>
                    <w:rPr>
                      <w:rFonts w:hint="eastAsia"/>
                      <w:bCs/>
                      <w:color w:val="auto"/>
                      <w:sz w:val="21"/>
                      <w:szCs w:val="21"/>
                    </w:rPr>
                    <w:t>L</w:t>
                  </w:r>
                </w:p>
              </w:tc>
              <w:tc>
                <w:tcPr>
                  <w:tcW w:w="796" w:type="pct"/>
                  <w:vAlign w:val="center"/>
                </w:tcPr>
                <w:p w14:paraId="5CF2622F">
                  <w:pPr>
                    <w:jc w:val="center"/>
                    <w:rPr>
                      <w:color w:val="auto"/>
                      <w:sz w:val="21"/>
                      <w:szCs w:val="21"/>
                    </w:rPr>
                  </w:pPr>
                  <w:r>
                    <w:rPr>
                      <w:rFonts w:hint="eastAsia"/>
                      <w:snapToGrid w:val="0"/>
                      <w:color w:val="auto"/>
                      <w:kern w:val="0"/>
                      <w:sz w:val="21"/>
                      <w:szCs w:val="21"/>
                    </w:rPr>
                    <w:t>28</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7EFAA7A7">
                  <w:pPr>
                    <w:widowControl/>
                    <w:snapToGrid w:val="0"/>
                    <w:spacing w:line="320" w:lineRule="exact"/>
                    <w:jc w:val="center"/>
                    <w:rPr>
                      <w:color w:val="auto"/>
                      <w:sz w:val="21"/>
                      <w:szCs w:val="21"/>
                    </w:rPr>
                  </w:pPr>
                  <w:r>
                    <w:rPr>
                      <w:rFonts w:hint="eastAsia"/>
                      <w:color w:val="auto"/>
                      <w:sz w:val="21"/>
                      <w:szCs w:val="21"/>
                    </w:rPr>
                    <w:t>达标</w:t>
                  </w:r>
                </w:p>
              </w:tc>
            </w:tr>
            <w:tr w14:paraId="6EB4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682CC2BF">
                  <w:pPr>
                    <w:jc w:val="center"/>
                    <w:rPr>
                      <w:color w:val="auto"/>
                      <w:sz w:val="21"/>
                      <w:szCs w:val="21"/>
                    </w:rPr>
                  </w:pPr>
                  <w:r>
                    <w:rPr>
                      <w:color w:val="auto"/>
                      <w:sz w:val="21"/>
                      <w:szCs w:val="21"/>
                    </w:rPr>
                    <w:t>*间，对-二甲苯</w:t>
                  </w:r>
                </w:p>
              </w:tc>
              <w:tc>
                <w:tcPr>
                  <w:tcW w:w="940" w:type="pct"/>
                  <w:vAlign w:val="center"/>
                </w:tcPr>
                <w:p w14:paraId="2A1D2CBE">
                  <w:pPr>
                    <w:jc w:val="center"/>
                    <w:rPr>
                      <w:color w:val="auto"/>
                      <w:sz w:val="21"/>
                      <w:szCs w:val="21"/>
                    </w:rPr>
                  </w:pPr>
                  <w:r>
                    <w:rPr>
                      <w:color w:val="auto"/>
                      <w:sz w:val="21"/>
                      <w:szCs w:val="21"/>
                    </w:rPr>
                    <w:t>μg/kg</w:t>
                  </w:r>
                </w:p>
              </w:tc>
              <w:tc>
                <w:tcPr>
                  <w:tcW w:w="961" w:type="pct"/>
                  <w:vAlign w:val="center"/>
                </w:tcPr>
                <w:p w14:paraId="41677018">
                  <w:pPr>
                    <w:tabs>
                      <w:tab w:val="left" w:pos="4996"/>
                    </w:tabs>
                    <w:jc w:val="center"/>
                    <w:rPr>
                      <w:color w:val="auto"/>
                      <w:sz w:val="21"/>
                      <w:szCs w:val="21"/>
                    </w:rPr>
                  </w:pPr>
                  <w:r>
                    <w:rPr>
                      <w:bCs/>
                      <w:color w:val="auto"/>
                      <w:sz w:val="21"/>
                      <w:szCs w:val="21"/>
                    </w:rPr>
                    <w:t>1.2</w:t>
                  </w:r>
                  <w:r>
                    <w:rPr>
                      <w:rFonts w:hint="eastAsia"/>
                      <w:bCs/>
                      <w:color w:val="auto"/>
                      <w:sz w:val="21"/>
                      <w:szCs w:val="21"/>
                    </w:rPr>
                    <w:t>L</w:t>
                  </w:r>
                </w:p>
              </w:tc>
              <w:tc>
                <w:tcPr>
                  <w:tcW w:w="796" w:type="pct"/>
                  <w:vAlign w:val="center"/>
                </w:tcPr>
                <w:p w14:paraId="010BBB1E">
                  <w:pPr>
                    <w:jc w:val="center"/>
                    <w:rPr>
                      <w:color w:val="auto"/>
                      <w:sz w:val="21"/>
                      <w:szCs w:val="21"/>
                    </w:rPr>
                  </w:pPr>
                  <w:r>
                    <w:rPr>
                      <w:rFonts w:hint="eastAsia"/>
                      <w:snapToGrid w:val="0"/>
                      <w:color w:val="auto"/>
                      <w:kern w:val="0"/>
                      <w:sz w:val="21"/>
                      <w:szCs w:val="21"/>
                    </w:rPr>
                    <w:t>570</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7230FC45">
                  <w:pPr>
                    <w:widowControl/>
                    <w:snapToGrid w:val="0"/>
                    <w:spacing w:line="320" w:lineRule="exact"/>
                    <w:jc w:val="center"/>
                    <w:rPr>
                      <w:color w:val="auto"/>
                      <w:sz w:val="21"/>
                      <w:szCs w:val="21"/>
                    </w:rPr>
                  </w:pPr>
                  <w:r>
                    <w:rPr>
                      <w:rFonts w:hint="eastAsia"/>
                      <w:color w:val="auto"/>
                      <w:sz w:val="21"/>
                      <w:szCs w:val="21"/>
                    </w:rPr>
                    <w:t>达标</w:t>
                  </w:r>
                </w:p>
              </w:tc>
            </w:tr>
            <w:tr w14:paraId="50D15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39E78DDA">
                  <w:pPr>
                    <w:jc w:val="center"/>
                    <w:rPr>
                      <w:snapToGrid w:val="0"/>
                      <w:color w:val="auto"/>
                      <w:sz w:val="21"/>
                      <w:szCs w:val="21"/>
                    </w:rPr>
                  </w:pPr>
                  <w:r>
                    <w:rPr>
                      <w:color w:val="auto"/>
                      <w:sz w:val="21"/>
                      <w:szCs w:val="21"/>
                    </w:rPr>
                    <w:t>*邻二甲苯</w:t>
                  </w:r>
                </w:p>
              </w:tc>
              <w:tc>
                <w:tcPr>
                  <w:tcW w:w="940" w:type="pct"/>
                  <w:vAlign w:val="center"/>
                </w:tcPr>
                <w:p w14:paraId="36C3DE13">
                  <w:pPr>
                    <w:jc w:val="center"/>
                    <w:rPr>
                      <w:snapToGrid w:val="0"/>
                      <w:color w:val="auto"/>
                      <w:kern w:val="0"/>
                      <w:sz w:val="21"/>
                      <w:szCs w:val="21"/>
                    </w:rPr>
                  </w:pPr>
                  <w:r>
                    <w:rPr>
                      <w:color w:val="auto"/>
                      <w:sz w:val="21"/>
                      <w:szCs w:val="21"/>
                    </w:rPr>
                    <w:t>μg/kg</w:t>
                  </w:r>
                </w:p>
              </w:tc>
              <w:tc>
                <w:tcPr>
                  <w:tcW w:w="961" w:type="pct"/>
                  <w:vAlign w:val="center"/>
                </w:tcPr>
                <w:p w14:paraId="4FE4F693">
                  <w:pPr>
                    <w:tabs>
                      <w:tab w:val="left" w:pos="4996"/>
                    </w:tabs>
                    <w:jc w:val="center"/>
                    <w:rPr>
                      <w:color w:val="auto"/>
                      <w:sz w:val="21"/>
                      <w:szCs w:val="21"/>
                    </w:rPr>
                  </w:pPr>
                  <w:r>
                    <w:rPr>
                      <w:bCs/>
                      <w:color w:val="auto"/>
                      <w:sz w:val="21"/>
                      <w:szCs w:val="21"/>
                    </w:rPr>
                    <w:t>1.2</w:t>
                  </w:r>
                  <w:r>
                    <w:rPr>
                      <w:rFonts w:hint="eastAsia"/>
                      <w:bCs/>
                      <w:color w:val="auto"/>
                      <w:sz w:val="21"/>
                      <w:szCs w:val="21"/>
                    </w:rPr>
                    <w:t>L</w:t>
                  </w:r>
                </w:p>
              </w:tc>
              <w:tc>
                <w:tcPr>
                  <w:tcW w:w="796" w:type="pct"/>
                  <w:vAlign w:val="center"/>
                </w:tcPr>
                <w:p w14:paraId="20EF80D1">
                  <w:pPr>
                    <w:jc w:val="center"/>
                    <w:rPr>
                      <w:snapToGrid w:val="0"/>
                      <w:color w:val="auto"/>
                      <w:kern w:val="0"/>
                      <w:sz w:val="21"/>
                      <w:szCs w:val="21"/>
                    </w:rPr>
                  </w:pPr>
                  <w:r>
                    <w:rPr>
                      <w:rFonts w:hint="eastAsia"/>
                      <w:snapToGrid w:val="0"/>
                      <w:color w:val="auto"/>
                      <w:kern w:val="0"/>
                      <w:sz w:val="21"/>
                      <w:szCs w:val="21"/>
                    </w:rPr>
                    <w:t>640</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6AF69DEB">
                  <w:pPr>
                    <w:widowControl/>
                    <w:snapToGrid w:val="0"/>
                    <w:spacing w:line="320" w:lineRule="exact"/>
                    <w:jc w:val="center"/>
                    <w:rPr>
                      <w:color w:val="auto"/>
                      <w:sz w:val="21"/>
                      <w:szCs w:val="21"/>
                    </w:rPr>
                  </w:pPr>
                  <w:r>
                    <w:rPr>
                      <w:rFonts w:hint="eastAsia"/>
                      <w:color w:val="auto"/>
                      <w:sz w:val="21"/>
                      <w:szCs w:val="21"/>
                    </w:rPr>
                    <w:t>达标</w:t>
                  </w:r>
                </w:p>
              </w:tc>
            </w:tr>
            <w:tr w14:paraId="2A87F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49BB3125">
                  <w:pPr>
                    <w:jc w:val="center"/>
                    <w:rPr>
                      <w:snapToGrid w:val="0"/>
                      <w:color w:val="auto"/>
                      <w:sz w:val="21"/>
                      <w:szCs w:val="21"/>
                    </w:rPr>
                  </w:pPr>
                  <w:r>
                    <w:rPr>
                      <w:color w:val="auto"/>
                      <w:sz w:val="21"/>
                      <w:szCs w:val="21"/>
                    </w:rPr>
                    <w:t>*苯乙烯</w:t>
                  </w:r>
                </w:p>
              </w:tc>
              <w:tc>
                <w:tcPr>
                  <w:tcW w:w="940" w:type="pct"/>
                  <w:vAlign w:val="center"/>
                </w:tcPr>
                <w:p w14:paraId="5206018D">
                  <w:pPr>
                    <w:jc w:val="center"/>
                    <w:rPr>
                      <w:snapToGrid w:val="0"/>
                      <w:color w:val="auto"/>
                      <w:kern w:val="0"/>
                      <w:sz w:val="21"/>
                      <w:szCs w:val="21"/>
                    </w:rPr>
                  </w:pPr>
                  <w:r>
                    <w:rPr>
                      <w:color w:val="auto"/>
                      <w:sz w:val="21"/>
                      <w:szCs w:val="21"/>
                    </w:rPr>
                    <w:t>μg/kg</w:t>
                  </w:r>
                </w:p>
              </w:tc>
              <w:tc>
                <w:tcPr>
                  <w:tcW w:w="961" w:type="pct"/>
                  <w:vAlign w:val="center"/>
                </w:tcPr>
                <w:p w14:paraId="50B4B91E">
                  <w:pPr>
                    <w:tabs>
                      <w:tab w:val="left" w:pos="4996"/>
                    </w:tabs>
                    <w:jc w:val="center"/>
                    <w:rPr>
                      <w:color w:val="auto"/>
                      <w:sz w:val="21"/>
                      <w:szCs w:val="21"/>
                    </w:rPr>
                  </w:pPr>
                  <w:r>
                    <w:rPr>
                      <w:bCs/>
                      <w:color w:val="auto"/>
                      <w:sz w:val="21"/>
                      <w:szCs w:val="21"/>
                    </w:rPr>
                    <w:t>1.1</w:t>
                  </w:r>
                  <w:r>
                    <w:rPr>
                      <w:rFonts w:hint="eastAsia"/>
                      <w:bCs/>
                      <w:color w:val="auto"/>
                      <w:sz w:val="21"/>
                      <w:szCs w:val="21"/>
                    </w:rPr>
                    <w:t>L</w:t>
                  </w:r>
                </w:p>
              </w:tc>
              <w:tc>
                <w:tcPr>
                  <w:tcW w:w="796" w:type="pct"/>
                  <w:vAlign w:val="center"/>
                </w:tcPr>
                <w:p w14:paraId="3840008C">
                  <w:pPr>
                    <w:jc w:val="center"/>
                    <w:rPr>
                      <w:snapToGrid w:val="0"/>
                      <w:color w:val="auto"/>
                      <w:kern w:val="0"/>
                      <w:sz w:val="21"/>
                      <w:szCs w:val="21"/>
                    </w:rPr>
                  </w:pPr>
                  <w:r>
                    <w:rPr>
                      <w:rFonts w:hint="eastAsia"/>
                      <w:snapToGrid w:val="0"/>
                      <w:color w:val="auto"/>
                      <w:kern w:val="0"/>
                      <w:sz w:val="21"/>
                      <w:szCs w:val="21"/>
                    </w:rPr>
                    <w:t>1.29</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6</w:t>
                  </w:r>
                </w:p>
              </w:tc>
              <w:tc>
                <w:tcPr>
                  <w:tcW w:w="752" w:type="pct"/>
                  <w:vAlign w:val="center"/>
                </w:tcPr>
                <w:p w14:paraId="2D2A3B50">
                  <w:pPr>
                    <w:widowControl/>
                    <w:snapToGrid w:val="0"/>
                    <w:spacing w:line="320" w:lineRule="exact"/>
                    <w:jc w:val="center"/>
                    <w:rPr>
                      <w:color w:val="auto"/>
                      <w:sz w:val="21"/>
                      <w:szCs w:val="21"/>
                    </w:rPr>
                  </w:pPr>
                  <w:r>
                    <w:rPr>
                      <w:rFonts w:hint="eastAsia"/>
                      <w:color w:val="auto"/>
                      <w:sz w:val="21"/>
                      <w:szCs w:val="21"/>
                    </w:rPr>
                    <w:t>达标</w:t>
                  </w:r>
                </w:p>
              </w:tc>
            </w:tr>
            <w:tr w14:paraId="200F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64A2701A">
                  <w:pPr>
                    <w:jc w:val="center"/>
                    <w:rPr>
                      <w:snapToGrid w:val="0"/>
                      <w:color w:val="auto"/>
                      <w:sz w:val="21"/>
                      <w:szCs w:val="21"/>
                    </w:rPr>
                  </w:pPr>
                  <w:r>
                    <w:rPr>
                      <w:color w:val="auto"/>
                      <w:sz w:val="21"/>
                      <w:szCs w:val="21"/>
                    </w:rPr>
                    <w:t>*1,1,2,2-四氯乙烷</w:t>
                  </w:r>
                </w:p>
              </w:tc>
              <w:tc>
                <w:tcPr>
                  <w:tcW w:w="940" w:type="pct"/>
                  <w:vAlign w:val="center"/>
                </w:tcPr>
                <w:p w14:paraId="256FF2A6">
                  <w:pPr>
                    <w:jc w:val="center"/>
                    <w:rPr>
                      <w:snapToGrid w:val="0"/>
                      <w:color w:val="auto"/>
                      <w:kern w:val="0"/>
                      <w:sz w:val="21"/>
                      <w:szCs w:val="21"/>
                    </w:rPr>
                  </w:pPr>
                  <w:r>
                    <w:rPr>
                      <w:color w:val="auto"/>
                      <w:sz w:val="21"/>
                      <w:szCs w:val="21"/>
                    </w:rPr>
                    <w:t>μg/kg</w:t>
                  </w:r>
                </w:p>
              </w:tc>
              <w:tc>
                <w:tcPr>
                  <w:tcW w:w="961" w:type="pct"/>
                  <w:vAlign w:val="center"/>
                </w:tcPr>
                <w:p w14:paraId="662F148A">
                  <w:pPr>
                    <w:tabs>
                      <w:tab w:val="left" w:pos="4996"/>
                    </w:tabs>
                    <w:jc w:val="center"/>
                    <w:rPr>
                      <w:color w:val="auto"/>
                      <w:sz w:val="21"/>
                      <w:szCs w:val="21"/>
                    </w:rPr>
                  </w:pPr>
                  <w:r>
                    <w:rPr>
                      <w:bCs/>
                      <w:color w:val="auto"/>
                      <w:sz w:val="21"/>
                      <w:szCs w:val="21"/>
                    </w:rPr>
                    <w:t>1.2</w:t>
                  </w:r>
                  <w:r>
                    <w:rPr>
                      <w:rFonts w:hint="eastAsia"/>
                      <w:bCs/>
                      <w:color w:val="auto"/>
                      <w:sz w:val="21"/>
                      <w:szCs w:val="21"/>
                    </w:rPr>
                    <w:t>L</w:t>
                  </w:r>
                </w:p>
              </w:tc>
              <w:tc>
                <w:tcPr>
                  <w:tcW w:w="796" w:type="pct"/>
                  <w:vAlign w:val="center"/>
                </w:tcPr>
                <w:p w14:paraId="203429EB">
                  <w:pPr>
                    <w:jc w:val="center"/>
                    <w:rPr>
                      <w:snapToGrid w:val="0"/>
                      <w:color w:val="auto"/>
                      <w:kern w:val="0"/>
                      <w:sz w:val="21"/>
                      <w:szCs w:val="21"/>
                    </w:rPr>
                  </w:pPr>
                  <w:r>
                    <w:rPr>
                      <w:rFonts w:hint="eastAsia"/>
                      <w:snapToGrid w:val="0"/>
                      <w:color w:val="auto"/>
                      <w:kern w:val="0"/>
                      <w:sz w:val="21"/>
                      <w:szCs w:val="21"/>
                    </w:rPr>
                    <w:t>6.8</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7F08FE85">
                  <w:pPr>
                    <w:widowControl/>
                    <w:snapToGrid w:val="0"/>
                    <w:spacing w:line="320" w:lineRule="exact"/>
                    <w:jc w:val="center"/>
                    <w:rPr>
                      <w:color w:val="auto"/>
                      <w:sz w:val="21"/>
                      <w:szCs w:val="21"/>
                    </w:rPr>
                  </w:pPr>
                  <w:r>
                    <w:rPr>
                      <w:rFonts w:hint="eastAsia"/>
                      <w:color w:val="auto"/>
                      <w:sz w:val="21"/>
                      <w:szCs w:val="21"/>
                    </w:rPr>
                    <w:t>达标</w:t>
                  </w:r>
                </w:p>
              </w:tc>
            </w:tr>
            <w:tr w14:paraId="68AC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295CC6A6">
                  <w:pPr>
                    <w:jc w:val="center"/>
                    <w:rPr>
                      <w:snapToGrid w:val="0"/>
                      <w:color w:val="auto"/>
                      <w:sz w:val="21"/>
                      <w:szCs w:val="21"/>
                    </w:rPr>
                  </w:pPr>
                  <w:r>
                    <w:rPr>
                      <w:color w:val="auto"/>
                      <w:sz w:val="21"/>
                      <w:szCs w:val="21"/>
                    </w:rPr>
                    <w:t>*1,2,3-三氯丙烷</w:t>
                  </w:r>
                </w:p>
              </w:tc>
              <w:tc>
                <w:tcPr>
                  <w:tcW w:w="940" w:type="pct"/>
                  <w:vAlign w:val="center"/>
                </w:tcPr>
                <w:p w14:paraId="0BCDB2E5">
                  <w:pPr>
                    <w:jc w:val="center"/>
                    <w:rPr>
                      <w:snapToGrid w:val="0"/>
                      <w:color w:val="auto"/>
                      <w:kern w:val="0"/>
                      <w:sz w:val="21"/>
                      <w:szCs w:val="21"/>
                    </w:rPr>
                  </w:pPr>
                  <w:r>
                    <w:rPr>
                      <w:color w:val="auto"/>
                      <w:sz w:val="21"/>
                      <w:szCs w:val="21"/>
                    </w:rPr>
                    <w:t>μg/kg</w:t>
                  </w:r>
                </w:p>
              </w:tc>
              <w:tc>
                <w:tcPr>
                  <w:tcW w:w="961" w:type="pct"/>
                  <w:vAlign w:val="center"/>
                </w:tcPr>
                <w:p w14:paraId="7A30FD15">
                  <w:pPr>
                    <w:tabs>
                      <w:tab w:val="left" w:pos="4996"/>
                    </w:tabs>
                    <w:jc w:val="center"/>
                    <w:rPr>
                      <w:color w:val="auto"/>
                      <w:sz w:val="21"/>
                      <w:szCs w:val="21"/>
                    </w:rPr>
                  </w:pPr>
                  <w:r>
                    <w:rPr>
                      <w:bCs/>
                      <w:color w:val="auto"/>
                      <w:sz w:val="21"/>
                      <w:szCs w:val="21"/>
                    </w:rPr>
                    <w:t>1.2</w:t>
                  </w:r>
                  <w:r>
                    <w:rPr>
                      <w:rFonts w:hint="eastAsia"/>
                      <w:bCs/>
                      <w:color w:val="auto"/>
                      <w:sz w:val="21"/>
                      <w:szCs w:val="21"/>
                    </w:rPr>
                    <w:t>L</w:t>
                  </w:r>
                </w:p>
              </w:tc>
              <w:tc>
                <w:tcPr>
                  <w:tcW w:w="796" w:type="pct"/>
                  <w:vAlign w:val="center"/>
                </w:tcPr>
                <w:p w14:paraId="3871AD1F">
                  <w:pPr>
                    <w:jc w:val="center"/>
                    <w:rPr>
                      <w:snapToGrid w:val="0"/>
                      <w:color w:val="auto"/>
                      <w:kern w:val="0"/>
                      <w:sz w:val="21"/>
                      <w:szCs w:val="21"/>
                    </w:rPr>
                  </w:pPr>
                  <w:r>
                    <w:rPr>
                      <w:rFonts w:hint="eastAsia"/>
                      <w:snapToGrid w:val="0"/>
                      <w:color w:val="auto"/>
                      <w:kern w:val="0"/>
                      <w:sz w:val="21"/>
                      <w:szCs w:val="21"/>
                    </w:rPr>
                    <w:t>0.5</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3F31AEC0">
                  <w:pPr>
                    <w:widowControl/>
                    <w:snapToGrid w:val="0"/>
                    <w:spacing w:line="320" w:lineRule="exact"/>
                    <w:jc w:val="center"/>
                    <w:rPr>
                      <w:color w:val="auto"/>
                      <w:sz w:val="21"/>
                      <w:szCs w:val="21"/>
                    </w:rPr>
                  </w:pPr>
                  <w:r>
                    <w:rPr>
                      <w:rFonts w:hint="eastAsia"/>
                      <w:color w:val="auto"/>
                      <w:sz w:val="21"/>
                      <w:szCs w:val="21"/>
                    </w:rPr>
                    <w:t>达标</w:t>
                  </w:r>
                </w:p>
              </w:tc>
            </w:tr>
            <w:tr w14:paraId="522E2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35BF47F6">
                  <w:pPr>
                    <w:jc w:val="center"/>
                    <w:rPr>
                      <w:snapToGrid w:val="0"/>
                      <w:color w:val="auto"/>
                      <w:sz w:val="21"/>
                      <w:szCs w:val="21"/>
                    </w:rPr>
                  </w:pPr>
                  <w:r>
                    <w:rPr>
                      <w:color w:val="auto"/>
                      <w:sz w:val="21"/>
                      <w:szCs w:val="21"/>
                    </w:rPr>
                    <w:t>*1,2-二氯苯</w:t>
                  </w:r>
                </w:p>
              </w:tc>
              <w:tc>
                <w:tcPr>
                  <w:tcW w:w="940" w:type="pct"/>
                  <w:vAlign w:val="center"/>
                </w:tcPr>
                <w:p w14:paraId="1DD34B54">
                  <w:pPr>
                    <w:jc w:val="center"/>
                    <w:rPr>
                      <w:snapToGrid w:val="0"/>
                      <w:color w:val="auto"/>
                      <w:kern w:val="0"/>
                      <w:sz w:val="21"/>
                      <w:szCs w:val="21"/>
                    </w:rPr>
                  </w:pPr>
                  <w:r>
                    <w:rPr>
                      <w:color w:val="auto"/>
                      <w:sz w:val="21"/>
                      <w:szCs w:val="21"/>
                    </w:rPr>
                    <w:t>μg/kg</w:t>
                  </w:r>
                </w:p>
              </w:tc>
              <w:tc>
                <w:tcPr>
                  <w:tcW w:w="961" w:type="pct"/>
                  <w:vAlign w:val="center"/>
                </w:tcPr>
                <w:p w14:paraId="2014E91C">
                  <w:pPr>
                    <w:tabs>
                      <w:tab w:val="left" w:pos="4996"/>
                    </w:tabs>
                    <w:jc w:val="center"/>
                    <w:rPr>
                      <w:color w:val="auto"/>
                      <w:sz w:val="21"/>
                      <w:szCs w:val="21"/>
                    </w:rPr>
                  </w:pPr>
                  <w:r>
                    <w:rPr>
                      <w:bCs/>
                      <w:color w:val="auto"/>
                      <w:sz w:val="21"/>
                      <w:szCs w:val="21"/>
                    </w:rPr>
                    <w:t>1.5</w:t>
                  </w:r>
                  <w:r>
                    <w:rPr>
                      <w:rFonts w:hint="eastAsia"/>
                      <w:bCs/>
                      <w:color w:val="auto"/>
                      <w:sz w:val="21"/>
                      <w:szCs w:val="21"/>
                    </w:rPr>
                    <w:t>L</w:t>
                  </w:r>
                </w:p>
              </w:tc>
              <w:tc>
                <w:tcPr>
                  <w:tcW w:w="796" w:type="pct"/>
                  <w:vAlign w:val="center"/>
                </w:tcPr>
                <w:p w14:paraId="51DB829D">
                  <w:pPr>
                    <w:jc w:val="center"/>
                    <w:rPr>
                      <w:snapToGrid w:val="0"/>
                      <w:color w:val="auto"/>
                      <w:kern w:val="0"/>
                      <w:sz w:val="21"/>
                      <w:szCs w:val="21"/>
                    </w:rPr>
                  </w:pPr>
                  <w:r>
                    <w:rPr>
                      <w:rFonts w:hint="eastAsia"/>
                      <w:snapToGrid w:val="0"/>
                      <w:color w:val="auto"/>
                      <w:kern w:val="0"/>
                      <w:sz w:val="21"/>
                      <w:szCs w:val="21"/>
                    </w:rPr>
                    <w:t>560</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61755CEE">
                  <w:pPr>
                    <w:widowControl/>
                    <w:snapToGrid w:val="0"/>
                    <w:spacing w:line="320" w:lineRule="exact"/>
                    <w:jc w:val="center"/>
                    <w:rPr>
                      <w:color w:val="auto"/>
                      <w:sz w:val="21"/>
                      <w:szCs w:val="21"/>
                    </w:rPr>
                  </w:pPr>
                  <w:r>
                    <w:rPr>
                      <w:rFonts w:hint="eastAsia"/>
                      <w:color w:val="auto"/>
                      <w:sz w:val="21"/>
                      <w:szCs w:val="21"/>
                    </w:rPr>
                    <w:t>达标</w:t>
                  </w:r>
                </w:p>
              </w:tc>
            </w:tr>
            <w:tr w14:paraId="5F499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2A4953FA">
                  <w:pPr>
                    <w:widowControl/>
                    <w:jc w:val="center"/>
                    <w:rPr>
                      <w:snapToGrid w:val="0"/>
                      <w:color w:val="auto"/>
                      <w:sz w:val="21"/>
                      <w:szCs w:val="21"/>
                    </w:rPr>
                  </w:pPr>
                  <w:r>
                    <w:rPr>
                      <w:color w:val="auto"/>
                      <w:sz w:val="21"/>
                      <w:szCs w:val="21"/>
                    </w:rPr>
                    <w:t>*1,4-二氯苯</w:t>
                  </w:r>
                </w:p>
              </w:tc>
              <w:tc>
                <w:tcPr>
                  <w:tcW w:w="940" w:type="pct"/>
                  <w:vAlign w:val="center"/>
                </w:tcPr>
                <w:p w14:paraId="3A72EBD1">
                  <w:pPr>
                    <w:jc w:val="center"/>
                    <w:rPr>
                      <w:snapToGrid w:val="0"/>
                      <w:color w:val="auto"/>
                      <w:kern w:val="0"/>
                      <w:sz w:val="21"/>
                      <w:szCs w:val="21"/>
                    </w:rPr>
                  </w:pPr>
                  <w:r>
                    <w:rPr>
                      <w:color w:val="auto"/>
                      <w:sz w:val="21"/>
                      <w:szCs w:val="21"/>
                    </w:rPr>
                    <w:t>μg/kg</w:t>
                  </w:r>
                </w:p>
              </w:tc>
              <w:tc>
                <w:tcPr>
                  <w:tcW w:w="961" w:type="pct"/>
                  <w:vAlign w:val="center"/>
                </w:tcPr>
                <w:p w14:paraId="53445D97">
                  <w:pPr>
                    <w:tabs>
                      <w:tab w:val="left" w:pos="4996"/>
                    </w:tabs>
                    <w:jc w:val="center"/>
                    <w:rPr>
                      <w:color w:val="auto"/>
                      <w:sz w:val="21"/>
                      <w:szCs w:val="21"/>
                    </w:rPr>
                  </w:pPr>
                  <w:r>
                    <w:rPr>
                      <w:bCs/>
                      <w:color w:val="auto"/>
                      <w:sz w:val="21"/>
                      <w:szCs w:val="21"/>
                    </w:rPr>
                    <w:t>1.5</w:t>
                  </w:r>
                  <w:r>
                    <w:rPr>
                      <w:rFonts w:hint="eastAsia"/>
                      <w:bCs/>
                      <w:color w:val="auto"/>
                      <w:sz w:val="21"/>
                      <w:szCs w:val="21"/>
                    </w:rPr>
                    <w:t>L</w:t>
                  </w:r>
                </w:p>
              </w:tc>
              <w:tc>
                <w:tcPr>
                  <w:tcW w:w="796" w:type="pct"/>
                  <w:vAlign w:val="center"/>
                </w:tcPr>
                <w:p w14:paraId="6BFAC869">
                  <w:pPr>
                    <w:jc w:val="center"/>
                    <w:rPr>
                      <w:snapToGrid w:val="0"/>
                      <w:color w:val="auto"/>
                      <w:kern w:val="0"/>
                      <w:sz w:val="21"/>
                      <w:szCs w:val="21"/>
                    </w:rPr>
                  </w:pPr>
                  <w:r>
                    <w:rPr>
                      <w:rFonts w:hint="eastAsia"/>
                      <w:snapToGrid w:val="0"/>
                      <w:color w:val="auto"/>
                      <w:kern w:val="0"/>
                      <w:sz w:val="21"/>
                      <w:szCs w:val="21"/>
                    </w:rPr>
                    <w:t>20</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3CBB63A1">
                  <w:pPr>
                    <w:widowControl/>
                    <w:snapToGrid w:val="0"/>
                    <w:spacing w:line="320" w:lineRule="exact"/>
                    <w:jc w:val="center"/>
                    <w:rPr>
                      <w:color w:val="auto"/>
                      <w:sz w:val="21"/>
                      <w:szCs w:val="21"/>
                    </w:rPr>
                  </w:pPr>
                  <w:r>
                    <w:rPr>
                      <w:rFonts w:hint="eastAsia"/>
                      <w:color w:val="auto"/>
                      <w:sz w:val="21"/>
                      <w:szCs w:val="21"/>
                    </w:rPr>
                    <w:t>达标</w:t>
                  </w:r>
                </w:p>
              </w:tc>
            </w:tr>
            <w:tr w14:paraId="02454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37244DF7">
                  <w:pPr>
                    <w:jc w:val="center"/>
                    <w:rPr>
                      <w:snapToGrid w:val="0"/>
                      <w:color w:val="auto"/>
                      <w:sz w:val="21"/>
                      <w:szCs w:val="21"/>
                    </w:rPr>
                  </w:pPr>
                  <w:r>
                    <w:rPr>
                      <w:color w:val="auto"/>
                      <w:sz w:val="21"/>
                      <w:szCs w:val="21"/>
                    </w:rPr>
                    <w:t>*氯甲烷</w:t>
                  </w:r>
                </w:p>
              </w:tc>
              <w:tc>
                <w:tcPr>
                  <w:tcW w:w="940" w:type="pct"/>
                  <w:vAlign w:val="center"/>
                </w:tcPr>
                <w:p w14:paraId="4734092B">
                  <w:pPr>
                    <w:jc w:val="center"/>
                    <w:rPr>
                      <w:snapToGrid w:val="0"/>
                      <w:color w:val="auto"/>
                      <w:kern w:val="0"/>
                      <w:sz w:val="21"/>
                      <w:szCs w:val="21"/>
                    </w:rPr>
                  </w:pPr>
                  <w:r>
                    <w:rPr>
                      <w:color w:val="auto"/>
                      <w:sz w:val="21"/>
                      <w:szCs w:val="21"/>
                    </w:rPr>
                    <w:t>μg/kg</w:t>
                  </w:r>
                </w:p>
              </w:tc>
              <w:tc>
                <w:tcPr>
                  <w:tcW w:w="961" w:type="pct"/>
                  <w:vAlign w:val="center"/>
                </w:tcPr>
                <w:p w14:paraId="23306A9D">
                  <w:pPr>
                    <w:tabs>
                      <w:tab w:val="left" w:pos="4996"/>
                    </w:tabs>
                    <w:jc w:val="center"/>
                    <w:rPr>
                      <w:color w:val="auto"/>
                      <w:sz w:val="21"/>
                      <w:szCs w:val="21"/>
                    </w:rPr>
                  </w:pPr>
                  <w:r>
                    <w:rPr>
                      <w:bCs/>
                      <w:color w:val="auto"/>
                      <w:sz w:val="21"/>
                      <w:szCs w:val="21"/>
                    </w:rPr>
                    <w:t>1.0</w:t>
                  </w:r>
                  <w:r>
                    <w:rPr>
                      <w:rFonts w:hint="eastAsia"/>
                      <w:bCs/>
                      <w:color w:val="auto"/>
                      <w:sz w:val="21"/>
                      <w:szCs w:val="21"/>
                    </w:rPr>
                    <w:t>L</w:t>
                  </w:r>
                </w:p>
              </w:tc>
              <w:tc>
                <w:tcPr>
                  <w:tcW w:w="796" w:type="pct"/>
                  <w:vAlign w:val="center"/>
                </w:tcPr>
                <w:p w14:paraId="3AA416CA">
                  <w:pPr>
                    <w:jc w:val="center"/>
                    <w:rPr>
                      <w:snapToGrid w:val="0"/>
                      <w:color w:val="auto"/>
                      <w:kern w:val="0"/>
                      <w:sz w:val="21"/>
                      <w:szCs w:val="21"/>
                    </w:rPr>
                  </w:pPr>
                  <w:r>
                    <w:rPr>
                      <w:rFonts w:hint="eastAsia"/>
                      <w:snapToGrid w:val="0"/>
                      <w:color w:val="auto"/>
                      <w:kern w:val="0"/>
                      <w:sz w:val="21"/>
                      <w:szCs w:val="21"/>
                    </w:rPr>
                    <w:t>37</w:t>
                  </w:r>
                  <w:r>
                    <w:rPr>
                      <w:snapToGrid w:val="0"/>
                      <w:color w:val="auto"/>
                      <w:kern w:val="0"/>
                      <w:sz w:val="21"/>
                      <w:szCs w:val="21"/>
                    </w:rPr>
                    <w:t>×</w:t>
                  </w:r>
                  <w:r>
                    <w:rPr>
                      <w:rFonts w:hint="eastAsia"/>
                      <w:snapToGrid w:val="0"/>
                      <w:color w:val="auto"/>
                      <w:kern w:val="0"/>
                      <w:sz w:val="21"/>
                      <w:szCs w:val="21"/>
                    </w:rPr>
                    <w:t>10</w:t>
                  </w:r>
                  <w:r>
                    <w:rPr>
                      <w:rFonts w:hint="eastAsia"/>
                      <w:snapToGrid w:val="0"/>
                      <w:color w:val="auto"/>
                      <w:kern w:val="0"/>
                      <w:sz w:val="21"/>
                      <w:szCs w:val="21"/>
                      <w:vertAlign w:val="superscript"/>
                    </w:rPr>
                    <w:t>3</w:t>
                  </w:r>
                </w:p>
              </w:tc>
              <w:tc>
                <w:tcPr>
                  <w:tcW w:w="752" w:type="pct"/>
                  <w:vAlign w:val="center"/>
                </w:tcPr>
                <w:p w14:paraId="06C30B64">
                  <w:pPr>
                    <w:widowControl/>
                    <w:snapToGrid w:val="0"/>
                    <w:spacing w:line="320" w:lineRule="exact"/>
                    <w:jc w:val="center"/>
                    <w:rPr>
                      <w:color w:val="auto"/>
                      <w:sz w:val="21"/>
                      <w:szCs w:val="21"/>
                    </w:rPr>
                  </w:pPr>
                  <w:r>
                    <w:rPr>
                      <w:rFonts w:hint="eastAsia"/>
                      <w:color w:val="auto"/>
                      <w:sz w:val="21"/>
                      <w:szCs w:val="21"/>
                    </w:rPr>
                    <w:t>达标</w:t>
                  </w:r>
                </w:p>
              </w:tc>
            </w:tr>
            <w:tr w14:paraId="4A72E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63CAA588">
                  <w:pPr>
                    <w:jc w:val="center"/>
                    <w:rPr>
                      <w:snapToGrid w:val="0"/>
                      <w:color w:val="auto"/>
                      <w:sz w:val="21"/>
                      <w:szCs w:val="21"/>
                    </w:rPr>
                  </w:pPr>
                  <w:r>
                    <w:rPr>
                      <w:color w:val="auto"/>
                      <w:sz w:val="21"/>
                      <w:szCs w:val="21"/>
                    </w:rPr>
                    <w:t>*</w:t>
                  </w:r>
                  <w:r>
                    <w:rPr>
                      <w:bCs/>
                      <w:color w:val="auto"/>
                      <w:sz w:val="21"/>
                      <w:szCs w:val="21"/>
                    </w:rPr>
                    <w:t>2-氯苯酚</w:t>
                  </w:r>
                </w:p>
              </w:tc>
              <w:tc>
                <w:tcPr>
                  <w:tcW w:w="940" w:type="pct"/>
                  <w:vAlign w:val="center"/>
                </w:tcPr>
                <w:p w14:paraId="43E217D6">
                  <w:pPr>
                    <w:jc w:val="center"/>
                    <w:rPr>
                      <w:snapToGrid w:val="0"/>
                      <w:color w:val="auto"/>
                      <w:kern w:val="0"/>
                      <w:sz w:val="21"/>
                      <w:szCs w:val="21"/>
                    </w:rPr>
                  </w:pPr>
                  <w:r>
                    <w:rPr>
                      <w:rFonts w:hint="eastAsia"/>
                      <w:snapToGrid w:val="0"/>
                      <w:color w:val="auto"/>
                      <w:kern w:val="0"/>
                      <w:sz w:val="21"/>
                      <w:szCs w:val="21"/>
                    </w:rPr>
                    <w:t>mg/kg</w:t>
                  </w:r>
                </w:p>
              </w:tc>
              <w:tc>
                <w:tcPr>
                  <w:tcW w:w="961" w:type="pct"/>
                  <w:vAlign w:val="center"/>
                </w:tcPr>
                <w:p w14:paraId="59B2238B">
                  <w:pPr>
                    <w:tabs>
                      <w:tab w:val="left" w:pos="4996"/>
                    </w:tabs>
                    <w:jc w:val="center"/>
                    <w:rPr>
                      <w:color w:val="auto"/>
                      <w:sz w:val="21"/>
                      <w:szCs w:val="21"/>
                    </w:rPr>
                  </w:pPr>
                  <w:r>
                    <w:rPr>
                      <w:bCs/>
                      <w:color w:val="auto"/>
                      <w:sz w:val="21"/>
                      <w:szCs w:val="21"/>
                    </w:rPr>
                    <w:t>0.06</w:t>
                  </w:r>
                  <w:r>
                    <w:rPr>
                      <w:rFonts w:hint="eastAsia"/>
                      <w:bCs/>
                      <w:color w:val="auto"/>
                      <w:sz w:val="21"/>
                      <w:szCs w:val="21"/>
                    </w:rPr>
                    <w:t>L</w:t>
                  </w:r>
                </w:p>
              </w:tc>
              <w:tc>
                <w:tcPr>
                  <w:tcW w:w="796" w:type="pct"/>
                  <w:vAlign w:val="center"/>
                </w:tcPr>
                <w:p w14:paraId="32E37C44">
                  <w:pPr>
                    <w:jc w:val="center"/>
                    <w:rPr>
                      <w:snapToGrid w:val="0"/>
                      <w:color w:val="auto"/>
                      <w:kern w:val="0"/>
                      <w:sz w:val="21"/>
                      <w:szCs w:val="21"/>
                    </w:rPr>
                  </w:pPr>
                  <w:r>
                    <w:rPr>
                      <w:rFonts w:hint="eastAsia"/>
                      <w:snapToGrid w:val="0"/>
                      <w:color w:val="auto"/>
                      <w:kern w:val="0"/>
                      <w:sz w:val="21"/>
                      <w:szCs w:val="21"/>
                    </w:rPr>
                    <w:t>2256</w:t>
                  </w:r>
                </w:p>
              </w:tc>
              <w:tc>
                <w:tcPr>
                  <w:tcW w:w="752" w:type="pct"/>
                  <w:vAlign w:val="center"/>
                </w:tcPr>
                <w:p w14:paraId="1AE90FB4">
                  <w:pPr>
                    <w:widowControl/>
                    <w:snapToGrid w:val="0"/>
                    <w:spacing w:line="320" w:lineRule="exact"/>
                    <w:jc w:val="center"/>
                    <w:rPr>
                      <w:color w:val="auto"/>
                      <w:sz w:val="21"/>
                      <w:szCs w:val="21"/>
                    </w:rPr>
                  </w:pPr>
                  <w:r>
                    <w:rPr>
                      <w:rFonts w:hint="eastAsia"/>
                      <w:color w:val="auto"/>
                      <w:sz w:val="21"/>
                      <w:szCs w:val="21"/>
                    </w:rPr>
                    <w:t>达标</w:t>
                  </w:r>
                </w:p>
              </w:tc>
            </w:tr>
            <w:tr w14:paraId="0B90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679E7F20">
                  <w:pPr>
                    <w:jc w:val="center"/>
                    <w:rPr>
                      <w:snapToGrid w:val="0"/>
                      <w:color w:val="auto"/>
                      <w:sz w:val="21"/>
                      <w:szCs w:val="21"/>
                    </w:rPr>
                  </w:pPr>
                  <w:r>
                    <w:rPr>
                      <w:color w:val="auto"/>
                      <w:sz w:val="21"/>
                      <w:szCs w:val="21"/>
                    </w:rPr>
                    <w:t>*硝基苯</w:t>
                  </w:r>
                </w:p>
              </w:tc>
              <w:tc>
                <w:tcPr>
                  <w:tcW w:w="940" w:type="pct"/>
                  <w:vAlign w:val="center"/>
                </w:tcPr>
                <w:p w14:paraId="273B0E3F">
                  <w:pPr>
                    <w:jc w:val="center"/>
                    <w:rPr>
                      <w:snapToGrid w:val="0"/>
                      <w:color w:val="auto"/>
                      <w:kern w:val="0"/>
                      <w:sz w:val="21"/>
                      <w:szCs w:val="21"/>
                    </w:rPr>
                  </w:pPr>
                  <w:r>
                    <w:rPr>
                      <w:rFonts w:hint="eastAsia"/>
                      <w:snapToGrid w:val="0"/>
                      <w:color w:val="auto"/>
                      <w:kern w:val="0"/>
                      <w:sz w:val="21"/>
                      <w:szCs w:val="21"/>
                    </w:rPr>
                    <w:t>mg/kg</w:t>
                  </w:r>
                </w:p>
              </w:tc>
              <w:tc>
                <w:tcPr>
                  <w:tcW w:w="961" w:type="pct"/>
                  <w:vAlign w:val="center"/>
                </w:tcPr>
                <w:p w14:paraId="73F30AD1">
                  <w:pPr>
                    <w:tabs>
                      <w:tab w:val="left" w:pos="4996"/>
                    </w:tabs>
                    <w:jc w:val="center"/>
                    <w:rPr>
                      <w:color w:val="auto"/>
                      <w:sz w:val="21"/>
                      <w:szCs w:val="21"/>
                    </w:rPr>
                  </w:pPr>
                  <w:r>
                    <w:rPr>
                      <w:bCs/>
                      <w:color w:val="auto"/>
                      <w:sz w:val="21"/>
                      <w:szCs w:val="21"/>
                    </w:rPr>
                    <w:t>0.09</w:t>
                  </w:r>
                  <w:r>
                    <w:rPr>
                      <w:rFonts w:hint="eastAsia"/>
                      <w:bCs/>
                      <w:color w:val="auto"/>
                      <w:sz w:val="21"/>
                      <w:szCs w:val="21"/>
                    </w:rPr>
                    <w:t>L</w:t>
                  </w:r>
                </w:p>
              </w:tc>
              <w:tc>
                <w:tcPr>
                  <w:tcW w:w="796" w:type="pct"/>
                  <w:vAlign w:val="center"/>
                </w:tcPr>
                <w:p w14:paraId="58DE466A">
                  <w:pPr>
                    <w:jc w:val="center"/>
                    <w:rPr>
                      <w:snapToGrid w:val="0"/>
                      <w:color w:val="auto"/>
                      <w:kern w:val="0"/>
                      <w:sz w:val="21"/>
                      <w:szCs w:val="21"/>
                    </w:rPr>
                  </w:pPr>
                  <w:r>
                    <w:rPr>
                      <w:rFonts w:hint="eastAsia"/>
                      <w:snapToGrid w:val="0"/>
                      <w:color w:val="auto"/>
                      <w:kern w:val="0"/>
                      <w:sz w:val="21"/>
                      <w:szCs w:val="21"/>
                    </w:rPr>
                    <w:t>76</w:t>
                  </w:r>
                </w:p>
              </w:tc>
              <w:tc>
                <w:tcPr>
                  <w:tcW w:w="752" w:type="pct"/>
                  <w:vAlign w:val="center"/>
                </w:tcPr>
                <w:p w14:paraId="312FC5D8">
                  <w:pPr>
                    <w:widowControl/>
                    <w:snapToGrid w:val="0"/>
                    <w:spacing w:line="320" w:lineRule="exact"/>
                    <w:jc w:val="center"/>
                    <w:rPr>
                      <w:color w:val="auto"/>
                      <w:sz w:val="21"/>
                      <w:szCs w:val="21"/>
                    </w:rPr>
                  </w:pPr>
                  <w:r>
                    <w:rPr>
                      <w:rFonts w:hint="eastAsia"/>
                      <w:color w:val="auto"/>
                      <w:sz w:val="21"/>
                      <w:szCs w:val="21"/>
                    </w:rPr>
                    <w:t>达标</w:t>
                  </w:r>
                </w:p>
              </w:tc>
            </w:tr>
            <w:tr w14:paraId="2468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4F01F473">
                  <w:pPr>
                    <w:jc w:val="center"/>
                    <w:rPr>
                      <w:snapToGrid w:val="0"/>
                      <w:color w:val="auto"/>
                      <w:sz w:val="21"/>
                      <w:szCs w:val="21"/>
                    </w:rPr>
                  </w:pPr>
                  <w:r>
                    <w:rPr>
                      <w:color w:val="auto"/>
                      <w:sz w:val="21"/>
                      <w:szCs w:val="21"/>
                    </w:rPr>
                    <w:t>*萘</w:t>
                  </w:r>
                </w:p>
              </w:tc>
              <w:tc>
                <w:tcPr>
                  <w:tcW w:w="940" w:type="pct"/>
                  <w:vAlign w:val="center"/>
                </w:tcPr>
                <w:p w14:paraId="5527AF9F">
                  <w:pPr>
                    <w:jc w:val="center"/>
                    <w:rPr>
                      <w:snapToGrid w:val="0"/>
                      <w:color w:val="auto"/>
                      <w:kern w:val="0"/>
                      <w:sz w:val="21"/>
                      <w:szCs w:val="21"/>
                    </w:rPr>
                  </w:pPr>
                  <w:r>
                    <w:rPr>
                      <w:rFonts w:hint="eastAsia"/>
                      <w:snapToGrid w:val="0"/>
                      <w:color w:val="auto"/>
                      <w:kern w:val="0"/>
                      <w:sz w:val="21"/>
                      <w:szCs w:val="21"/>
                    </w:rPr>
                    <w:t>mg/kg</w:t>
                  </w:r>
                </w:p>
              </w:tc>
              <w:tc>
                <w:tcPr>
                  <w:tcW w:w="961" w:type="pct"/>
                  <w:vAlign w:val="center"/>
                </w:tcPr>
                <w:p w14:paraId="7F15576A">
                  <w:pPr>
                    <w:tabs>
                      <w:tab w:val="left" w:pos="4996"/>
                    </w:tabs>
                    <w:jc w:val="center"/>
                    <w:rPr>
                      <w:color w:val="auto"/>
                      <w:sz w:val="21"/>
                      <w:szCs w:val="21"/>
                    </w:rPr>
                  </w:pPr>
                  <w:r>
                    <w:rPr>
                      <w:bCs/>
                      <w:color w:val="auto"/>
                      <w:sz w:val="21"/>
                      <w:szCs w:val="21"/>
                    </w:rPr>
                    <w:t>0.09</w:t>
                  </w:r>
                  <w:r>
                    <w:rPr>
                      <w:rFonts w:hint="eastAsia"/>
                      <w:bCs/>
                      <w:color w:val="auto"/>
                      <w:sz w:val="21"/>
                      <w:szCs w:val="21"/>
                    </w:rPr>
                    <w:t>L</w:t>
                  </w:r>
                </w:p>
              </w:tc>
              <w:tc>
                <w:tcPr>
                  <w:tcW w:w="796" w:type="pct"/>
                  <w:vAlign w:val="center"/>
                </w:tcPr>
                <w:p w14:paraId="3B5CA043">
                  <w:pPr>
                    <w:jc w:val="center"/>
                    <w:rPr>
                      <w:snapToGrid w:val="0"/>
                      <w:color w:val="auto"/>
                      <w:kern w:val="0"/>
                      <w:sz w:val="21"/>
                      <w:szCs w:val="21"/>
                    </w:rPr>
                  </w:pPr>
                  <w:r>
                    <w:rPr>
                      <w:rFonts w:hint="eastAsia"/>
                      <w:color w:val="auto"/>
                      <w:sz w:val="21"/>
                      <w:szCs w:val="21"/>
                    </w:rPr>
                    <w:t>70</w:t>
                  </w:r>
                </w:p>
              </w:tc>
              <w:tc>
                <w:tcPr>
                  <w:tcW w:w="752" w:type="pct"/>
                  <w:vAlign w:val="center"/>
                </w:tcPr>
                <w:p w14:paraId="738F4853">
                  <w:pPr>
                    <w:widowControl/>
                    <w:snapToGrid w:val="0"/>
                    <w:spacing w:line="320" w:lineRule="exact"/>
                    <w:jc w:val="center"/>
                    <w:rPr>
                      <w:color w:val="auto"/>
                      <w:sz w:val="21"/>
                      <w:szCs w:val="21"/>
                    </w:rPr>
                  </w:pPr>
                  <w:r>
                    <w:rPr>
                      <w:rFonts w:hint="eastAsia"/>
                      <w:color w:val="auto"/>
                      <w:sz w:val="21"/>
                      <w:szCs w:val="21"/>
                    </w:rPr>
                    <w:t>达标</w:t>
                  </w:r>
                </w:p>
              </w:tc>
            </w:tr>
            <w:tr w14:paraId="7FDA3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155F6E07">
                  <w:pPr>
                    <w:jc w:val="center"/>
                    <w:rPr>
                      <w:snapToGrid w:val="0"/>
                      <w:color w:val="auto"/>
                      <w:sz w:val="21"/>
                      <w:szCs w:val="21"/>
                    </w:rPr>
                  </w:pPr>
                  <w:r>
                    <w:rPr>
                      <w:color w:val="auto"/>
                      <w:sz w:val="21"/>
                      <w:szCs w:val="21"/>
                    </w:rPr>
                    <w:t>*苯并[a]蒽</w:t>
                  </w:r>
                </w:p>
              </w:tc>
              <w:tc>
                <w:tcPr>
                  <w:tcW w:w="940" w:type="pct"/>
                  <w:vAlign w:val="center"/>
                </w:tcPr>
                <w:p w14:paraId="135753E1">
                  <w:pPr>
                    <w:jc w:val="center"/>
                    <w:rPr>
                      <w:snapToGrid w:val="0"/>
                      <w:color w:val="auto"/>
                      <w:kern w:val="0"/>
                      <w:sz w:val="21"/>
                      <w:szCs w:val="21"/>
                    </w:rPr>
                  </w:pPr>
                  <w:r>
                    <w:rPr>
                      <w:rFonts w:hint="eastAsia"/>
                      <w:snapToGrid w:val="0"/>
                      <w:color w:val="auto"/>
                      <w:kern w:val="0"/>
                      <w:sz w:val="21"/>
                      <w:szCs w:val="21"/>
                    </w:rPr>
                    <w:t>mg/kg</w:t>
                  </w:r>
                </w:p>
              </w:tc>
              <w:tc>
                <w:tcPr>
                  <w:tcW w:w="961" w:type="pct"/>
                  <w:vAlign w:val="center"/>
                </w:tcPr>
                <w:p w14:paraId="67DD9FAD">
                  <w:pPr>
                    <w:tabs>
                      <w:tab w:val="left" w:pos="4996"/>
                    </w:tabs>
                    <w:jc w:val="center"/>
                    <w:rPr>
                      <w:color w:val="auto"/>
                      <w:sz w:val="21"/>
                      <w:szCs w:val="21"/>
                    </w:rPr>
                  </w:pPr>
                  <w:r>
                    <w:rPr>
                      <w:bCs/>
                      <w:color w:val="auto"/>
                      <w:sz w:val="21"/>
                      <w:szCs w:val="21"/>
                    </w:rPr>
                    <w:t>0.1</w:t>
                  </w:r>
                  <w:r>
                    <w:rPr>
                      <w:rFonts w:hint="eastAsia"/>
                      <w:bCs/>
                      <w:color w:val="auto"/>
                      <w:sz w:val="21"/>
                      <w:szCs w:val="21"/>
                    </w:rPr>
                    <w:t>L</w:t>
                  </w:r>
                </w:p>
              </w:tc>
              <w:tc>
                <w:tcPr>
                  <w:tcW w:w="796" w:type="pct"/>
                  <w:vAlign w:val="center"/>
                </w:tcPr>
                <w:p w14:paraId="4F254EAB">
                  <w:pPr>
                    <w:jc w:val="center"/>
                    <w:rPr>
                      <w:snapToGrid w:val="0"/>
                      <w:color w:val="auto"/>
                      <w:kern w:val="0"/>
                      <w:sz w:val="21"/>
                      <w:szCs w:val="21"/>
                    </w:rPr>
                  </w:pPr>
                  <w:r>
                    <w:rPr>
                      <w:rFonts w:hint="eastAsia"/>
                      <w:snapToGrid w:val="0"/>
                      <w:color w:val="auto"/>
                      <w:kern w:val="0"/>
                      <w:sz w:val="21"/>
                      <w:szCs w:val="21"/>
                    </w:rPr>
                    <w:t>15</w:t>
                  </w:r>
                </w:p>
              </w:tc>
              <w:tc>
                <w:tcPr>
                  <w:tcW w:w="752" w:type="pct"/>
                  <w:vAlign w:val="center"/>
                </w:tcPr>
                <w:p w14:paraId="05C8EC83">
                  <w:pPr>
                    <w:widowControl/>
                    <w:snapToGrid w:val="0"/>
                    <w:spacing w:line="320" w:lineRule="exact"/>
                    <w:jc w:val="center"/>
                    <w:rPr>
                      <w:color w:val="auto"/>
                      <w:sz w:val="21"/>
                      <w:szCs w:val="21"/>
                    </w:rPr>
                  </w:pPr>
                  <w:r>
                    <w:rPr>
                      <w:rFonts w:hint="eastAsia"/>
                      <w:color w:val="auto"/>
                      <w:sz w:val="21"/>
                      <w:szCs w:val="21"/>
                    </w:rPr>
                    <w:t>达标</w:t>
                  </w:r>
                </w:p>
              </w:tc>
            </w:tr>
            <w:tr w14:paraId="784E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48DDB95E">
                  <w:pPr>
                    <w:jc w:val="center"/>
                    <w:rPr>
                      <w:snapToGrid w:val="0"/>
                      <w:color w:val="auto"/>
                      <w:sz w:val="21"/>
                      <w:szCs w:val="21"/>
                    </w:rPr>
                  </w:pPr>
                  <w:r>
                    <w:rPr>
                      <w:color w:val="auto"/>
                      <w:sz w:val="21"/>
                      <w:szCs w:val="21"/>
                    </w:rPr>
                    <w:t>*䓛</w:t>
                  </w:r>
                </w:p>
              </w:tc>
              <w:tc>
                <w:tcPr>
                  <w:tcW w:w="940" w:type="pct"/>
                  <w:vAlign w:val="center"/>
                </w:tcPr>
                <w:p w14:paraId="3952CD1E">
                  <w:pPr>
                    <w:jc w:val="center"/>
                    <w:rPr>
                      <w:snapToGrid w:val="0"/>
                      <w:color w:val="auto"/>
                      <w:kern w:val="0"/>
                      <w:sz w:val="21"/>
                      <w:szCs w:val="21"/>
                    </w:rPr>
                  </w:pPr>
                  <w:r>
                    <w:rPr>
                      <w:rFonts w:hint="eastAsia"/>
                      <w:snapToGrid w:val="0"/>
                      <w:color w:val="auto"/>
                      <w:kern w:val="0"/>
                      <w:sz w:val="21"/>
                      <w:szCs w:val="21"/>
                    </w:rPr>
                    <w:t>mg/kg</w:t>
                  </w:r>
                </w:p>
              </w:tc>
              <w:tc>
                <w:tcPr>
                  <w:tcW w:w="961" w:type="pct"/>
                  <w:vAlign w:val="center"/>
                </w:tcPr>
                <w:p w14:paraId="1A242118">
                  <w:pPr>
                    <w:tabs>
                      <w:tab w:val="left" w:pos="4996"/>
                    </w:tabs>
                    <w:jc w:val="center"/>
                    <w:rPr>
                      <w:color w:val="auto"/>
                      <w:sz w:val="21"/>
                      <w:szCs w:val="21"/>
                    </w:rPr>
                  </w:pPr>
                  <w:r>
                    <w:rPr>
                      <w:bCs/>
                      <w:color w:val="auto"/>
                      <w:sz w:val="21"/>
                      <w:szCs w:val="21"/>
                    </w:rPr>
                    <w:t>0.1</w:t>
                  </w:r>
                  <w:r>
                    <w:rPr>
                      <w:rFonts w:hint="eastAsia"/>
                      <w:bCs/>
                      <w:color w:val="auto"/>
                      <w:sz w:val="21"/>
                      <w:szCs w:val="21"/>
                    </w:rPr>
                    <w:t>L</w:t>
                  </w:r>
                </w:p>
              </w:tc>
              <w:tc>
                <w:tcPr>
                  <w:tcW w:w="796" w:type="pct"/>
                  <w:vAlign w:val="center"/>
                </w:tcPr>
                <w:p w14:paraId="18EC9EDB">
                  <w:pPr>
                    <w:jc w:val="center"/>
                    <w:rPr>
                      <w:snapToGrid w:val="0"/>
                      <w:color w:val="auto"/>
                      <w:kern w:val="0"/>
                      <w:sz w:val="21"/>
                      <w:szCs w:val="21"/>
                    </w:rPr>
                  </w:pPr>
                  <w:r>
                    <w:rPr>
                      <w:rFonts w:hint="eastAsia"/>
                      <w:snapToGrid w:val="0"/>
                      <w:color w:val="auto"/>
                      <w:kern w:val="0"/>
                      <w:sz w:val="21"/>
                      <w:szCs w:val="21"/>
                    </w:rPr>
                    <w:t>1293</w:t>
                  </w:r>
                </w:p>
              </w:tc>
              <w:tc>
                <w:tcPr>
                  <w:tcW w:w="752" w:type="pct"/>
                  <w:vAlign w:val="center"/>
                </w:tcPr>
                <w:p w14:paraId="4165E471">
                  <w:pPr>
                    <w:widowControl/>
                    <w:snapToGrid w:val="0"/>
                    <w:spacing w:line="320" w:lineRule="exact"/>
                    <w:jc w:val="center"/>
                    <w:rPr>
                      <w:color w:val="auto"/>
                      <w:sz w:val="21"/>
                      <w:szCs w:val="21"/>
                    </w:rPr>
                  </w:pPr>
                  <w:r>
                    <w:rPr>
                      <w:rFonts w:hint="eastAsia"/>
                      <w:color w:val="auto"/>
                      <w:sz w:val="21"/>
                      <w:szCs w:val="21"/>
                    </w:rPr>
                    <w:t>达标</w:t>
                  </w:r>
                </w:p>
              </w:tc>
            </w:tr>
            <w:tr w14:paraId="10A7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3705F618">
                  <w:pPr>
                    <w:jc w:val="center"/>
                    <w:rPr>
                      <w:snapToGrid w:val="0"/>
                      <w:color w:val="auto"/>
                      <w:sz w:val="21"/>
                      <w:szCs w:val="21"/>
                    </w:rPr>
                  </w:pPr>
                  <w:r>
                    <w:rPr>
                      <w:color w:val="auto"/>
                      <w:sz w:val="21"/>
                      <w:szCs w:val="21"/>
                    </w:rPr>
                    <w:t>*苯并[b]荧蒽</w:t>
                  </w:r>
                </w:p>
              </w:tc>
              <w:tc>
                <w:tcPr>
                  <w:tcW w:w="940" w:type="pct"/>
                  <w:vAlign w:val="center"/>
                </w:tcPr>
                <w:p w14:paraId="4FE9C234">
                  <w:pPr>
                    <w:jc w:val="center"/>
                    <w:rPr>
                      <w:snapToGrid w:val="0"/>
                      <w:color w:val="auto"/>
                      <w:kern w:val="0"/>
                      <w:sz w:val="21"/>
                      <w:szCs w:val="21"/>
                    </w:rPr>
                  </w:pPr>
                  <w:r>
                    <w:rPr>
                      <w:rFonts w:hint="eastAsia"/>
                      <w:snapToGrid w:val="0"/>
                      <w:color w:val="auto"/>
                      <w:kern w:val="0"/>
                      <w:sz w:val="21"/>
                      <w:szCs w:val="21"/>
                    </w:rPr>
                    <w:t>mg/kg</w:t>
                  </w:r>
                </w:p>
              </w:tc>
              <w:tc>
                <w:tcPr>
                  <w:tcW w:w="961" w:type="pct"/>
                  <w:vAlign w:val="center"/>
                </w:tcPr>
                <w:p w14:paraId="4F87C010">
                  <w:pPr>
                    <w:tabs>
                      <w:tab w:val="left" w:pos="4996"/>
                    </w:tabs>
                    <w:jc w:val="center"/>
                    <w:rPr>
                      <w:color w:val="auto"/>
                      <w:sz w:val="21"/>
                      <w:szCs w:val="21"/>
                    </w:rPr>
                  </w:pPr>
                  <w:r>
                    <w:rPr>
                      <w:bCs/>
                      <w:color w:val="auto"/>
                      <w:sz w:val="21"/>
                      <w:szCs w:val="21"/>
                    </w:rPr>
                    <w:t>0.2</w:t>
                  </w:r>
                  <w:r>
                    <w:rPr>
                      <w:rFonts w:hint="eastAsia"/>
                      <w:bCs/>
                      <w:color w:val="auto"/>
                      <w:sz w:val="21"/>
                      <w:szCs w:val="21"/>
                    </w:rPr>
                    <w:t>L</w:t>
                  </w:r>
                </w:p>
              </w:tc>
              <w:tc>
                <w:tcPr>
                  <w:tcW w:w="796" w:type="pct"/>
                  <w:vAlign w:val="center"/>
                </w:tcPr>
                <w:p w14:paraId="122F13EA">
                  <w:pPr>
                    <w:jc w:val="center"/>
                    <w:rPr>
                      <w:snapToGrid w:val="0"/>
                      <w:color w:val="auto"/>
                      <w:kern w:val="0"/>
                      <w:sz w:val="21"/>
                      <w:szCs w:val="21"/>
                    </w:rPr>
                  </w:pPr>
                  <w:r>
                    <w:rPr>
                      <w:rFonts w:hint="eastAsia"/>
                      <w:snapToGrid w:val="0"/>
                      <w:color w:val="auto"/>
                      <w:kern w:val="0"/>
                      <w:sz w:val="21"/>
                      <w:szCs w:val="21"/>
                    </w:rPr>
                    <w:t>15</w:t>
                  </w:r>
                </w:p>
              </w:tc>
              <w:tc>
                <w:tcPr>
                  <w:tcW w:w="752" w:type="pct"/>
                  <w:vAlign w:val="center"/>
                </w:tcPr>
                <w:p w14:paraId="09885805">
                  <w:pPr>
                    <w:widowControl/>
                    <w:snapToGrid w:val="0"/>
                    <w:spacing w:line="320" w:lineRule="exact"/>
                    <w:jc w:val="center"/>
                    <w:rPr>
                      <w:color w:val="auto"/>
                      <w:sz w:val="21"/>
                      <w:szCs w:val="21"/>
                    </w:rPr>
                  </w:pPr>
                  <w:r>
                    <w:rPr>
                      <w:rFonts w:hint="eastAsia"/>
                      <w:color w:val="auto"/>
                      <w:sz w:val="21"/>
                      <w:szCs w:val="21"/>
                    </w:rPr>
                    <w:t>达标</w:t>
                  </w:r>
                </w:p>
              </w:tc>
            </w:tr>
            <w:tr w14:paraId="7B178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779133B4">
                  <w:pPr>
                    <w:jc w:val="center"/>
                    <w:rPr>
                      <w:snapToGrid w:val="0"/>
                      <w:color w:val="auto"/>
                      <w:sz w:val="21"/>
                      <w:szCs w:val="21"/>
                    </w:rPr>
                  </w:pPr>
                  <w:r>
                    <w:rPr>
                      <w:color w:val="auto"/>
                      <w:sz w:val="21"/>
                      <w:szCs w:val="21"/>
                    </w:rPr>
                    <w:t>*苯并[k]荧蒽</w:t>
                  </w:r>
                </w:p>
              </w:tc>
              <w:tc>
                <w:tcPr>
                  <w:tcW w:w="940" w:type="pct"/>
                  <w:vAlign w:val="center"/>
                </w:tcPr>
                <w:p w14:paraId="27A7C68A">
                  <w:pPr>
                    <w:jc w:val="center"/>
                    <w:rPr>
                      <w:snapToGrid w:val="0"/>
                      <w:color w:val="auto"/>
                      <w:kern w:val="0"/>
                      <w:sz w:val="21"/>
                      <w:szCs w:val="21"/>
                    </w:rPr>
                  </w:pPr>
                  <w:r>
                    <w:rPr>
                      <w:rFonts w:hint="eastAsia"/>
                      <w:snapToGrid w:val="0"/>
                      <w:color w:val="auto"/>
                      <w:kern w:val="0"/>
                      <w:sz w:val="21"/>
                      <w:szCs w:val="21"/>
                    </w:rPr>
                    <w:t>mg/kg</w:t>
                  </w:r>
                </w:p>
              </w:tc>
              <w:tc>
                <w:tcPr>
                  <w:tcW w:w="961" w:type="pct"/>
                  <w:vAlign w:val="center"/>
                </w:tcPr>
                <w:p w14:paraId="6217C7BF">
                  <w:pPr>
                    <w:tabs>
                      <w:tab w:val="left" w:pos="4996"/>
                    </w:tabs>
                    <w:jc w:val="center"/>
                    <w:rPr>
                      <w:color w:val="auto"/>
                      <w:sz w:val="21"/>
                      <w:szCs w:val="21"/>
                    </w:rPr>
                  </w:pPr>
                  <w:r>
                    <w:rPr>
                      <w:bCs/>
                      <w:color w:val="auto"/>
                      <w:sz w:val="21"/>
                      <w:szCs w:val="21"/>
                    </w:rPr>
                    <w:t>0.1</w:t>
                  </w:r>
                  <w:r>
                    <w:rPr>
                      <w:rFonts w:hint="eastAsia"/>
                      <w:bCs/>
                      <w:color w:val="auto"/>
                      <w:sz w:val="21"/>
                      <w:szCs w:val="21"/>
                    </w:rPr>
                    <w:t>L</w:t>
                  </w:r>
                </w:p>
              </w:tc>
              <w:tc>
                <w:tcPr>
                  <w:tcW w:w="796" w:type="pct"/>
                  <w:vAlign w:val="center"/>
                </w:tcPr>
                <w:p w14:paraId="6BF0ABBB">
                  <w:pPr>
                    <w:jc w:val="center"/>
                    <w:rPr>
                      <w:snapToGrid w:val="0"/>
                      <w:color w:val="auto"/>
                      <w:kern w:val="0"/>
                      <w:sz w:val="21"/>
                      <w:szCs w:val="21"/>
                    </w:rPr>
                  </w:pPr>
                  <w:r>
                    <w:rPr>
                      <w:rFonts w:hint="eastAsia"/>
                      <w:snapToGrid w:val="0"/>
                      <w:color w:val="auto"/>
                      <w:kern w:val="0"/>
                      <w:sz w:val="21"/>
                      <w:szCs w:val="21"/>
                    </w:rPr>
                    <w:t>151</w:t>
                  </w:r>
                </w:p>
              </w:tc>
              <w:tc>
                <w:tcPr>
                  <w:tcW w:w="752" w:type="pct"/>
                  <w:vAlign w:val="center"/>
                </w:tcPr>
                <w:p w14:paraId="6A3314BE">
                  <w:pPr>
                    <w:widowControl/>
                    <w:snapToGrid w:val="0"/>
                    <w:spacing w:line="320" w:lineRule="exact"/>
                    <w:jc w:val="center"/>
                    <w:rPr>
                      <w:color w:val="auto"/>
                      <w:sz w:val="21"/>
                      <w:szCs w:val="21"/>
                    </w:rPr>
                  </w:pPr>
                  <w:r>
                    <w:rPr>
                      <w:rFonts w:hint="eastAsia"/>
                      <w:color w:val="auto"/>
                      <w:sz w:val="21"/>
                      <w:szCs w:val="21"/>
                    </w:rPr>
                    <w:t>达标</w:t>
                  </w:r>
                </w:p>
              </w:tc>
            </w:tr>
            <w:tr w14:paraId="7410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4F7AECB1">
                  <w:pPr>
                    <w:jc w:val="center"/>
                    <w:rPr>
                      <w:snapToGrid w:val="0"/>
                      <w:color w:val="auto"/>
                      <w:sz w:val="21"/>
                      <w:szCs w:val="21"/>
                    </w:rPr>
                  </w:pPr>
                  <w:r>
                    <w:rPr>
                      <w:color w:val="auto"/>
                      <w:sz w:val="21"/>
                      <w:szCs w:val="21"/>
                    </w:rPr>
                    <w:t>*苯并[a]芘</w:t>
                  </w:r>
                </w:p>
              </w:tc>
              <w:tc>
                <w:tcPr>
                  <w:tcW w:w="940" w:type="pct"/>
                  <w:vAlign w:val="center"/>
                </w:tcPr>
                <w:p w14:paraId="2F53F8C4">
                  <w:pPr>
                    <w:jc w:val="center"/>
                    <w:rPr>
                      <w:snapToGrid w:val="0"/>
                      <w:color w:val="auto"/>
                      <w:kern w:val="0"/>
                      <w:sz w:val="21"/>
                      <w:szCs w:val="21"/>
                    </w:rPr>
                  </w:pPr>
                  <w:r>
                    <w:rPr>
                      <w:rFonts w:hint="eastAsia"/>
                      <w:snapToGrid w:val="0"/>
                      <w:color w:val="auto"/>
                      <w:kern w:val="0"/>
                      <w:sz w:val="21"/>
                      <w:szCs w:val="21"/>
                    </w:rPr>
                    <w:t>mg/kg</w:t>
                  </w:r>
                </w:p>
              </w:tc>
              <w:tc>
                <w:tcPr>
                  <w:tcW w:w="961" w:type="pct"/>
                  <w:vAlign w:val="center"/>
                </w:tcPr>
                <w:p w14:paraId="56154C4C">
                  <w:pPr>
                    <w:tabs>
                      <w:tab w:val="left" w:pos="4996"/>
                    </w:tabs>
                    <w:jc w:val="center"/>
                    <w:rPr>
                      <w:color w:val="auto"/>
                      <w:sz w:val="21"/>
                      <w:szCs w:val="21"/>
                    </w:rPr>
                  </w:pPr>
                  <w:r>
                    <w:rPr>
                      <w:bCs/>
                      <w:color w:val="auto"/>
                      <w:sz w:val="21"/>
                      <w:szCs w:val="21"/>
                    </w:rPr>
                    <w:t>0.1</w:t>
                  </w:r>
                  <w:r>
                    <w:rPr>
                      <w:rFonts w:hint="eastAsia"/>
                      <w:bCs/>
                      <w:color w:val="auto"/>
                      <w:sz w:val="21"/>
                      <w:szCs w:val="21"/>
                    </w:rPr>
                    <w:t>L</w:t>
                  </w:r>
                </w:p>
              </w:tc>
              <w:tc>
                <w:tcPr>
                  <w:tcW w:w="796" w:type="pct"/>
                  <w:vAlign w:val="center"/>
                </w:tcPr>
                <w:p w14:paraId="336C856D">
                  <w:pPr>
                    <w:jc w:val="center"/>
                    <w:rPr>
                      <w:snapToGrid w:val="0"/>
                      <w:color w:val="auto"/>
                      <w:kern w:val="0"/>
                      <w:sz w:val="21"/>
                      <w:szCs w:val="21"/>
                    </w:rPr>
                  </w:pPr>
                  <w:r>
                    <w:rPr>
                      <w:rFonts w:hint="eastAsia"/>
                      <w:snapToGrid w:val="0"/>
                      <w:color w:val="auto"/>
                      <w:kern w:val="0"/>
                      <w:sz w:val="21"/>
                      <w:szCs w:val="21"/>
                    </w:rPr>
                    <w:t>1.5</w:t>
                  </w:r>
                </w:p>
              </w:tc>
              <w:tc>
                <w:tcPr>
                  <w:tcW w:w="752" w:type="pct"/>
                  <w:vAlign w:val="center"/>
                </w:tcPr>
                <w:p w14:paraId="022089EB">
                  <w:pPr>
                    <w:widowControl/>
                    <w:snapToGrid w:val="0"/>
                    <w:spacing w:line="320" w:lineRule="exact"/>
                    <w:jc w:val="center"/>
                    <w:rPr>
                      <w:color w:val="auto"/>
                      <w:sz w:val="21"/>
                      <w:szCs w:val="21"/>
                    </w:rPr>
                  </w:pPr>
                  <w:r>
                    <w:rPr>
                      <w:rFonts w:hint="eastAsia"/>
                      <w:color w:val="auto"/>
                      <w:sz w:val="21"/>
                      <w:szCs w:val="21"/>
                    </w:rPr>
                    <w:t>达标</w:t>
                  </w:r>
                </w:p>
              </w:tc>
            </w:tr>
            <w:tr w14:paraId="66C3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0D0EFC86">
                  <w:pPr>
                    <w:jc w:val="center"/>
                    <w:rPr>
                      <w:snapToGrid w:val="0"/>
                      <w:color w:val="auto"/>
                      <w:sz w:val="21"/>
                      <w:szCs w:val="21"/>
                    </w:rPr>
                  </w:pPr>
                  <w:r>
                    <w:rPr>
                      <w:color w:val="auto"/>
                      <w:sz w:val="21"/>
                      <w:szCs w:val="21"/>
                    </w:rPr>
                    <w:t>*茚并[1,2,3-cd]芘</w:t>
                  </w:r>
                </w:p>
              </w:tc>
              <w:tc>
                <w:tcPr>
                  <w:tcW w:w="940" w:type="pct"/>
                  <w:vAlign w:val="center"/>
                </w:tcPr>
                <w:p w14:paraId="0F96AE5C">
                  <w:pPr>
                    <w:jc w:val="center"/>
                    <w:rPr>
                      <w:snapToGrid w:val="0"/>
                      <w:color w:val="auto"/>
                      <w:kern w:val="0"/>
                      <w:sz w:val="21"/>
                      <w:szCs w:val="21"/>
                    </w:rPr>
                  </w:pPr>
                  <w:r>
                    <w:rPr>
                      <w:rFonts w:hint="eastAsia"/>
                      <w:snapToGrid w:val="0"/>
                      <w:color w:val="auto"/>
                      <w:kern w:val="0"/>
                      <w:sz w:val="21"/>
                      <w:szCs w:val="21"/>
                    </w:rPr>
                    <w:t>mg/kg</w:t>
                  </w:r>
                </w:p>
              </w:tc>
              <w:tc>
                <w:tcPr>
                  <w:tcW w:w="961" w:type="pct"/>
                  <w:vAlign w:val="center"/>
                </w:tcPr>
                <w:p w14:paraId="5EB740B9">
                  <w:pPr>
                    <w:tabs>
                      <w:tab w:val="left" w:pos="4996"/>
                    </w:tabs>
                    <w:jc w:val="center"/>
                    <w:rPr>
                      <w:color w:val="auto"/>
                      <w:sz w:val="21"/>
                      <w:szCs w:val="21"/>
                    </w:rPr>
                  </w:pPr>
                  <w:r>
                    <w:rPr>
                      <w:bCs/>
                      <w:color w:val="auto"/>
                      <w:sz w:val="21"/>
                      <w:szCs w:val="21"/>
                    </w:rPr>
                    <w:t>0.1</w:t>
                  </w:r>
                  <w:r>
                    <w:rPr>
                      <w:rFonts w:hint="eastAsia"/>
                      <w:bCs/>
                      <w:color w:val="auto"/>
                      <w:sz w:val="21"/>
                      <w:szCs w:val="21"/>
                    </w:rPr>
                    <w:t>L</w:t>
                  </w:r>
                </w:p>
              </w:tc>
              <w:tc>
                <w:tcPr>
                  <w:tcW w:w="796" w:type="pct"/>
                  <w:vAlign w:val="center"/>
                </w:tcPr>
                <w:p w14:paraId="74B8F4A0">
                  <w:pPr>
                    <w:jc w:val="center"/>
                    <w:rPr>
                      <w:snapToGrid w:val="0"/>
                      <w:color w:val="auto"/>
                      <w:kern w:val="0"/>
                      <w:sz w:val="21"/>
                      <w:szCs w:val="21"/>
                    </w:rPr>
                  </w:pPr>
                  <w:r>
                    <w:rPr>
                      <w:rFonts w:hint="eastAsia"/>
                      <w:color w:val="auto"/>
                      <w:sz w:val="21"/>
                      <w:szCs w:val="21"/>
                    </w:rPr>
                    <w:t>15</w:t>
                  </w:r>
                </w:p>
              </w:tc>
              <w:tc>
                <w:tcPr>
                  <w:tcW w:w="752" w:type="pct"/>
                  <w:vAlign w:val="center"/>
                </w:tcPr>
                <w:p w14:paraId="142FC4AF">
                  <w:pPr>
                    <w:widowControl/>
                    <w:snapToGrid w:val="0"/>
                    <w:spacing w:line="320" w:lineRule="exact"/>
                    <w:jc w:val="center"/>
                    <w:rPr>
                      <w:color w:val="auto"/>
                      <w:sz w:val="21"/>
                      <w:szCs w:val="21"/>
                    </w:rPr>
                  </w:pPr>
                  <w:r>
                    <w:rPr>
                      <w:rFonts w:hint="eastAsia"/>
                      <w:color w:val="auto"/>
                      <w:sz w:val="21"/>
                      <w:szCs w:val="21"/>
                    </w:rPr>
                    <w:t>达标</w:t>
                  </w:r>
                </w:p>
              </w:tc>
            </w:tr>
            <w:tr w14:paraId="18C03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5DC80750">
                  <w:pPr>
                    <w:jc w:val="center"/>
                    <w:rPr>
                      <w:snapToGrid w:val="0"/>
                      <w:color w:val="auto"/>
                      <w:sz w:val="21"/>
                      <w:szCs w:val="21"/>
                    </w:rPr>
                  </w:pPr>
                  <w:r>
                    <w:rPr>
                      <w:color w:val="auto"/>
                      <w:sz w:val="21"/>
                      <w:szCs w:val="21"/>
                    </w:rPr>
                    <w:t>*二苯并[a,h]蒽</w:t>
                  </w:r>
                </w:p>
              </w:tc>
              <w:tc>
                <w:tcPr>
                  <w:tcW w:w="940" w:type="pct"/>
                  <w:vAlign w:val="center"/>
                </w:tcPr>
                <w:p w14:paraId="7C9E07DC">
                  <w:pPr>
                    <w:jc w:val="center"/>
                    <w:rPr>
                      <w:snapToGrid w:val="0"/>
                      <w:color w:val="auto"/>
                      <w:kern w:val="0"/>
                      <w:sz w:val="21"/>
                      <w:szCs w:val="21"/>
                    </w:rPr>
                  </w:pPr>
                  <w:r>
                    <w:rPr>
                      <w:rFonts w:hint="eastAsia"/>
                      <w:snapToGrid w:val="0"/>
                      <w:color w:val="auto"/>
                      <w:kern w:val="0"/>
                      <w:sz w:val="21"/>
                      <w:szCs w:val="21"/>
                    </w:rPr>
                    <w:t>mg/kg</w:t>
                  </w:r>
                </w:p>
              </w:tc>
              <w:tc>
                <w:tcPr>
                  <w:tcW w:w="961" w:type="pct"/>
                  <w:vAlign w:val="center"/>
                </w:tcPr>
                <w:p w14:paraId="6EC3CA89">
                  <w:pPr>
                    <w:tabs>
                      <w:tab w:val="left" w:pos="4996"/>
                    </w:tabs>
                    <w:jc w:val="center"/>
                    <w:rPr>
                      <w:color w:val="auto"/>
                      <w:sz w:val="21"/>
                      <w:szCs w:val="21"/>
                    </w:rPr>
                  </w:pPr>
                  <w:r>
                    <w:rPr>
                      <w:bCs/>
                      <w:color w:val="auto"/>
                      <w:sz w:val="21"/>
                      <w:szCs w:val="21"/>
                    </w:rPr>
                    <w:t>0.1</w:t>
                  </w:r>
                  <w:r>
                    <w:rPr>
                      <w:rFonts w:hint="eastAsia"/>
                      <w:bCs/>
                      <w:color w:val="auto"/>
                      <w:sz w:val="21"/>
                      <w:szCs w:val="21"/>
                    </w:rPr>
                    <w:t>L</w:t>
                  </w:r>
                </w:p>
              </w:tc>
              <w:tc>
                <w:tcPr>
                  <w:tcW w:w="796" w:type="pct"/>
                  <w:vAlign w:val="center"/>
                </w:tcPr>
                <w:p w14:paraId="4FE52AB5">
                  <w:pPr>
                    <w:jc w:val="center"/>
                    <w:rPr>
                      <w:snapToGrid w:val="0"/>
                      <w:color w:val="auto"/>
                      <w:kern w:val="0"/>
                      <w:sz w:val="21"/>
                      <w:szCs w:val="21"/>
                    </w:rPr>
                  </w:pPr>
                  <w:r>
                    <w:rPr>
                      <w:rFonts w:hint="eastAsia"/>
                      <w:snapToGrid w:val="0"/>
                      <w:color w:val="auto"/>
                      <w:kern w:val="0"/>
                      <w:sz w:val="21"/>
                      <w:szCs w:val="21"/>
                    </w:rPr>
                    <w:t>1.5</w:t>
                  </w:r>
                </w:p>
              </w:tc>
              <w:tc>
                <w:tcPr>
                  <w:tcW w:w="752" w:type="pct"/>
                  <w:vAlign w:val="center"/>
                </w:tcPr>
                <w:p w14:paraId="0F2B8B0B">
                  <w:pPr>
                    <w:widowControl/>
                    <w:snapToGrid w:val="0"/>
                    <w:spacing w:line="320" w:lineRule="exact"/>
                    <w:jc w:val="center"/>
                    <w:rPr>
                      <w:color w:val="auto"/>
                      <w:sz w:val="21"/>
                      <w:szCs w:val="21"/>
                    </w:rPr>
                  </w:pPr>
                  <w:r>
                    <w:rPr>
                      <w:rFonts w:hint="eastAsia"/>
                      <w:color w:val="auto"/>
                      <w:sz w:val="21"/>
                      <w:szCs w:val="21"/>
                    </w:rPr>
                    <w:t>达标</w:t>
                  </w:r>
                </w:p>
              </w:tc>
            </w:tr>
            <w:tr w14:paraId="5983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1BABFCE5">
                  <w:pPr>
                    <w:jc w:val="center"/>
                    <w:rPr>
                      <w:snapToGrid w:val="0"/>
                      <w:color w:val="auto"/>
                      <w:sz w:val="21"/>
                      <w:szCs w:val="21"/>
                    </w:rPr>
                  </w:pPr>
                  <w:r>
                    <w:rPr>
                      <w:rFonts w:hint="eastAsia"/>
                      <w:bCs/>
                      <w:color w:val="auto"/>
                      <w:sz w:val="21"/>
                      <w:szCs w:val="21"/>
                    </w:rPr>
                    <w:t>*2-硝基苯胺</w:t>
                  </w:r>
                </w:p>
              </w:tc>
              <w:tc>
                <w:tcPr>
                  <w:tcW w:w="940" w:type="pct"/>
                  <w:vAlign w:val="center"/>
                </w:tcPr>
                <w:p w14:paraId="12EEFAE1">
                  <w:pPr>
                    <w:jc w:val="center"/>
                    <w:rPr>
                      <w:snapToGrid w:val="0"/>
                      <w:color w:val="auto"/>
                      <w:kern w:val="0"/>
                      <w:sz w:val="21"/>
                      <w:szCs w:val="21"/>
                    </w:rPr>
                  </w:pPr>
                  <w:r>
                    <w:rPr>
                      <w:rFonts w:hint="eastAsia"/>
                      <w:snapToGrid w:val="0"/>
                      <w:color w:val="auto"/>
                      <w:kern w:val="0"/>
                      <w:sz w:val="21"/>
                      <w:szCs w:val="21"/>
                    </w:rPr>
                    <w:t>mg/kg</w:t>
                  </w:r>
                </w:p>
              </w:tc>
              <w:tc>
                <w:tcPr>
                  <w:tcW w:w="961" w:type="pct"/>
                  <w:vAlign w:val="center"/>
                </w:tcPr>
                <w:p w14:paraId="33454E6C">
                  <w:pPr>
                    <w:jc w:val="center"/>
                    <w:rPr>
                      <w:color w:val="auto"/>
                      <w:sz w:val="21"/>
                      <w:szCs w:val="21"/>
                    </w:rPr>
                  </w:pPr>
                  <w:r>
                    <w:rPr>
                      <w:bCs/>
                      <w:color w:val="auto"/>
                      <w:sz w:val="21"/>
                      <w:szCs w:val="21"/>
                    </w:rPr>
                    <w:t>0.08</w:t>
                  </w:r>
                  <w:r>
                    <w:rPr>
                      <w:rFonts w:hint="eastAsia"/>
                      <w:bCs/>
                      <w:color w:val="auto"/>
                      <w:sz w:val="21"/>
                      <w:szCs w:val="21"/>
                    </w:rPr>
                    <w:t>L</w:t>
                  </w:r>
                </w:p>
              </w:tc>
              <w:tc>
                <w:tcPr>
                  <w:tcW w:w="796" w:type="pct"/>
                  <w:vAlign w:val="center"/>
                </w:tcPr>
                <w:p w14:paraId="1056AEF0">
                  <w:pPr>
                    <w:jc w:val="center"/>
                    <w:rPr>
                      <w:snapToGrid w:val="0"/>
                      <w:color w:val="auto"/>
                      <w:kern w:val="0"/>
                      <w:sz w:val="21"/>
                      <w:szCs w:val="21"/>
                    </w:rPr>
                  </w:pPr>
                  <w:r>
                    <w:rPr>
                      <w:rFonts w:hint="eastAsia" w:ascii="宋体" w:hAnsi="宋体" w:cs="宋体"/>
                      <w:snapToGrid w:val="0"/>
                      <w:color w:val="auto"/>
                      <w:kern w:val="0"/>
                      <w:sz w:val="21"/>
                      <w:szCs w:val="21"/>
                    </w:rPr>
                    <w:t>-</w:t>
                  </w:r>
                </w:p>
              </w:tc>
              <w:tc>
                <w:tcPr>
                  <w:tcW w:w="752" w:type="pct"/>
                  <w:vAlign w:val="center"/>
                </w:tcPr>
                <w:p w14:paraId="451E8337">
                  <w:pPr>
                    <w:widowControl/>
                    <w:snapToGrid w:val="0"/>
                    <w:spacing w:line="320" w:lineRule="exact"/>
                    <w:jc w:val="center"/>
                    <w:rPr>
                      <w:color w:val="auto"/>
                      <w:sz w:val="21"/>
                      <w:szCs w:val="21"/>
                    </w:rPr>
                  </w:pPr>
                  <w:r>
                    <w:rPr>
                      <w:rFonts w:hint="eastAsia"/>
                      <w:color w:val="auto"/>
                      <w:sz w:val="21"/>
                      <w:szCs w:val="21"/>
                    </w:rPr>
                    <w:t>达标</w:t>
                  </w:r>
                </w:p>
              </w:tc>
            </w:tr>
            <w:tr w14:paraId="1321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vAlign w:val="center"/>
                </w:tcPr>
                <w:p w14:paraId="30532CB2">
                  <w:pPr>
                    <w:widowControl/>
                    <w:jc w:val="center"/>
                    <w:textAlignment w:val="center"/>
                    <w:rPr>
                      <w:snapToGrid w:val="0"/>
                      <w:color w:val="auto"/>
                      <w:sz w:val="21"/>
                      <w:szCs w:val="21"/>
                    </w:rPr>
                  </w:pPr>
                  <w:r>
                    <w:rPr>
                      <w:rFonts w:hint="eastAsia"/>
                      <w:bCs/>
                      <w:color w:val="auto"/>
                      <w:sz w:val="21"/>
                      <w:szCs w:val="21"/>
                    </w:rPr>
                    <w:t>石油烃（C</w:t>
                  </w:r>
                  <w:r>
                    <w:rPr>
                      <w:rFonts w:hint="eastAsia"/>
                      <w:bCs/>
                      <w:color w:val="auto"/>
                      <w:sz w:val="21"/>
                      <w:szCs w:val="21"/>
                      <w:vertAlign w:val="subscript"/>
                    </w:rPr>
                    <w:t>10</w:t>
                  </w:r>
                  <w:r>
                    <w:rPr>
                      <w:rFonts w:hint="eastAsia"/>
                      <w:bCs/>
                      <w:color w:val="auto"/>
                      <w:sz w:val="21"/>
                      <w:szCs w:val="21"/>
                    </w:rPr>
                    <w:t>-C</w:t>
                  </w:r>
                  <w:r>
                    <w:rPr>
                      <w:rFonts w:hint="eastAsia"/>
                      <w:bCs/>
                      <w:color w:val="auto"/>
                      <w:sz w:val="21"/>
                      <w:szCs w:val="21"/>
                      <w:vertAlign w:val="subscript"/>
                    </w:rPr>
                    <w:t>40</w:t>
                  </w:r>
                  <w:r>
                    <w:rPr>
                      <w:rFonts w:hint="eastAsia"/>
                      <w:bCs/>
                      <w:color w:val="auto"/>
                      <w:sz w:val="21"/>
                      <w:szCs w:val="21"/>
                    </w:rPr>
                    <w:t>）</w:t>
                  </w:r>
                </w:p>
              </w:tc>
              <w:tc>
                <w:tcPr>
                  <w:tcW w:w="940" w:type="pct"/>
                  <w:vAlign w:val="center"/>
                </w:tcPr>
                <w:p w14:paraId="29FCD0DB">
                  <w:pPr>
                    <w:jc w:val="center"/>
                    <w:rPr>
                      <w:snapToGrid w:val="0"/>
                      <w:color w:val="auto"/>
                      <w:kern w:val="0"/>
                      <w:sz w:val="21"/>
                      <w:szCs w:val="21"/>
                    </w:rPr>
                  </w:pPr>
                  <w:r>
                    <w:rPr>
                      <w:rFonts w:hint="eastAsia"/>
                      <w:snapToGrid w:val="0"/>
                      <w:color w:val="auto"/>
                      <w:kern w:val="0"/>
                      <w:sz w:val="21"/>
                      <w:szCs w:val="21"/>
                    </w:rPr>
                    <w:t>mg/kg</w:t>
                  </w:r>
                </w:p>
              </w:tc>
              <w:tc>
                <w:tcPr>
                  <w:tcW w:w="961" w:type="pct"/>
                  <w:vAlign w:val="center"/>
                </w:tcPr>
                <w:p w14:paraId="7B71D88D">
                  <w:pPr>
                    <w:jc w:val="center"/>
                    <w:rPr>
                      <w:color w:val="auto"/>
                      <w:sz w:val="21"/>
                      <w:szCs w:val="21"/>
                    </w:rPr>
                  </w:pPr>
                  <w:r>
                    <w:rPr>
                      <w:rFonts w:hint="eastAsia"/>
                      <w:bCs/>
                      <w:color w:val="auto"/>
                      <w:sz w:val="21"/>
                      <w:szCs w:val="21"/>
                    </w:rPr>
                    <w:t>6L</w:t>
                  </w:r>
                </w:p>
              </w:tc>
              <w:tc>
                <w:tcPr>
                  <w:tcW w:w="796" w:type="pct"/>
                  <w:vAlign w:val="center"/>
                </w:tcPr>
                <w:p w14:paraId="657C6CA0">
                  <w:pPr>
                    <w:jc w:val="center"/>
                    <w:rPr>
                      <w:snapToGrid w:val="0"/>
                      <w:color w:val="auto"/>
                      <w:kern w:val="0"/>
                      <w:sz w:val="21"/>
                      <w:szCs w:val="21"/>
                    </w:rPr>
                  </w:pPr>
                  <w:r>
                    <w:rPr>
                      <w:rFonts w:hint="eastAsia"/>
                      <w:snapToGrid w:val="0"/>
                      <w:color w:val="auto"/>
                      <w:kern w:val="0"/>
                      <w:sz w:val="21"/>
                      <w:szCs w:val="21"/>
                    </w:rPr>
                    <w:t>4500</w:t>
                  </w:r>
                </w:p>
              </w:tc>
              <w:tc>
                <w:tcPr>
                  <w:tcW w:w="752" w:type="pct"/>
                  <w:vAlign w:val="center"/>
                </w:tcPr>
                <w:p w14:paraId="02C62C85">
                  <w:pPr>
                    <w:widowControl/>
                    <w:snapToGrid w:val="0"/>
                    <w:spacing w:line="320" w:lineRule="exact"/>
                    <w:jc w:val="center"/>
                    <w:rPr>
                      <w:color w:val="auto"/>
                      <w:sz w:val="21"/>
                      <w:szCs w:val="21"/>
                    </w:rPr>
                  </w:pPr>
                  <w:r>
                    <w:rPr>
                      <w:rFonts w:hint="eastAsia"/>
                      <w:color w:val="auto"/>
                      <w:sz w:val="21"/>
                      <w:szCs w:val="21"/>
                    </w:rPr>
                    <w:t>达标</w:t>
                  </w:r>
                </w:p>
              </w:tc>
            </w:tr>
          </w:tbl>
          <w:p w14:paraId="02F5AC7A">
            <w:pPr>
              <w:pStyle w:val="24"/>
              <w:spacing w:after="0" w:line="500" w:lineRule="exact"/>
              <w:ind w:left="0" w:leftChars="0" w:firstLine="480" w:firstLineChars="200"/>
              <w:rPr>
                <w:color w:val="auto"/>
              </w:rPr>
            </w:pPr>
            <w:r>
              <w:rPr>
                <w:rFonts w:hint="eastAsia"/>
                <w:color w:val="auto"/>
              </w:rPr>
              <w:t>根据土壤现状监测结果可知，各监测因子均满足《土壤质量标准 建设用地土壤污染风险管控标准（试行）》（GB36600-2018）第二类用地的风险筛选值，土壤环境质量现状较好。</w:t>
            </w:r>
          </w:p>
        </w:tc>
      </w:tr>
      <w:tr w14:paraId="186A24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23" w:hRule="atLeast"/>
          <w:jc w:val="center"/>
        </w:trPr>
        <w:tc>
          <w:tcPr>
            <w:tcW w:w="454" w:type="dxa"/>
            <w:vAlign w:val="center"/>
          </w:tcPr>
          <w:p w14:paraId="4F018F1E">
            <w:pPr>
              <w:adjustRightInd w:val="0"/>
              <w:snapToGrid w:val="0"/>
              <w:jc w:val="center"/>
              <w:rPr>
                <w:color w:val="auto"/>
                <w:kern w:val="0"/>
              </w:rPr>
            </w:pPr>
            <w:r>
              <w:rPr>
                <w:color w:val="auto"/>
                <w:kern w:val="0"/>
              </w:rPr>
              <w:t>环境</w:t>
            </w:r>
          </w:p>
          <w:p w14:paraId="7E46E371">
            <w:pPr>
              <w:adjustRightInd w:val="0"/>
              <w:snapToGrid w:val="0"/>
              <w:jc w:val="center"/>
              <w:rPr>
                <w:color w:val="auto"/>
                <w:kern w:val="0"/>
              </w:rPr>
            </w:pPr>
            <w:r>
              <w:rPr>
                <w:color w:val="auto"/>
                <w:kern w:val="0"/>
              </w:rPr>
              <w:t>保护</w:t>
            </w:r>
          </w:p>
          <w:p w14:paraId="4CC3BBE0">
            <w:pPr>
              <w:adjustRightInd w:val="0"/>
              <w:snapToGrid w:val="0"/>
              <w:jc w:val="center"/>
              <w:rPr>
                <w:color w:val="auto"/>
                <w:kern w:val="0"/>
              </w:rPr>
            </w:pPr>
            <w:r>
              <w:rPr>
                <w:color w:val="auto"/>
                <w:kern w:val="0"/>
              </w:rPr>
              <w:t>目标</w:t>
            </w:r>
          </w:p>
        </w:tc>
        <w:tc>
          <w:tcPr>
            <w:tcW w:w="8682" w:type="dxa"/>
            <w:vAlign w:val="center"/>
          </w:tcPr>
          <w:p w14:paraId="035D10FB">
            <w:pPr>
              <w:adjustRightInd w:val="0"/>
              <w:snapToGrid w:val="0"/>
              <w:spacing w:line="500" w:lineRule="exact"/>
              <w:ind w:firstLine="482" w:firstLineChars="200"/>
              <w:jc w:val="left"/>
              <w:rPr>
                <w:b/>
                <w:bCs/>
                <w:color w:val="auto"/>
              </w:rPr>
            </w:pPr>
            <w:r>
              <w:rPr>
                <w:rFonts w:hint="eastAsia"/>
                <w:b/>
                <w:bCs/>
                <w:color w:val="auto"/>
              </w:rPr>
              <w:t>主要</w:t>
            </w:r>
            <w:r>
              <w:rPr>
                <w:b/>
                <w:bCs/>
                <w:color w:val="auto"/>
              </w:rPr>
              <w:t>环境保护目标</w:t>
            </w:r>
          </w:p>
          <w:p w14:paraId="35DC9130">
            <w:pPr>
              <w:pStyle w:val="24"/>
              <w:spacing w:after="0" w:line="500" w:lineRule="exact"/>
              <w:ind w:left="0" w:leftChars="0" w:firstLine="480" w:firstLineChars="200"/>
              <w:rPr>
                <w:b/>
                <w:bCs/>
                <w:color w:val="auto"/>
              </w:rPr>
            </w:pPr>
            <w:r>
              <w:rPr>
                <w:color w:val="auto"/>
              </w:rPr>
              <w:t>根据现场踏勘</w:t>
            </w:r>
            <w:r>
              <w:rPr>
                <w:rFonts w:hint="eastAsia"/>
                <w:color w:val="auto"/>
              </w:rPr>
              <w:t>，</w:t>
            </w:r>
            <w:r>
              <w:rPr>
                <w:color w:val="auto"/>
                <w:szCs w:val="24"/>
              </w:rPr>
              <w:t>本项目厂界外500米范围内无自然保护区、风景名胜区、居住区、文化区和农村地区中人群较集中的区域等</w:t>
            </w:r>
            <w:r>
              <w:rPr>
                <w:rFonts w:hint="eastAsia"/>
                <w:color w:val="auto"/>
                <w:szCs w:val="24"/>
              </w:rPr>
              <w:t>大气环境</w:t>
            </w:r>
            <w:r>
              <w:rPr>
                <w:color w:val="auto"/>
                <w:szCs w:val="24"/>
              </w:rPr>
              <w:t>保护目标</w:t>
            </w:r>
            <w:r>
              <w:rPr>
                <w:rFonts w:hint="eastAsia"/>
                <w:color w:val="auto"/>
              </w:rPr>
              <w:t>；</w:t>
            </w:r>
            <w:r>
              <w:rPr>
                <w:color w:val="auto"/>
              </w:rPr>
              <w:t>厂界外50米范围内</w:t>
            </w:r>
            <w:r>
              <w:rPr>
                <w:rFonts w:hint="eastAsia"/>
                <w:color w:val="auto"/>
              </w:rPr>
              <w:t>无</w:t>
            </w:r>
            <w:r>
              <w:rPr>
                <w:color w:val="auto"/>
              </w:rPr>
              <w:t>声环境保护目标</w:t>
            </w:r>
            <w:r>
              <w:rPr>
                <w:rFonts w:hint="eastAsia"/>
                <w:color w:val="auto"/>
              </w:rPr>
              <w:t>；项目</w:t>
            </w:r>
            <w:r>
              <w:rPr>
                <w:color w:val="auto"/>
                <w:szCs w:val="24"/>
              </w:rPr>
              <w:t>厂界外500米范围内</w:t>
            </w:r>
            <w:r>
              <w:rPr>
                <w:color w:val="auto"/>
              </w:rPr>
              <w:t>无地下水集中式饮用水水源和热水、矿泉水、温泉等特殊地下水资源。</w:t>
            </w:r>
            <w:r>
              <w:rPr>
                <w:rFonts w:hint="eastAsia"/>
                <w:color w:val="auto"/>
              </w:rPr>
              <w:t>项目</w:t>
            </w:r>
            <w:r>
              <w:rPr>
                <w:color w:val="auto"/>
              </w:rPr>
              <w:t>用地范围内无生态环境保护目标。环境保护目标</w:t>
            </w:r>
            <w:r>
              <w:rPr>
                <w:rFonts w:hint="eastAsia"/>
                <w:color w:val="auto"/>
              </w:rPr>
              <w:t>具体情况见下表。</w:t>
            </w:r>
          </w:p>
          <w:p w14:paraId="0977EE1F">
            <w:pPr>
              <w:spacing w:line="500" w:lineRule="exact"/>
              <w:jc w:val="center"/>
              <w:rPr>
                <w:b/>
                <w:bCs/>
                <w:color w:val="auto"/>
              </w:rPr>
            </w:pPr>
            <w:r>
              <w:rPr>
                <w:b/>
                <w:bCs/>
                <w:color w:val="auto"/>
              </w:rPr>
              <w:t>表</w:t>
            </w:r>
            <w:r>
              <w:rPr>
                <w:rFonts w:hint="eastAsia"/>
                <w:b/>
                <w:bCs/>
                <w:color w:val="auto"/>
              </w:rPr>
              <w:t>3-</w:t>
            </w:r>
            <w:r>
              <w:rPr>
                <w:rFonts w:hint="eastAsia"/>
                <w:b/>
                <w:bCs/>
                <w:color w:val="auto"/>
                <w:lang w:val="en-US" w:eastAsia="zh-CN"/>
              </w:rPr>
              <w:t>8</w:t>
            </w:r>
            <w:r>
              <w:rPr>
                <w:rFonts w:hint="eastAsia"/>
                <w:b/>
                <w:bCs/>
                <w:color w:val="auto"/>
              </w:rPr>
              <w:t xml:space="preserve">   </w:t>
            </w:r>
            <w:r>
              <w:rPr>
                <w:b/>
                <w:bCs/>
                <w:color w:val="auto"/>
              </w:rPr>
              <w:t>环境保护目标</w:t>
            </w:r>
          </w:p>
          <w:tbl>
            <w:tblPr>
              <w:tblStyle w:val="25"/>
              <w:tblW w:w="4995"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20"/>
              <w:gridCol w:w="1451"/>
              <w:gridCol w:w="1123"/>
              <w:gridCol w:w="1116"/>
              <w:gridCol w:w="1152"/>
              <w:gridCol w:w="2281"/>
            </w:tblGrid>
            <w:tr w14:paraId="518BA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781" w:type="pct"/>
                  <w:tcBorders>
                    <w:tl2br w:val="nil"/>
                    <w:tr2bl w:val="nil"/>
                  </w:tcBorders>
                  <w:vAlign w:val="center"/>
                </w:tcPr>
                <w:p w14:paraId="2A4FB8B3">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bCs/>
                      <w:color w:val="auto"/>
                      <w:sz w:val="21"/>
                      <w:szCs w:val="21"/>
                    </w:rPr>
                  </w:pPr>
                  <w:r>
                    <w:rPr>
                      <w:rFonts w:hint="eastAsia"/>
                      <w:b/>
                      <w:bCs/>
                      <w:color w:val="auto"/>
                      <w:sz w:val="21"/>
                      <w:szCs w:val="21"/>
                    </w:rPr>
                    <w:t>环境要素</w:t>
                  </w:r>
                </w:p>
              </w:tc>
              <w:tc>
                <w:tcPr>
                  <w:tcW w:w="859" w:type="pct"/>
                  <w:tcBorders>
                    <w:tl2br w:val="nil"/>
                    <w:tr2bl w:val="nil"/>
                  </w:tcBorders>
                  <w:vAlign w:val="center"/>
                </w:tcPr>
                <w:p w14:paraId="7361D95F">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bCs/>
                      <w:color w:val="auto"/>
                      <w:sz w:val="21"/>
                      <w:szCs w:val="21"/>
                    </w:rPr>
                  </w:pPr>
                  <w:r>
                    <w:rPr>
                      <w:b/>
                      <w:bCs/>
                      <w:color w:val="auto"/>
                      <w:sz w:val="21"/>
                      <w:szCs w:val="21"/>
                    </w:rPr>
                    <w:t>坐标</w:t>
                  </w:r>
                </w:p>
                <w:p w14:paraId="6ABE094E">
                  <w:pPr>
                    <w:pStyle w:val="6"/>
                    <w:keepNext w:val="0"/>
                    <w:keepLines w:val="0"/>
                    <w:pageBreakBefore w:val="0"/>
                    <w:widowControl w:val="0"/>
                    <w:kinsoku/>
                    <w:wordWrap/>
                    <w:overflowPunct/>
                    <w:topLinePunct w:val="0"/>
                    <w:autoSpaceDE/>
                    <w:autoSpaceDN/>
                    <w:bidi w:val="0"/>
                    <w:spacing w:line="340" w:lineRule="exact"/>
                    <w:ind w:firstLine="0"/>
                    <w:jc w:val="center"/>
                    <w:textAlignment w:val="auto"/>
                    <w:rPr>
                      <w:b/>
                      <w:bCs/>
                      <w:color w:val="auto"/>
                      <w:sz w:val="21"/>
                      <w:szCs w:val="21"/>
                    </w:rPr>
                  </w:pPr>
                  <w:r>
                    <w:rPr>
                      <w:rFonts w:hint="eastAsia"/>
                      <w:b/>
                      <w:bCs/>
                      <w:color w:val="auto"/>
                      <w:sz w:val="21"/>
                      <w:szCs w:val="21"/>
                    </w:rPr>
                    <w:t>X/Y</w:t>
                  </w:r>
                </w:p>
              </w:tc>
              <w:tc>
                <w:tcPr>
                  <w:tcW w:w="664" w:type="pct"/>
                  <w:tcBorders>
                    <w:tl2br w:val="nil"/>
                    <w:tr2bl w:val="nil"/>
                  </w:tcBorders>
                  <w:vAlign w:val="center"/>
                </w:tcPr>
                <w:p w14:paraId="7C47C5B6">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bCs/>
                      <w:color w:val="auto"/>
                      <w:sz w:val="21"/>
                      <w:szCs w:val="21"/>
                    </w:rPr>
                  </w:pPr>
                  <w:r>
                    <w:rPr>
                      <w:b/>
                      <w:bCs/>
                      <w:color w:val="auto"/>
                      <w:sz w:val="21"/>
                      <w:szCs w:val="21"/>
                    </w:rPr>
                    <w:t>保护对象</w:t>
                  </w:r>
                </w:p>
              </w:tc>
              <w:tc>
                <w:tcPr>
                  <w:tcW w:w="660" w:type="pct"/>
                  <w:tcBorders>
                    <w:tl2br w:val="nil"/>
                    <w:tr2bl w:val="nil"/>
                  </w:tcBorders>
                  <w:vAlign w:val="center"/>
                </w:tcPr>
                <w:p w14:paraId="6FB5A54E">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bCs/>
                      <w:color w:val="auto"/>
                      <w:sz w:val="21"/>
                      <w:szCs w:val="21"/>
                    </w:rPr>
                  </w:pPr>
                  <w:r>
                    <w:rPr>
                      <w:b/>
                      <w:bCs/>
                      <w:color w:val="auto"/>
                      <w:sz w:val="21"/>
                      <w:szCs w:val="21"/>
                    </w:rPr>
                    <w:t>相对厂址方位</w:t>
                  </w:r>
                </w:p>
              </w:tc>
              <w:tc>
                <w:tcPr>
                  <w:tcW w:w="682" w:type="pct"/>
                  <w:tcBorders>
                    <w:tl2br w:val="nil"/>
                    <w:tr2bl w:val="nil"/>
                  </w:tcBorders>
                  <w:vAlign w:val="center"/>
                </w:tcPr>
                <w:p w14:paraId="5EA3BC99">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bCs/>
                      <w:color w:val="auto"/>
                      <w:sz w:val="21"/>
                      <w:szCs w:val="21"/>
                    </w:rPr>
                  </w:pPr>
                  <w:r>
                    <w:rPr>
                      <w:b/>
                      <w:bCs/>
                      <w:color w:val="auto"/>
                      <w:sz w:val="21"/>
                      <w:szCs w:val="21"/>
                    </w:rPr>
                    <w:t>相对厂界距离/m</w:t>
                  </w:r>
                </w:p>
              </w:tc>
              <w:tc>
                <w:tcPr>
                  <w:tcW w:w="1351" w:type="pct"/>
                  <w:tcBorders>
                    <w:tl2br w:val="nil"/>
                    <w:tr2bl w:val="nil"/>
                  </w:tcBorders>
                  <w:vAlign w:val="center"/>
                </w:tcPr>
                <w:p w14:paraId="61F6E0AE">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bCs/>
                      <w:color w:val="auto"/>
                      <w:sz w:val="21"/>
                      <w:szCs w:val="21"/>
                    </w:rPr>
                  </w:pPr>
                  <w:r>
                    <w:rPr>
                      <w:b/>
                      <w:bCs/>
                      <w:color w:val="auto"/>
                      <w:sz w:val="21"/>
                      <w:szCs w:val="21"/>
                    </w:rPr>
                    <w:t>执行标准</w:t>
                  </w:r>
                </w:p>
              </w:tc>
            </w:tr>
            <w:tr w14:paraId="4FB35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781" w:type="pct"/>
                  <w:tcBorders>
                    <w:tl2br w:val="nil"/>
                    <w:tr2bl w:val="nil"/>
                  </w:tcBorders>
                  <w:vAlign w:val="center"/>
                </w:tcPr>
                <w:p w14:paraId="72C6DBA9">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color w:val="auto"/>
                      <w:sz w:val="21"/>
                      <w:szCs w:val="21"/>
                    </w:rPr>
                  </w:pPr>
                  <w:r>
                    <w:rPr>
                      <w:rFonts w:hint="eastAsia"/>
                      <w:color w:val="auto"/>
                      <w:sz w:val="21"/>
                      <w:szCs w:val="21"/>
                    </w:rPr>
                    <w:t>大气</w:t>
                  </w:r>
                </w:p>
              </w:tc>
              <w:tc>
                <w:tcPr>
                  <w:tcW w:w="2867" w:type="pct"/>
                  <w:gridSpan w:val="4"/>
                  <w:tcBorders>
                    <w:tl2br w:val="nil"/>
                    <w:tr2bl w:val="nil"/>
                  </w:tcBorders>
                  <w:vAlign w:val="center"/>
                </w:tcPr>
                <w:p w14:paraId="1639A927">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color w:val="auto"/>
                      <w:sz w:val="21"/>
                      <w:szCs w:val="21"/>
                    </w:rPr>
                  </w:pPr>
                  <w:r>
                    <w:rPr>
                      <w:color w:val="auto"/>
                      <w:sz w:val="21"/>
                      <w:szCs w:val="21"/>
                    </w:rPr>
                    <w:t>厂界外500m范围内无自然保护区、风景名胜区、居住区、文化区和农村地区中人群较集中的区域等大气环境保护目标</w:t>
                  </w:r>
                </w:p>
              </w:tc>
              <w:tc>
                <w:tcPr>
                  <w:tcW w:w="1351" w:type="pct"/>
                  <w:tcBorders>
                    <w:tl2br w:val="nil"/>
                    <w:tr2bl w:val="nil"/>
                  </w:tcBorders>
                  <w:vAlign w:val="center"/>
                </w:tcPr>
                <w:p w14:paraId="7B522AAE">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color w:val="auto"/>
                      <w:sz w:val="21"/>
                      <w:szCs w:val="21"/>
                    </w:rPr>
                  </w:pPr>
                  <w:commentRangeStart w:id="33"/>
                  <w:r>
                    <w:rPr>
                      <w:color w:val="auto"/>
                      <w:sz w:val="21"/>
                      <w:szCs w:val="21"/>
                    </w:rPr>
                    <w:t>《环境空气质量标准》</w:t>
                  </w:r>
                  <w:r>
                    <w:rPr>
                      <w:color w:val="0000FF"/>
                      <w:sz w:val="21"/>
                      <w:szCs w:val="21"/>
                    </w:rPr>
                    <w:t>（GB3095-20</w:t>
                  </w:r>
                  <w:r>
                    <w:rPr>
                      <w:rFonts w:hint="eastAsia"/>
                      <w:color w:val="0000FF"/>
                      <w:sz w:val="21"/>
                      <w:szCs w:val="21"/>
                      <w:lang w:val="en-US" w:eastAsia="zh-CN"/>
                    </w:rPr>
                    <w:t>26</w:t>
                  </w:r>
                  <w:r>
                    <w:rPr>
                      <w:color w:val="0000FF"/>
                      <w:sz w:val="21"/>
                      <w:szCs w:val="21"/>
                    </w:rPr>
                    <w:t>）</w:t>
                  </w:r>
                  <w:commentRangeEnd w:id="33"/>
                  <w:r>
                    <w:rPr>
                      <w:color w:val="0000FF"/>
                    </w:rPr>
                    <w:commentReference w:id="33"/>
                  </w:r>
                  <w:r>
                    <w:rPr>
                      <w:rFonts w:hint="eastAsia"/>
                      <w:color w:val="0000FF"/>
                      <w:sz w:val="21"/>
                      <w:szCs w:val="21"/>
                      <w:lang w:val="en-US" w:eastAsia="zh-CN"/>
                    </w:rPr>
                    <w:t>过渡期</w:t>
                  </w:r>
                  <w:r>
                    <w:rPr>
                      <w:rFonts w:hint="eastAsia"/>
                      <w:color w:val="0000FF"/>
                      <w:sz w:val="21"/>
                      <w:szCs w:val="21"/>
                    </w:rPr>
                    <w:t>二类标准</w:t>
                  </w:r>
                </w:p>
              </w:tc>
            </w:tr>
            <w:tr w14:paraId="68010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781" w:type="pct"/>
                  <w:tcBorders>
                    <w:tl2br w:val="nil"/>
                    <w:tr2bl w:val="nil"/>
                  </w:tcBorders>
                  <w:vAlign w:val="center"/>
                </w:tcPr>
                <w:p w14:paraId="7A5279D8">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color w:val="auto"/>
                      <w:sz w:val="21"/>
                      <w:szCs w:val="21"/>
                    </w:rPr>
                  </w:pPr>
                  <w:r>
                    <w:rPr>
                      <w:rFonts w:hint="eastAsia"/>
                      <w:color w:val="auto"/>
                      <w:sz w:val="21"/>
                      <w:szCs w:val="21"/>
                    </w:rPr>
                    <w:t>声环境</w:t>
                  </w:r>
                </w:p>
              </w:tc>
              <w:tc>
                <w:tcPr>
                  <w:tcW w:w="2867" w:type="pct"/>
                  <w:gridSpan w:val="4"/>
                  <w:tcBorders>
                    <w:tl2br w:val="nil"/>
                    <w:tr2bl w:val="nil"/>
                  </w:tcBorders>
                  <w:vAlign w:val="center"/>
                </w:tcPr>
                <w:p w14:paraId="00D77652">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color w:val="auto"/>
                      <w:sz w:val="21"/>
                      <w:szCs w:val="21"/>
                    </w:rPr>
                  </w:pPr>
                  <w:r>
                    <w:rPr>
                      <w:rFonts w:hint="eastAsia"/>
                      <w:color w:val="auto"/>
                      <w:sz w:val="21"/>
                      <w:szCs w:val="21"/>
                    </w:rPr>
                    <w:t>厂界外50m范围内无环境保护目标</w:t>
                  </w:r>
                </w:p>
              </w:tc>
              <w:tc>
                <w:tcPr>
                  <w:tcW w:w="1351" w:type="pct"/>
                  <w:tcBorders>
                    <w:tl2br w:val="nil"/>
                    <w:tr2bl w:val="nil"/>
                  </w:tcBorders>
                  <w:vAlign w:val="center"/>
                </w:tcPr>
                <w:p w14:paraId="715CC3FB">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color w:val="auto"/>
                      <w:sz w:val="21"/>
                      <w:szCs w:val="21"/>
                    </w:rPr>
                  </w:pPr>
                  <w:r>
                    <w:rPr>
                      <w:color w:val="auto"/>
                      <w:sz w:val="21"/>
                      <w:szCs w:val="21"/>
                    </w:rPr>
                    <w:t>《声环境质量标准》（GB3096-2008）</w:t>
                  </w:r>
                  <w:r>
                    <w:rPr>
                      <w:rFonts w:hint="eastAsia"/>
                      <w:color w:val="auto"/>
                      <w:sz w:val="21"/>
                      <w:szCs w:val="21"/>
                    </w:rPr>
                    <w:t>3</w:t>
                  </w:r>
                  <w:r>
                    <w:rPr>
                      <w:color w:val="auto"/>
                      <w:sz w:val="21"/>
                      <w:szCs w:val="21"/>
                    </w:rPr>
                    <w:t>类声环境功能区标准</w:t>
                  </w:r>
                </w:p>
              </w:tc>
            </w:tr>
            <w:tr w14:paraId="504A1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781" w:type="pct"/>
                  <w:tcBorders>
                    <w:tl2br w:val="nil"/>
                    <w:tr2bl w:val="nil"/>
                  </w:tcBorders>
                  <w:vAlign w:val="center"/>
                </w:tcPr>
                <w:p w14:paraId="0F195B10">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color w:val="auto"/>
                      <w:sz w:val="21"/>
                      <w:szCs w:val="21"/>
                    </w:rPr>
                  </w:pPr>
                  <w:r>
                    <w:rPr>
                      <w:rFonts w:hint="eastAsia"/>
                      <w:color w:val="auto"/>
                      <w:sz w:val="21"/>
                      <w:szCs w:val="21"/>
                    </w:rPr>
                    <w:t>地下水</w:t>
                  </w:r>
                </w:p>
              </w:tc>
              <w:tc>
                <w:tcPr>
                  <w:tcW w:w="2867" w:type="pct"/>
                  <w:gridSpan w:val="4"/>
                  <w:tcBorders>
                    <w:tl2br w:val="nil"/>
                    <w:tr2bl w:val="nil"/>
                  </w:tcBorders>
                  <w:vAlign w:val="center"/>
                </w:tcPr>
                <w:p w14:paraId="1B2F1702">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color w:val="auto"/>
                      <w:sz w:val="21"/>
                      <w:szCs w:val="21"/>
                    </w:rPr>
                  </w:pPr>
                  <w:r>
                    <w:rPr>
                      <w:rFonts w:hint="eastAsia"/>
                      <w:color w:val="auto"/>
                      <w:sz w:val="21"/>
                      <w:szCs w:val="21"/>
                    </w:rPr>
                    <w:t>本</w:t>
                  </w:r>
                  <w:r>
                    <w:rPr>
                      <w:color w:val="auto"/>
                      <w:sz w:val="21"/>
                      <w:szCs w:val="21"/>
                    </w:rPr>
                    <w:t>项目</w:t>
                  </w:r>
                  <w:r>
                    <w:rPr>
                      <w:color w:val="auto"/>
                      <w:kern w:val="0"/>
                      <w:sz w:val="21"/>
                      <w:szCs w:val="21"/>
                    </w:rPr>
                    <w:t>厂界外500m范围内无地下水集中式饮用水水源和热水、矿泉水、温泉等特殊地下水资源</w:t>
                  </w:r>
                  <w:r>
                    <w:rPr>
                      <w:rFonts w:hint="eastAsia"/>
                      <w:color w:val="auto"/>
                      <w:kern w:val="0"/>
                      <w:sz w:val="21"/>
                      <w:szCs w:val="21"/>
                    </w:rPr>
                    <w:t>等</w:t>
                  </w:r>
                  <w:r>
                    <w:rPr>
                      <w:color w:val="auto"/>
                      <w:kern w:val="0"/>
                      <w:sz w:val="21"/>
                      <w:szCs w:val="21"/>
                    </w:rPr>
                    <w:t>环境保护目标。</w:t>
                  </w:r>
                </w:p>
              </w:tc>
              <w:tc>
                <w:tcPr>
                  <w:tcW w:w="1351" w:type="pct"/>
                  <w:tcBorders>
                    <w:tl2br w:val="nil"/>
                    <w:tr2bl w:val="nil"/>
                  </w:tcBorders>
                  <w:vAlign w:val="center"/>
                </w:tcPr>
                <w:p w14:paraId="09409DE9">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color w:val="auto"/>
                      <w:sz w:val="21"/>
                      <w:szCs w:val="21"/>
                    </w:rPr>
                  </w:pPr>
                  <w:r>
                    <w:rPr>
                      <w:color w:val="auto"/>
                      <w:sz w:val="21"/>
                      <w:szCs w:val="21"/>
                    </w:rPr>
                    <w:t>《地下水质量标准》（GB/T 14848-2018）中Ⅲ类标准</w:t>
                  </w:r>
                </w:p>
              </w:tc>
            </w:tr>
            <w:tr w14:paraId="3CCD6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781" w:type="pct"/>
                  <w:tcBorders>
                    <w:tl2br w:val="nil"/>
                    <w:tr2bl w:val="nil"/>
                  </w:tcBorders>
                  <w:vAlign w:val="center"/>
                </w:tcPr>
                <w:p w14:paraId="45CDF467">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color w:val="auto"/>
                      <w:sz w:val="21"/>
                      <w:szCs w:val="21"/>
                    </w:rPr>
                  </w:pPr>
                  <w:r>
                    <w:rPr>
                      <w:rFonts w:hint="eastAsia"/>
                      <w:color w:val="auto"/>
                      <w:sz w:val="21"/>
                      <w:szCs w:val="21"/>
                    </w:rPr>
                    <w:t>生态环境</w:t>
                  </w:r>
                </w:p>
              </w:tc>
              <w:tc>
                <w:tcPr>
                  <w:tcW w:w="2867" w:type="pct"/>
                  <w:gridSpan w:val="4"/>
                  <w:tcBorders>
                    <w:tl2br w:val="nil"/>
                    <w:tr2bl w:val="nil"/>
                  </w:tcBorders>
                  <w:vAlign w:val="center"/>
                </w:tcPr>
                <w:p w14:paraId="7308445B">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color w:val="auto"/>
                      <w:sz w:val="21"/>
                      <w:szCs w:val="21"/>
                    </w:rPr>
                  </w:pPr>
                  <w:r>
                    <w:rPr>
                      <w:rFonts w:hint="eastAsia"/>
                      <w:color w:val="auto"/>
                      <w:sz w:val="21"/>
                      <w:szCs w:val="21"/>
                    </w:rPr>
                    <w:t>项目占地范围内无生态环境保护目标</w:t>
                  </w:r>
                </w:p>
              </w:tc>
              <w:tc>
                <w:tcPr>
                  <w:tcW w:w="1351" w:type="pct"/>
                  <w:tcBorders>
                    <w:tl2br w:val="nil"/>
                    <w:tr2bl w:val="nil"/>
                  </w:tcBorders>
                  <w:vAlign w:val="center"/>
                </w:tcPr>
                <w:p w14:paraId="3C951BD8">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color w:val="auto"/>
                      <w:sz w:val="21"/>
                      <w:szCs w:val="21"/>
                    </w:rPr>
                  </w:pPr>
                  <w:r>
                    <w:rPr>
                      <w:rFonts w:hint="eastAsia"/>
                      <w:color w:val="auto"/>
                      <w:sz w:val="21"/>
                      <w:szCs w:val="21"/>
                    </w:rPr>
                    <w:t>/</w:t>
                  </w:r>
                </w:p>
              </w:tc>
            </w:tr>
          </w:tbl>
          <w:p w14:paraId="1173D39A">
            <w:pPr>
              <w:rPr>
                <w:color w:val="auto"/>
              </w:rPr>
            </w:pPr>
          </w:p>
        </w:tc>
      </w:tr>
      <w:tr w14:paraId="32A7EB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454" w:type="dxa"/>
            <w:tcMar>
              <w:left w:w="28" w:type="dxa"/>
              <w:right w:w="28" w:type="dxa"/>
            </w:tcMar>
            <w:vAlign w:val="center"/>
          </w:tcPr>
          <w:p w14:paraId="32A8FF66">
            <w:pPr>
              <w:adjustRightInd w:val="0"/>
              <w:snapToGrid w:val="0"/>
              <w:jc w:val="center"/>
              <w:rPr>
                <w:color w:val="auto"/>
                <w:kern w:val="0"/>
              </w:rPr>
            </w:pPr>
            <w:r>
              <w:rPr>
                <w:color w:val="auto"/>
                <w:kern w:val="0"/>
              </w:rPr>
              <w:t>污染</w:t>
            </w:r>
          </w:p>
          <w:p w14:paraId="11CAA952">
            <w:pPr>
              <w:adjustRightInd w:val="0"/>
              <w:snapToGrid w:val="0"/>
              <w:jc w:val="center"/>
              <w:rPr>
                <w:color w:val="auto"/>
                <w:kern w:val="0"/>
              </w:rPr>
            </w:pPr>
            <w:r>
              <w:rPr>
                <w:color w:val="auto"/>
                <w:kern w:val="0"/>
              </w:rPr>
              <w:t>物排</w:t>
            </w:r>
          </w:p>
          <w:p w14:paraId="1F7888A1">
            <w:pPr>
              <w:adjustRightInd w:val="0"/>
              <w:snapToGrid w:val="0"/>
              <w:jc w:val="center"/>
              <w:rPr>
                <w:color w:val="auto"/>
                <w:kern w:val="0"/>
              </w:rPr>
            </w:pPr>
            <w:r>
              <w:rPr>
                <w:color w:val="auto"/>
                <w:kern w:val="0"/>
              </w:rPr>
              <w:t>放控</w:t>
            </w:r>
          </w:p>
          <w:p w14:paraId="2F1B4CF9">
            <w:pPr>
              <w:adjustRightInd w:val="0"/>
              <w:snapToGrid w:val="0"/>
              <w:jc w:val="center"/>
              <w:rPr>
                <w:color w:val="auto"/>
                <w:kern w:val="0"/>
              </w:rPr>
            </w:pPr>
            <w:r>
              <w:rPr>
                <w:color w:val="auto"/>
                <w:kern w:val="0"/>
              </w:rPr>
              <w:t>制标</w:t>
            </w:r>
          </w:p>
          <w:p w14:paraId="63CFE67D">
            <w:pPr>
              <w:adjustRightInd w:val="0"/>
              <w:snapToGrid w:val="0"/>
              <w:jc w:val="center"/>
              <w:rPr>
                <w:color w:val="auto"/>
                <w:kern w:val="0"/>
              </w:rPr>
            </w:pPr>
            <w:r>
              <w:rPr>
                <w:color w:val="auto"/>
                <w:kern w:val="0"/>
              </w:rPr>
              <w:t>准</w:t>
            </w:r>
          </w:p>
        </w:tc>
        <w:tc>
          <w:tcPr>
            <w:tcW w:w="8682" w:type="dxa"/>
            <w:vAlign w:val="center"/>
          </w:tcPr>
          <w:p w14:paraId="0D931324">
            <w:pPr>
              <w:spacing w:line="500" w:lineRule="exact"/>
              <w:ind w:firstLine="482" w:firstLineChars="200"/>
              <w:rPr>
                <w:b/>
                <w:bCs/>
                <w:color w:val="auto"/>
              </w:rPr>
            </w:pPr>
            <w:r>
              <w:rPr>
                <w:b/>
                <w:bCs/>
                <w:color w:val="auto"/>
              </w:rPr>
              <w:t>1、</w:t>
            </w:r>
            <w:r>
              <w:rPr>
                <w:rFonts w:hint="eastAsia"/>
                <w:b/>
                <w:bCs/>
                <w:color w:val="auto"/>
              </w:rPr>
              <w:t>大气</w:t>
            </w:r>
            <w:r>
              <w:rPr>
                <w:b/>
                <w:bCs/>
                <w:color w:val="auto"/>
              </w:rPr>
              <w:t>污染物排放标准</w:t>
            </w:r>
          </w:p>
          <w:p w14:paraId="3CD424F9">
            <w:pPr>
              <w:spacing w:line="500" w:lineRule="exact"/>
              <w:ind w:firstLine="480" w:firstLineChars="200"/>
              <w:rPr>
                <w:color w:val="auto"/>
              </w:rPr>
            </w:pPr>
            <w:r>
              <w:rPr>
                <w:rFonts w:hint="eastAsia"/>
                <w:color w:val="auto"/>
              </w:rPr>
              <w:t>施工期扬尘执行《大气污染物综合排放标准》（GB16297-1996）表2中颗粒物无组织排放浓度限值；运营期</w:t>
            </w:r>
            <w:r>
              <w:rPr>
                <w:rFonts w:hint="eastAsia"/>
                <w:color w:val="auto"/>
                <w:spacing w:val="4"/>
              </w:rPr>
              <w:t>破碎、剪切过程产生</w:t>
            </w:r>
            <w:r>
              <w:rPr>
                <w:color w:val="auto"/>
                <w:spacing w:val="4"/>
              </w:rPr>
              <w:t>的粉尘</w:t>
            </w:r>
            <w:r>
              <w:rPr>
                <w:rFonts w:hint="eastAsia"/>
                <w:color w:val="auto"/>
              </w:rPr>
              <w:t>执行《大气污染物综合排放标准》（GB16297-1996）表2中颗粒物二级排放浓度限值，厂界无组织颗粒物、非甲烷总烃、硫酸雾排放执行《大气污染物综合排放标准》（GB16297-1996）无组织排放监控浓度限值，同时厂区内维修车间、危废暂存库外非甲烷总烃执行《挥发性有机物无组织排放控制标准》 （GB37822-2019）</w:t>
            </w:r>
            <w:r>
              <w:rPr>
                <w:rFonts w:hint="eastAsia"/>
                <w:color w:val="auto"/>
                <w:lang w:val="en-US" w:eastAsia="zh-CN"/>
              </w:rPr>
              <w:t>中表A.1</w:t>
            </w:r>
            <w:r>
              <w:rPr>
                <w:rFonts w:hint="eastAsia"/>
                <w:color w:val="auto"/>
              </w:rPr>
              <w:t>标准限值。</w:t>
            </w:r>
          </w:p>
          <w:p w14:paraId="3058D58C">
            <w:pPr>
              <w:spacing w:line="500" w:lineRule="exact"/>
              <w:ind w:firstLine="480" w:firstLineChars="200"/>
              <w:rPr>
                <w:color w:val="auto"/>
              </w:rPr>
            </w:pPr>
            <w:r>
              <w:rPr>
                <w:rFonts w:hint="eastAsia"/>
                <w:color w:val="auto"/>
              </w:rPr>
              <w:t>具体标准值见下表：</w:t>
            </w:r>
          </w:p>
          <w:p w14:paraId="7FC65263">
            <w:pPr>
              <w:spacing w:line="500" w:lineRule="exact"/>
              <w:jc w:val="center"/>
              <w:rPr>
                <w:b/>
                <w:bCs/>
                <w:color w:val="auto"/>
              </w:rPr>
            </w:pPr>
            <w:r>
              <w:rPr>
                <w:rFonts w:hint="eastAsia"/>
                <w:b/>
                <w:bCs/>
                <w:color w:val="auto"/>
              </w:rPr>
              <w:t>表3-</w:t>
            </w:r>
            <w:r>
              <w:rPr>
                <w:rFonts w:hint="eastAsia"/>
                <w:b/>
                <w:bCs/>
                <w:color w:val="auto"/>
                <w:lang w:val="en-US" w:eastAsia="zh-CN"/>
              </w:rPr>
              <w:t>9</w:t>
            </w:r>
            <w:r>
              <w:rPr>
                <w:rFonts w:hint="eastAsia"/>
                <w:b/>
                <w:bCs/>
                <w:color w:val="auto"/>
              </w:rPr>
              <w:t xml:space="preserve">  大气污染物排放标准一览表</w:t>
            </w:r>
          </w:p>
          <w:tbl>
            <w:tblPr>
              <w:tblStyle w:val="25"/>
              <w:tblW w:w="8502"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71"/>
              <w:gridCol w:w="1103"/>
              <w:gridCol w:w="1049"/>
              <w:gridCol w:w="1423"/>
              <w:gridCol w:w="1170"/>
              <w:gridCol w:w="840"/>
              <w:gridCol w:w="2246"/>
            </w:tblGrid>
            <w:tr w14:paraId="35664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0" w:hRule="atLeast"/>
              </w:trPr>
              <w:tc>
                <w:tcPr>
                  <w:tcW w:w="394" w:type="pct"/>
                  <w:vMerge w:val="restart"/>
                  <w:tcBorders>
                    <w:tl2br w:val="nil"/>
                    <w:tr2bl w:val="nil"/>
                  </w:tcBorders>
                  <w:tcMar>
                    <w:left w:w="0" w:type="dxa"/>
                    <w:right w:w="0" w:type="dxa"/>
                  </w:tcMar>
                  <w:vAlign w:val="center"/>
                </w:tcPr>
                <w:p w14:paraId="25604573">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color w:val="auto"/>
                      <w:sz w:val="21"/>
                      <w:szCs w:val="21"/>
                    </w:rPr>
                  </w:pPr>
                  <w:r>
                    <w:rPr>
                      <w:b/>
                      <w:color w:val="auto"/>
                      <w:sz w:val="21"/>
                      <w:szCs w:val="21"/>
                    </w:rPr>
                    <w:t>时期</w:t>
                  </w:r>
                </w:p>
              </w:tc>
              <w:tc>
                <w:tcPr>
                  <w:tcW w:w="648" w:type="pct"/>
                  <w:vMerge w:val="restart"/>
                  <w:tcBorders>
                    <w:tl2br w:val="nil"/>
                    <w:tr2bl w:val="nil"/>
                  </w:tcBorders>
                  <w:vAlign w:val="center"/>
                </w:tcPr>
                <w:p w14:paraId="136A97FA">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color w:val="auto"/>
                      <w:sz w:val="21"/>
                      <w:szCs w:val="21"/>
                    </w:rPr>
                  </w:pPr>
                  <w:r>
                    <w:rPr>
                      <w:rFonts w:hint="eastAsia"/>
                      <w:b/>
                      <w:color w:val="auto"/>
                      <w:sz w:val="21"/>
                      <w:szCs w:val="21"/>
                    </w:rPr>
                    <w:t>排放方式</w:t>
                  </w:r>
                </w:p>
              </w:tc>
              <w:tc>
                <w:tcPr>
                  <w:tcW w:w="617" w:type="pct"/>
                  <w:vMerge w:val="restart"/>
                  <w:tcBorders>
                    <w:tl2br w:val="nil"/>
                    <w:tr2bl w:val="nil"/>
                  </w:tcBorders>
                  <w:vAlign w:val="center"/>
                </w:tcPr>
                <w:p w14:paraId="321A99E9">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color w:val="auto"/>
                      <w:sz w:val="21"/>
                      <w:szCs w:val="21"/>
                    </w:rPr>
                  </w:pPr>
                  <w:r>
                    <w:rPr>
                      <w:b/>
                      <w:color w:val="auto"/>
                      <w:sz w:val="21"/>
                      <w:szCs w:val="21"/>
                    </w:rPr>
                    <w:t>污染物</w:t>
                  </w:r>
                </w:p>
              </w:tc>
              <w:tc>
                <w:tcPr>
                  <w:tcW w:w="837" w:type="pct"/>
                  <w:vMerge w:val="restart"/>
                  <w:tcBorders>
                    <w:tl2br w:val="nil"/>
                    <w:tr2bl w:val="nil"/>
                  </w:tcBorders>
                  <w:vAlign w:val="center"/>
                </w:tcPr>
                <w:p w14:paraId="290095C5">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color w:val="auto"/>
                      <w:kern w:val="0"/>
                      <w:sz w:val="21"/>
                      <w:szCs w:val="21"/>
                    </w:rPr>
                  </w:pPr>
                  <w:r>
                    <w:rPr>
                      <w:b/>
                      <w:color w:val="auto"/>
                      <w:kern w:val="0"/>
                      <w:sz w:val="21"/>
                      <w:szCs w:val="21"/>
                    </w:rPr>
                    <w:t>最高允许排放</w:t>
                  </w:r>
                  <w:r>
                    <w:rPr>
                      <w:rFonts w:hint="eastAsia"/>
                      <w:b/>
                      <w:color w:val="auto"/>
                      <w:kern w:val="0"/>
                      <w:sz w:val="21"/>
                      <w:szCs w:val="21"/>
                    </w:rPr>
                    <w:t>浓度</w:t>
                  </w:r>
                </w:p>
              </w:tc>
              <w:tc>
                <w:tcPr>
                  <w:tcW w:w="1182" w:type="pct"/>
                  <w:gridSpan w:val="2"/>
                  <w:tcBorders>
                    <w:tl2br w:val="nil"/>
                    <w:tr2bl w:val="nil"/>
                  </w:tcBorders>
                  <w:vAlign w:val="center"/>
                </w:tcPr>
                <w:p w14:paraId="0A507546">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bCs/>
                      <w:color w:val="auto"/>
                      <w:kern w:val="0"/>
                      <w:sz w:val="21"/>
                      <w:szCs w:val="21"/>
                    </w:rPr>
                  </w:pPr>
                  <w:r>
                    <w:rPr>
                      <w:b/>
                      <w:bCs/>
                      <w:color w:val="auto"/>
                      <w:kern w:val="0"/>
                      <w:sz w:val="21"/>
                      <w:szCs w:val="21"/>
                    </w:rPr>
                    <w:t>最高允许排放</w:t>
                  </w:r>
                  <w:r>
                    <w:rPr>
                      <w:rFonts w:hint="eastAsia"/>
                      <w:b/>
                      <w:bCs/>
                      <w:color w:val="auto"/>
                      <w:kern w:val="0"/>
                      <w:sz w:val="21"/>
                      <w:szCs w:val="21"/>
                    </w:rPr>
                    <w:t>速率</w:t>
                  </w:r>
                </w:p>
              </w:tc>
              <w:tc>
                <w:tcPr>
                  <w:tcW w:w="1320" w:type="pct"/>
                  <w:vMerge w:val="restart"/>
                  <w:tcBorders>
                    <w:tl2br w:val="nil"/>
                    <w:tr2bl w:val="nil"/>
                  </w:tcBorders>
                  <w:tcMar>
                    <w:left w:w="0" w:type="dxa"/>
                    <w:right w:w="0" w:type="dxa"/>
                  </w:tcMar>
                  <w:vAlign w:val="center"/>
                </w:tcPr>
                <w:p w14:paraId="75F5BCCE">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color w:val="auto"/>
                      <w:sz w:val="21"/>
                      <w:szCs w:val="21"/>
                    </w:rPr>
                  </w:pPr>
                  <w:r>
                    <w:rPr>
                      <w:b/>
                      <w:color w:val="auto"/>
                      <w:sz w:val="21"/>
                      <w:szCs w:val="21"/>
                    </w:rPr>
                    <w:t>标准来源</w:t>
                  </w:r>
                </w:p>
              </w:tc>
            </w:tr>
            <w:tr w14:paraId="6CA68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0" w:hRule="atLeast"/>
              </w:trPr>
              <w:tc>
                <w:tcPr>
                  <w:tcW w:w="394" w:type="pct"/>
                  <w:vMerge w:val="continue"/>
                  <w:tcBorders>
                    <w:tl2br w:val="nil"/>
                    <w:tr2bl w:val="nil"/>
                  </w:tcBorders>
                  <w:tcMar>
                    <w:left w:w="0" w:type="dxa"/>
                    <w:right w:w="0" w:type="dxa"/>
                  </w:tcMar>
                  <w:vAlign w:val="center"/>
                </w:tcPr>
                <w:p w14:paraId="11E05607">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color w:val="auto"/>
                      <w:sz w:val="21"/>
                      <w:szCs w:val="21"/>
                    </w:rPr>
                  </w:pPr>
                </w:p>
              </w:tc>
              <w:tc>
                <w:tcPr>
                  <w:tcW w:w="648" w:type="pct"/>
                  <w:vMerge w:val="continue"/>
                  <w:tcBorders>
                    <w:tl2br w:val="nil"/>
                    <w:tr2bl w:val="nil"/>
                  </w:tcBorders>
                  <w:vAlign w:val="center"/>
                </w:tcPr>
                <w:p w14:paraId="4A187561">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color w:val="auto"/>
                      <w:sz w:val="21"/>
                      <w:szCs w:val="21"/>
                    </w:rPr>
                  </w:pPr>
                </w:p>
              </w:tc>
              <w:tc>
                <w:tcPr>
                  <w:tcW w:w="617" w:type="pct"/>
                  <w:vMerge w:val="continue"/>
                  <w:tcBorders>
                    <w:tl2br w:val="nil"/>
                    <w:tr2bl w:val="nil"/>
                  </w:tcBorders>
                  <w:vAlign w:val="center"/>
                </w:tcPr>
                <w:p w14:paraId="65F7D264">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color w:val="auto"/>
                      <w:sz w:val="21"/>
                      <w:szCs w:val="21"/>
                    </w:rPr>
                  </w:pPr>
                </w:p>
              </w:tc>
              <w:tc>
                <w:tcPr>
                  <w:tcW w:w="837" w:type="pct"/>
                  <w:vMerge w:val="continue"/>
                  <w:tcBorders>
                    <w:tl2br w:val="nil"/>
                    <w:tr2bl w:val="nil"/>
                  </w:tcBorders>
                  <w:vAlign w:val="center"/>
                </w:tcPr>
                <w:p w14:paraId="6F2726B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color w:val="auto"/>
                      <w:kern w:val="0"/>
                      <w:sz w:val="21"/>
                      <w:szCs w:val="21"/>
                    </w:rPr>
                  </w:pPr>
                </w:p>
              </w:tc>
              <w:tc>
                <w:tcPr>
                  <w:tcW w:w="688" w:type="pct"/>
                  <w:tcBorders>
                    <w:tl2br w:val="nil"/>
                    <w:tr2bl w:val="nil"/>
                  </w:tcBorders>
                  <w:vAlign w:val="center"/>
                </w:tcPr>
                <w:p w14:paraId="59A8335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bCs/>
                      <w:color w:val="auto"/>
                      <w:kern w:val="0"/>
                      <w:sz w:val="21"/>
                      <w:szCs w:val="21"/>
                    </w:rPr>
                  </w:pPr>
                  <w:r>
                    <w:rPr>
                      <w:rFonts w:hint="eastAsia"/>
                      <w:b/>
                      <w:bCs/>
                      <w:color w:val="auto"/>
                      <w:kern w:val="0"/>
                      <w:sz w:val="21"/>
                      <w:szCs w:val="21"/>
                    </w:rPr>
                    <w:t>排气筒高度</w:t>
                  </w:r>
                </w:p>
              </w:tc>
              <w:tc>
                <w:tcPr>
                  <w:tcW w:w="494" w:type="pct"/>
                  <w:tcBorders>
                    <w:tl2br w:val="nil"/>
                    <w:tr2bl w:val="nil"/>
                  </w:tcBorders>
                  <w:vAlign w:val="center"/>
                </w:tcPr>
                <w:p w14:paraId="1668871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bCs/>
                      <w:color w:val="auto"/>
                      <w:kern w:val="0"/>
                      <w:sz w:val="21"/>
                      <w:szCs w:val="21"/>
                    </w:rPr>
                  </w:pPr>
                  <w:r>
                    <w:rPr>
                      <w:rFonts w:hint="eastAsia"/>
                      <w:b/>
                      <w:bCs/>
                      <w:color w:val="auto"/>
                      <w:kern w:val="0"/>
                      <w:sz w:val="21"/>
                      <w:szCs w:val="21"/>
                    </w:rPr>
                    <w:t>二级</w:t>
                  </w:r>
                </w:p>
              </w:tc>
              <w:tc>
                <w:tcPr>
                  <w:tcW w:w="1320" w:type="pct"/>
                  <w:vMerge w:val="continue"/>
                  <w:tcBorders>
                    <w:tl2br w:val="nil"/>
                    <w:tr2bl w:val="nil"/>
                  </w:tcBorders>
                  <w:tcMar>
                    <w:left w:w="0" w:type="dxa"/>
                    <w:right w:w="0" w:type="dxa"/>
                  </w:tcMar>
                  <w:vAlign w:val="center"/>
                </w:tcPr>
                <w:p w14:paraId="0A1C7578">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
                      <w:color w:val="auto"/>
                      <w:sz w:val="21"/>
                      <w:szCs w:val="21"/>
                    </w:rPr>
                  </w:pPr>
                </w:p>
              </w:tc>
            </w:tr>
            <w:tr w14:paraId="293EE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0" w:hRule="atLeast"/>
              </w:trPr>
              <w:tc>
                <w:tcPr>
                  <w:tcW w:w="394" w:type="pct"/>
                  <w:tcBorders>
                    <w:tl2br w:val="nil"/>
                    <w:tr2bl w:val="nil"/>
                  </w:tcBorders>
                  <w:tcMar>
                    <w:left w:w="0" w:type="dxa"/>
                    <w:right w:w="0" w:type="dxa"/>
                  </w:tcMar>
                  <w:vAlign w:val="center"/>
                </w:tcPr>
                <w:p w14:paraId="576E83B1">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r>
                    <w:rPr>
                      <w:rFonts w:hint="eastAsia"/>
                      <w:bCs/>
                      <w:color w:val="auto"/>
                      <w:sz w:val="21"/>
                      <w:szCs w:val="21"/>
                    </w:rPr>
                    <w:t>施工期</w:t>
                  </w:r>
                </w:p>
              </w:tc>
              <w:tc>
                <w:tcPr>
                  <w:tcW w:w="648" w:type="pct"/>
                  <w:tcBorders>
                    <w:tl2br w:val="nil"/>
                    <w:tr2bl w:val="nil"/>
                  </w:tcBorders>
                  <w:vAlign w:val="center"/>
                </w:tcPr>
                <w:p w14:paraId="0FA58C69">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无组织</w:t>
                  </w:r>
                </w:p>
              </w:tc>
              <w:tc>
                <w:tcPr>
                  <w:tcW w:w="617" w:type="pct"/>
                  <w:tcBorders>
                    <w:tl2br w:val="nil"/>
                    <w:tr2bl w:val="nil"/>
                  </w:tcBorders>
                  <w:vAlign w:val="center"/>
                </w:tcPr>
                <w:p w14:paraId="3E942B1E">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颗粒物</w:t>
                  </w:r>
                </w:p>
              </w:tc>
              <w:tc>
                <w:tcPr>
                  <w:tcW w:w="837" w:type="pct"/>
                  <w:tcBorders>
                    <w:tl2br w:val="nil"/>
                    <w:tr2bl w:val="nil"/>
                  </w:tcBorders>
                  <w:vAlign w:val="center"/>
                </w:tcPr>
                <w:p w14:paraId="5BDB705A">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vertAlign w:val="superscript"/>
                    </w:rPr>
                  </w:pPr>
                  <w:r>
                    <w:rPr>
                      <w:rFonts w:hint="eastAsia"/>
                      <w:bCs/>
                      <w:snapToGrid w:val="0"/>
                      <w:color w:val="auto"/>
                      <w:sz w:val="21"/>
                      <w:szCs w:val="21"/>
                    </w:rPr>
                    <w:t>1.0mg/m</w:t>
                  </w:r>
                  <w:r>
                    <w:rPr>
                      <w:rFonts w:hint="eastAsia"/>
                      <w:bCs/>
                      <w:snapToGrid w:val="0"/>
                      <w:color w:val="auto"/>
                      <w:sz w:val="21"/>
                      <w:szCs w:val="21"/>
                      <w:vertAlign w:val="superscript"/>
                    </w:rPr>
                    <w:t>3</w:t>
                  </w:r>
                </w:p>
              </w:tc>
              <w:tc>
                <w:tcPr>
                  <w:tcW w:w="688" w:type="pct"/>
                  <w:tcBorders>
                    <w:tl2br w:val="nil"/>
                    <w:tr2bl w:val="nil"/>
                  </w:tcBorders>
                  <w:vAlign w:val="center"/>
                </w:tcPr>
                <w:p w14:paraId="597CDE4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w:t>
                  </w:r>
                </w:p>
              </w:tc>
              <w:tc>
                <w:tcPr>
                  <w:tcW w:w="494" w:type="pct"/>
                  <w:tcBorders>
                    <w:tl2br w:val="nil"/>
                    <w:tr2bl w:val="nil"/>
                  </w:tcBorders>
                  <w:vAlign w:val="center"/>
                </w:tcPr>
                <w:p w14:paraId="4B8DA17E">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w:t>
                  </w:r>
                </w:p>
              </w:tc>
              <w:tc>
                <w:tcPr>
                  <w:tcW w:w="1320" w:type="pct"/>
                  <w:vMerge w:val="restart"/>
                  <w:tcBorders>
                    <w:tl2br w:val="nil"/>
                    <w:tr2bl w:val="nil"/>
                  </w:tcBorders>
                  <w:tcMar>
                    <w:left w:w="0" w:type="dxa"/>
                    <w:right w:w="0" w:type="dxa"/>
                  </w:tcMar>
                  <w:vAlign w:val="center"/>
                </w:tcPr>
                <w:p w14:paraId="388163BE">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r>
                    <w:rPr>
                      <w:bCs/>
                      <w:color w:val="auto"/>
                      <w:sz w:val="21"/>
                      <w:szCs w:val="21"/>
                    </w:rPr>
                    <w:t>《大气污染物综合排放标准》（GB 16297-1996）表2新污染源</w:t>
                  </w:r>
                  <w:r>
                    <w:rPr>
                      <w:rFonts w:hint="eastAsia"/>
                      <w:bCs/>
                      <w:color w:val="auto"/>
                      <w:sz w:val="21"/>
                      <w:szCs w:val="21"/>
                    </w:rPr>
                    <w:t>二级</w:t>
                  </w:r>
                  <w:r>
                    <w:rPr>
                      <w:bCs/>
                      <w:color w:val="auto"/>
                      <w:sz w:val="21"/>
                      <w:szCs w:val="21"/>
                    </w:rPr>
                    <w:t>排放</w:t>
                  </w:r>
                  <w:r>
                    <w:rPr>
                      <w:rFonts w:hint="eastAsia"/>
                      <w:bCs/>
                      <w:color w:val="auto"/>
                      <w:sz w:val="21"/>
                      <w:szCs w:val="21"/>
                    </w:rPr>
                    <w:t>标准</w:t>
                  </w:r>
                  <w:r>
                    <w:rPr>
                      <w:bCs/>
                      <w:color w:val="auto"/>
                      <w:sz w:val="21"/>
                      <w:szCs w:val="21"/>
                    </w:rPr>
                    <w:t>限值</w:t>
                  </w:r>
                </w:p>
              </w:tc>
            </w:tr>
            <w:tr w14:paraId="30B24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0" w:hRule="atLeast"/>
              </w:trPr>
              <w:tc>
                <w:tcPr>
                  <w:tcW w:w="394" w:type="pct"/>
                  <w:vMerge w:val="restart"/>
                  <w:tcBorders>
                    <w:tl2br w:val="nil"/>
                    <w:tr2bl w:val="nil"/>
                  </w:tcBorders>
                  <w:tcMar>
                    <w:left w:w="0" w:type="dxa"/>
                    <w:right w:w="0" w:type="dxa"/>
                  </w:tcMar>
                  <w:vAlign w:val="center"/>
                </w:tcPr>
                <w:p w14:paraId="437E095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r>
                    <w:rPr>
                      <w:bCs/>
                      <w:color w:val="auto"/>
                      <w:sz w:val="21"/>
                      <w:szCs w:val="21"/>
                    </w:rPr>
                    <w:t>运营期</w:t>
                  </w:r>
                </w:p>
              </w:tc>
              <w:tc>
                <w:tcPr>
                  <w:tcW w:w="648" w:type="pct"/>
                  <w:tcBorders>
                    <w:tl2br w:val="nil"/>
                    <w:tr2bl w:val="nil"/>
                  </w:tcBorders>
                  <w:vAlign w:val="center"/>
                </w:tcPr>
                <w:p w14:paraId="333A4FD0">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r>
                    <w:rPr>
                      <w:rFonts w:hint="eastAsia"/>
                      <w:bCs/>
                      <w:color w:val="auto"/>
                      <w:sz w:val="21"/>
                      <w:szCs w:val="21"/>
                    </w:rPr>
                    <w:t>有组织</w:t>
                  </w:r>
                </w:p>
              </w:tc>
              <w:tc>
                <w:tcPr>
                  <w:tcW w:w="617" w:type="pct"/>
                  <w:tcBorders>
                    <w:tl2br w:val="nil"/>
                    <w:tr2bl w:val="nil"/>
                  </w:tcBorders>
                  <w:vAlign w:val="center"/>
                </w:tcPr>
                <w:p w14:paraId="7DDCB576">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r>
                    <w:rPr>
                      <w:rFonts w:hint="eastAsia"/>
                      <w:bCs/>
                      <w:color w:val="auto"/>
                      <w:sz w:val="21"/>
                      <w:szCs w:val="21"/>
                    </w:rPr>
                    <w:t>颗粒物</w:t>
                  </w:r>
                </w:p>
              </w:tc>
              <w:tc>
                <w:tcPr>
                  <w:tcW w:w="837" w:type="pct"/>
                  <w:tcBorders>
                    <w:tl2br w:val="nil"/>
                    <w:tr2bl w:val="nil"/>
                  </w:tcBorders>
                  <w:vAlign w:val="center"/>
                </w:tcPr>
                <w:p w14:paraId="13AF7179">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120mg/m</w:t>
                  </w:r>
                  <w:r>
                    <w:rPr>
                      <w:rFonts w:hint="eastAsia"/>
                      <w:bCs/>
                      <w:snapToGrid w:val="0"/>
                      <w:color w:val="auto"/>
                      <w:sz w:val="21"/>
                      <w:szCs w:val="21"/>
                      <w:vertAlign w:val="superscript"/>
                    </w:rPr>
                    <w:t>3</w:t>
                  </w:r>
                </w:p>
              </w:tc>
              <w:tc>
                <w:tcPr>
                  <w:tcW w:w="688" w:type="pct"/>
                  <w:tcBorders>
                    <w:tl2br w:val="nil"/>
                    <w:tr2bl w:val="nil"/>
                  </w:tcBorders>
                  <w:vAlign w:val="center"/>
                </w:tcPr>
                <w:p w14:paraId="2B16C419">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30m</w:t>
                  </w:r>
                </w:p>
              </w:tc>
              <w:tc>
                <w:tcPr>
                  <w:tcW w:w="494" w:type="pct"/>
                  <w:tcBorders>
                    <w:tl2br w:val="nil"/>
                    <w:tr2bl w:val="nil"/>
                  </w:tcBorders>
                  <w:vAlign w:val="center"/>
                </w:tcPr>
                <w:p w14:paraId="18CE0F83">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23kg/h</w:t>
                  </w:r>
                </w:p>
              </w:tc>
              <w:tc>
                <w:tcPr>
                  <w:tcW w:w="1320" w:type="pct"/>
                  <w:vMerge w:val="continue"/>
                  <w:tcBorders>
                    <w:tl2br w:val="nil"/>
                    <w:tr2bl w:val="nil"/>
                  </w:tcBorders>
                  <w:tcMar>
                    <w:left w:w="0" w:type="dxa"/>
                    <w:right w:w="0" w:type="dxa"/>
                  </w:tcMar>
                  <w:vAlign w:val="center"/>
                </w:tcPr>
                <w:p w14:paraId="4DFC3723">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p>
              </w:tc>
            </w:tr>
            <w:tr w14:paraId="3F18D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0" w:hRule="atLeast"/>
              </w:trPr>
              <w:tc>
                <w:tcPr>
                  <w:tcW w:w="394" w:type="pct"/>
                  <w:vMerge w:val="continue"/>
                  <w:tcBorders>
                    <w:tl2br w:val="nil"/>
                    <w:tr2bl w:val="nil"/>
                  </w:tcBorders>
                  <w:tcMar>
                    <w:left w:w="0" w:type="dxa"/>
                    <w:right w:w="0" w:type="dxa"/>
                  </w:tcMar>
                  <w:vAlign w:val="center"/>
                </w:tcPr>
                <w:p w14:paraId="4A4451EE">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p>
              </w:tc>
              <w:tc>
                <w:tcPr>
                  <w:tcW w:w="648" w:type="pct"/>
                  <w:vMerge w:val="restart"/>
                  <w:tcBorders>
                    <w:tl2br w:val="nil"/>
                    <w:tr2bl w:val="nil"/>
                  </w:tcBorders>
                  <w:vAlign w:val="center"/>
                </w:tcPr>
                <w:p w14:paraId="726D46E5">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无组织</w:t>
                  </w:r>
                </w:p>
              </w:tc>
              <w:tc>
                <w:tcPr>
                  <w:tcW w:w="617" w:type="pct"/>
                  <w:tcBorders>
                    <w:tl2br w:val="nil"/>
                    <w:tr2bl w:val="nil"/>
                  </w:tcBorders>
                  <w:vAlign w:val="center"/>
                </w:tcPr>
                <w:p w14:paraId="629BA221">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颗粒物</w:t>
                  </w:r>
                </w:p>
              </w:tc>
              <w:tc>
                <w:tcPr>
                  <w:tcW w:w="837" w:type="pct"/>
                  <w:tcBorders>
                    <w:tl2br w:val="nil"/>
                    <w:tr2bl w:val="nil"/>
                  </w:tcBorders>
                  <w:vAlign w:val="center"/>
                </w:tcPr>
                <w:p w14:paraId="7152BEF1">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1.0mg/m</w:t>
                  </w:r>
                  <w:r>
                    <w:rPr>
                      <w:rFonts w:hint="eastAsia"/>
                      <w:bCs/>
                      <w:snapToGrid w:val="0"/>
                      <w:color w:val="auto"/>
                      <w:sz w:val="21"/>
                      <w:szCs w:val="21"/>
                      <w:vertAlign w:val="superscript"/>
                    </w:rPr>
                    <w:t>3</w:t>
                  </w:r>
                </w:p>
              </w:tc>
              <w:tc>
                <w:tcPr>
                  <w:tcW w:w="688" w:type="pct"/>
                  <w:tcBorders>
                    <w:tl2br w:val="nil"/>
                    <w:tr2bl w:val="nil"/>
                  </w:tcBorders>
                  <w:vAlign w:val="center"/>
                </w:tcPr>
                <w:p w14:paraId="4C99FC48">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w:t>
                  </w:r>
                </w:p>
              </w:tc>
              <w:tc>
                <w:tcPr>
                  <w:tcW w:w="494" w:type="pct"/>
                  <w:tcBorders>
                    <w:tl2br w:val="nil"/>
                    <w:tr2bl w:val="nil"/>
                  </w:tcBorders>
                  <w:vAlign w:val="center"/>
                </w:tcPr>
                <w:p w14:paraId="07EC8C81">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w:t>
                  </w:r>
                </w:p>
              </w:tc>
              <w:tc>
                <w:tcPr>
                  <w:tcW w:w="1320" w:type="pct"/>
                  <w:vMerge w:val="continue"/>
                  <w:tcBorders>
                    <w:tl2br w:val="nil"/>
                    <w:tr2bl w:val="nil"/>
                  </w:tcBorders>
                  <w:tcMar>
                    <w:left w:w="0" w:type="dxa"/>
                    <w:right w:w="0" w:type="dxa"/>
                  </w:tcMar>
                  <w:vAlign w:val="center"/>
                </w:tcPr>
                <w:p w14:paraId="538D0159">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p>
              </w:tc>
            </w:tr>
            <w:tr w14:paraId="5652F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0" w:hRule="atLeast"/>
              </w:trPr>
              <w:tc>
                <w:tcPr>
                  <w:tcW w:w="394" w:type="pct"/>
                  <w:vMerge w:val="continue"/>
                  <w:tcBorders>
                    <w:tl2br w:val="nil"/>
                    <w:tr2bl w:val="nil"/>
                  </w:tcBorders>
                  <w:tcMar>
                    <w:left w:w="0" w:type="dxa"/>
                    <w:right w:w="0" w:type="dxa"/>
                  </w:tcMar>
                  <w:vAlign w:val="center"/>
                </w:tcPr>
                <w:p w14:paraId="0FB0236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p>
              </w:tc>
              <w:tc>
                <w:tcPr>
                  <w:tcW w:w="648" w:type="pct"/>
                  <w:vMerge w:val="continue"/>
                  <w:tcBorders>
                    <w:tl2br w:val="nil"/>
                    <w:tr2bl w:val="nil"/>
                  </w:tcBorders>
                  <w:vAlign w:val="center"/>
                </w:tcPr>
                <w:p w14:paraId="798DD4F1">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p>
              </w:tc>
              <w:tc>
                <w:tcPr>
                  <w:tcW w:w="617" w:type="pct"/>
                  <w:tcBorders>
                    <w:tl2br w:val="nil"/>
                    <w:tr2bl w:val="nil"/>
                  </w:tcBorders>
                  <w:vAlign w:val="center"/>
                </w:tcPr>
                <w:p w14:paraId="704954F2">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硫酸雾</w:t>
                  </w:r>
                </w:p>
              </w:tc>
              <w:tc>
                <w:tcPr>
                  <w:tcW w:w="837" w:type="pct"/>
                  <w:tcBorders>
                    <w:tl2br w:val="nil"/>
                    <w:tr2bl w:val="nil"/>
                  </w:tcBorders>
                  <w:vAlign w:val="center"/>
                </w:tcPr>
                <w:p w14:paraId="2EFC07F3">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1.2mg/m</w:t>
                  </w:r>
                  <w:r>
                    <w:rPr>
                      <w:rFonts w:hint="eastAsia"/>
                      <w:bCs/>
                      <w:snapToGrid w:val="0"/>
                      <w:color w:val="auto"/>
                      <w:sz w:val="21"/>
                      <w:szCs w:val="21"/>
                      <w:vertAlign w:val="superscript"/>
                    </w:rPr>
                    <w:t>3</w:t>
                  </w:r>
                </w:p>
              </w:tc>
              <w:tc>
                <w:tcPr>
                  <w:tcW w:w="688" w:type="pct"/>
                  <w:tcBorders>
                    <w:tl2br w:val="nil"/>
                    <w:tr2bl w:val="nil"/>
                  </w:tcBorders>
                  <w:vAlign w:val="center"/>
                </w:tcPr>
                <w:p w14:paraId="2188D557">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w:t>
                  </w:r>
                </w:p>
              </w:tc>
              <w:tc>
                <w:tcPr>
                  <w:tcW w:w="494" w:type="pct"/>
                  <w:tcBorders>
                    <w:tl2br w:val="nil"/>
                    <w:tr2bl w:val="nil"/>
                  </w:tcBorders>
                  <w:vAlign w:val="center"/>
                </w:tcPr>
                <w:p w14:paraId="012571F2">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w:t>
                  </w:r>
                </w:p>
              </w:tc>
              <w:tc>
                <w:tcPr>
                  <w:tcW w:w="1320" w:type="pct"/>
                  <w:vMerge w:val="continue"/>
                  <w:tcBorders>
                    <w:tl2br w:val="nil"/>
                    <w:tr2bl w:val="nil"/>
                  </w:tcBorders>
                  <w:tcMar>
                    <w:left w:w="0" w:type="dxa"/>
                    <w:right w:w="0" w:type="dxa"/>
                  </w:tcMar>
                  <w:vAlign w:val="center"/>
                </w:tcPr>
                <w:p w14:paraId="2D5BAFF3">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p>
              </w:tc>
            </w:tr>
            <w:tr w14:paraId="4745A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0" w:hRule="atLeast"/>
              </w:trPr>
              <w:tc>
                <w:tcPr>
                  <w:tcW w:w="394" w:type="pct"/>
                  <w:vMerge w:val="continue"/>
                  <w:tcBorders>
                    <w:tl2br w:val="nil"/>
                    <w:tr2bl w:val="nil"/>
                  </w:tcBorders>
                  <w:tcMar>
                    <w:left w:w="0" w:type="dxa"/>
                    <w:right w:w="0" w:type="dxa"/>
                  </w:tcMar>
                  <w:vAlign w:val="center"/>
                </w:tcPr>
                <w:p w14:paraId="4A1E484C">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p>
              </w:tc>
              <w:tc>
                <w:tcPr>
                  <w:tcW w:w="648" w:type="pct"/>
                  <w:vMerge w:val="continue"/>
                  <w:tcBorders>
                    <w:tl2br w:val="nil"/>
                    <w:tr2bl w:val="nil"/>
                  </w:tcBorders>
                  <w:vAlign w:val="center"/>
                </w:tcPr>
                <w:p w14:paraId="1F41F6E0">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p>
              </w:tc>
              <w:tc>
                <w:tcPr>
                  <w:tcW w:w="617" w:type="pct"/>
                  <w:tcBorders>
                    <w:tl2br w:val="nil"/>
                    <w:tr2bl w:val="nil"/>
                  </w:tcBorders>
                  <w:vAlign w:val="center"/>
                </w:tcPr>
                <w:p w14:paraId="61A45E05">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非甲烷总烃</w:t>
                  </w:r>
                </w:p>
              </w:tc>
              <w:tc>
                <w:tcPr>
                  <w:tcW w:w="837" w:type="pct"/>
                  <w:tcBorders>
                    <w:tl2br w:val="nil"/>
                    <w:tr2bl w:val="nil"/>
                  </w:tcBorders>
                  <w:vAlign w:val="center"/>
                </w:tcPr>
                <w:p w14:paraId="561F4D40">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4.0mg/m</w:t>
                  </w:r>
                  <w:r>
                    <w:rPr>
                      <w:rFonts w:hint="eastAsia"/>
                      <w:bCs/>
                      <w:snapToGrid w:val="0"/>
                      <w:color w:val="auto"/>
                      <w:sz w:val="21"/>
                      <w:szCs w:val="21"/>
                      <w:vertAlign w:val="superscript"/>
                    </w:rPr>
                    <w:t>3</w:t>
                  </w:r>
                </w:p>
              </w:tc>
              <w:tc>
                <w:tcPr>
                  <w:tcW w:w="688" w:type="pct"/>
                  <w:tcBorders>
                    <w:tl2br w:val="nil"/>
                    <w:tr2bl w:val="nil"/>
                  </w:tcBorders>
                  <w:vAlign w:val="center"/>
                </w:tcPr>
                <w:p w14:paraId="03D30B93">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w:t>
                  </w:r>
                </w:p>
              </w:tc>
              <w:tc>
                <w:tcPr>
                  <w:tcW w:w="494" w:type="pct"/>
                  <w:tcBorders>
                    <w:tl2br w:val="nil"/>
                    <w:tr2bl w:val="nil"/>
                  </w:tcBorders>
                  <w:vAlign w:val="center"/>
                </w:tcPr>
                <w:p w14:paraId="107F1748">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w:t>
                  </w:r>
                </w:p>
              </w:tc>
              <w:tc>
                <w:tcPr>
                  <w:tcW w:w="1320" w:type="pct"/>
                  <w:vMerge w:val="continue"/>
                  <w:tcBorders>
                    <w:tl2br w:val="nil"/>
                    <w:tr2bl w:val="nil"/>
                  </w:tcBorders>
                  <w:tcMar>
                    <w:left w:w="0" w:type="dxa"/>
                    <w:right w:w="0" w:type="dxa"/>
                  </w:tcMar>
                  <w:vAlign w:val="center"/>
                </w:tcPr>
                <w:p w14:paraId="676F77F5">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p>
              </w:tc>
            </w:tr>
            <w:tr w14:paraId="68921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0" w:hRule="atLeast"/>
              </w:trPr>
              <w:tc>
                <w:tcPr>
                  <w:tcW w:w="394" w:type="pct"/>
                  <w:vMerge w:val="continue"/>
                  <w:tcBorders>
                    <w:tl2br w:val="nil"/>
                    <w:tr2bl w:val="nil"/>
                  </w:tcBorders>
                  <w:tcMar>
                    <w:left w:w="0" w:type="dxa"/>
                    <w:right w:w="0" w:type="dxa"/>
                  </w:tcMar>
                  <w:vAlign w:val="center"/>
                </w:tcPr>
                <w:p w14:paraId="473C7A2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p>
              </w:tc>
              <w:tc>
                <w:tcPr>
                  <w:tcW w:w="648" w:type="pct"/>
                  <w:vMerge w:val="continue"/>
                  <w:tcBorders>
                    <w:tl2br w:val="nil"/>
                    <w:tr2bl w:val="nil"/>
                  </w:tcBorders>
                  <w:vAlign w:val="center"/>
                </w:tcPr>
                <w:p w14:paraId="367AB9FD">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p>
              </w:tc>
              <w:tc>
                <w:tcPr>
                  <w:tcW w:w="617" w:type="pct"/>
                  <w:vMerge w:val="restart"/>
                  <w:tcBorders>
                    <w:tl2br w:val="nil"/>
                    <w:tr2bl w:val="nil"/>
                  </w:tcBorders>
                  <w:vAlign w:val="center"/>
                </w:tcPr>
                <w:p w14:paraId="18F34563">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非甲烷总烃（厂区内维修车间、危废暂存库外）</w:t>
                  </w:r>
                </w:p>
              </w:tc>
              <w:tc>
                <w:tcPr>
                  <w:tcW w:w="837" w:type="pct"/>
                  <w:tcBorders>
                    <w:tl2br w:val="nil"/>
                    <w:tr2bl w:val="nil"/>
                  </w:tcBorders>
                  <w:vAlign w:val="center"/>
                </w:tcPr>
                <w:p w14:paraId="7837F69A">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6mg/m</w:t>
                  </w:r>
                  <w:r>
                    <w:rPr>
                      <w:rFonts w:hint="eastAsia"/>
                      <w:bCs/>
                      <w:snapToGrid w:val="0"/>
                      <w:color w:val="auto"/>
                      <w:sz w:val="21"/>
                      <w:szCs w:val="21"/>
                      <w:vertAlign w:val="superscript"/>
                    </w:rPr>
                    <w:t>3</w:t>
                  </w:r>
                  <w:r>
                    <w:rPr>
                      <w:rFonts w:hint="eastAsia"/>
                      <w:bCs/>
                      <w:snapToGrid w:val="0"/>
                      <w:color w:val="auto"/>
                      <w:sz w:val="21"/>
                      <w:szCs w:val="21"/>
                    </w:rPr>
                    <w:t>（监控点处1小时平均浓度值）</w:t>
                  </w:r>
                </w:p>
              </w:tc>
              <w:tc>
                <w:tcPr>
                  <w:tcW w:w="688" w:type="pct"/>
                  <w:tcBorders>
                    <w:tl2br w:val="nil"/>
                    <w:tr2bl w:val="nil"/>
                  </w:tcBorders>
                  <w:vAlign w:val="center"/>
                </w:tcPr>
                <w:p w14:paraId="3FF0D32A">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w:t>
                  </w:r>
                </w:p>
              </w:tc>
              <w:tc>
                <w:tcPr>
                  <w:tcW w:w="494" w:type="pct"/>
                  <w:tcBorders>
                    <w:tl2br w:val="nil"/>
                    <w:tr2bl w:val="nil"/>
                  </w:tcBorders>
                  <w:vAlign w:val="center"/>
                </w:tcPr>
                <w:p w14:paraId="7A337744">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w:t>
                  </w:r>
                </w:p>
              </w:tc>
              <w:tc>
                <w:tcPr>
                  <w:tcW w:w="1320" w:type="pct"/>
                  <w:vMerge w:val="restart"/>
                  <w:tcBorders>
                    <w:tl2br w:val="nil"/>
                    <w:tr2bl w:val="nil"/>
                  </w:tcBorders>
                  <w:tcMar>
                    <w:left w:w="0" w:type="dxa"/>
                    <w:right w:w="0" w:type="dxa"/>
                  </w:tcMar>
                  <w:vAlign w:val="center"/>
                </w:tcPr>
                <w:p w14:paraId="6621F6DB">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r>
                    <w:rPr>
                      <w:rFonts w:hint="eastAsia"/>
                      <w:bCs/>
                      <w:color w:val="auto"/>
                      <w:sz w:val="21"/>
                      <w:szCs w:val="21"/>
                    </w:rPr>
                    <w:t>《挥发性有机物无组织排放控制标准》（</w:t>
                  </w:r>
                  <w:r>
                    <w:rPr>
                      <w:bCs/>
                      <w:color w:val="auto"/>
                      <w:sz w:val="21"/>
                      <w:szCs w:val="21"/>
                    </w:rPr>
                    <w:t>GB37822-2019</w:t>
                  </w:r>
                  <w:r>
                    <w:rPr>
                      <w:rFonts w:hint="eastAsia"/>
                      <w:bCs/>
                      <w:color w:val="auto"/>
                      <w:sz w:val="21"/>
                      <w:szCs w:val="21"/>
                    </w:rPr>
                    <w:t>）</w:t>
                  </w:r>
                </w:p>
              </w:tc>
            </w:tr>
            <w:tr w14:paraId="1E393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0" w:hRule="atLeast"/>
              </w:trPr>
              <w:tc>
                <w:tcPr>
                  <w:tcW w:w="394" w:type="pct"/>
                  <w:vMerge w:val="continue"/>
                  <w:tcBorders>
                    <w:tl2br w:val="nil"/>
                    <w:tr2bl w:val="nil"/>
                  </w:tcBorders>
                  <w:tcMar>
                    <w:left w:w="0" w:type="dxa"/>
                    <w:right w:w="0" w:type="dxa"/>
                  </w:tcMar>
                  <w:vAlign w:val="center"/>
                </w:tcPr>
                <w:p w14:paraId="3F70D877">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p>
              </w:tc>
              <w:tc>
                <w:tcPr>
                  <w:tcW w:w="648" w:type="pct"/>
                  <w:vMerge w:val="continue"/>
                  <w:tcBorders>
                    <w:tl2br w:val="nil"/>
                    <w:tr2bl w:val="nil"/>
                  </w:tcBorders>
                  <w:vAlign w:val="center"/>
                </w:tcPr>
                <w:p w14:paraId="48F71317">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p>
              </w:tc>
              <w:tc>
                <w:tcPr>
                  <w:tcW w:w="617" w:type="pct"/>
                  <w:vMerge w:val="continue"/>
                  <w:tcBorders>
                    <w:tl2br w:val="nil"/>
                    <w:tr2bl w:val="nil"/>
                  </w:tcBorders>
                  <w:vAlign w:val="center"/>
                </w:tcPr>
                <w:p w14:paraId="0711B823">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p>
              </w:tc>
              <w:tc>
                <w:tcPr>
                  <w:tcW w:w="837" w:type="pct"/>
                  <w:tcBorders>
                    <w:tl2br w:val="nil"/>
                    <w:tr2bl w:val="nil"/>
                  </w:tcBorders>
                  <w:vAlign w:val="center"/>
                </w:tcPr>
                <w:p w14:paraId="7D773B86">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20mg/m</w:t>
                  </w:r>
                  <w:r>
                    <w:rPr>
                      <w:rFonts w:hint="eastAsia"/>
                      <w:bCs/>
                      <w:snapToGrid w:val="0"/>
                      <w:color w:val="auto"/>
                      <w:sz w:val="21"/>
                      <w:szCs w:val="21"/>
                      <w:vertAlign w:val="superscript"/>
                    </w:rPr>
                    <w:t>3</w:t>
                  </w:r>
                  <w:r>
                    <w:rPr>
                      <w:rFonts w:hint="eastAsia"/>
                      <w:bCs/>
                      <w:snapToGrid w:val="0"/>
                      <w:color w:val="auto"/>
                      <w:sz w:val="21"/>
                      <w:szCs w:val="21"/>
                    </w:rPr>
                    <w:t>（监控点处任意一次浓度值）</w:t>
                  </w:r>
                </w:p>
              </w:tc>
              <w:tc>
                <w:tcPr>
                  <w:tcW w:w="688" w:type="pct"/>
                  <w:tcBorders>
                    <w:tl2br w:val="nil"/>
                    <w:tr2bl w:val="nil"/>
                  </w:tcBorders>
                  <w:vAlign w:val="center"/>
                </w:tcPr>
                <w:p w14:paraId="111BECF3">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w:t>
                  </w:r>
                </w:p>
              </w:tc>
              <w:tc>
                <w:tcPr>
                  <w:tcW w:w="494" w:type="pct"/>
                  <w:tcBorders>
                    <w:tl2br w:val="nil"/>
                    <w:tr2bl w:val="nil"/>
                  </w:tcBorders>
                  <w:vAlign w:val="center"/>
                </w:tcPr>
                <w:p w14:paraId="7B45DB34">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snapToGrid w:val="0"/>
                      <w:color w:val="auto"/>
                      <w:sz w:val="21"/>
                      <w:szCs w:val="21"/>
                    </w:rPr>
                  </w:pPr>
                  <w:r>
                    <w:rPr>
                      <w:rFonts w:hint="eastAsia"/>
                      <w:bCs/>
                      <w:snapToGrid w:val="0"/>
                      <w:color w:val="auto"/>
                      <w:sz w:val="21"/>
                      <w:szCs w:val="21"/>
                    </w:rPr>
                    <w:t>/</w:t>
                  </w:r>
                </w:p>
              </w:tc>
              <w:tc>
                <w:tcPr>
                  <w:tcW w:w="1320" w:type="pct"/>
                  <w:vMerge w:val="continue"/>
                  <w:tcBorders>
                    <w:tl2br w:val="nil"/>
                    <w:tr2bl w:val="nil"/>
                  </w:tcBorders>
                  <w:tcMar>
                    <w:left w:w="0" w:type="dxa"/>
                    <w:right w:w="0" w:type="dxa"/>
                  </w:tcMar>
                  <w:vAlign w:val="center"/>
                </w:tcPr>
                <w:p w14:paraId="326C4EC0">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bCs/>
                      <w:color w:val="auto"/>
                      <w:sz w:val="21"/>
                      <w:szCs w:val="21"/>
                    </w:rPr>
                  </w:pPr>
                </w:p>
              </w:tc>
            </w:tr>
          </w:tbl>
          <w:p w14:paraId="1F99C5C3">
            <w:pPr>
              <w:spacing w:line="500" w:lineRule="exact"/>
              <w:ind w:firstLine="482" w:firstLineChars="200"/>
              <w:rPr>
                <w:b/>
                <w:bCs/>
                <w:color w:val="auto"/>
              </w:rPr>
            </w:pPr>
            <w:r>
              <w:rPr>
                <w:rFonts w:hint="eastAsia"/>
                <w:b/>
                <w:bCs/>
                <w:color w:val="auto"/>
              </w:rPr>
              <w:t>2、废水排放标准</w:t>
            </w:r>
          </w:p>
          <w:p w14:paraId="4027D082">
            <w:pPr>
              <w:spacing w:line="500" w:lineRule="exact"/>
              <w:ind w:firstLine="480" w:firstLineChars="200"/>
              <w:rPr>
                <w:color w:val="auto"/>
              </w:rPr>
            </w:pPr>
            <w:r>
              <w:rPr>
                <w:rFonts w:hint="eastAsia" w:ascii="Times New Roman" w:hAnsi="Times New Roman" w:eastAsia="宋体" w:cs="Times New Roman"/>
                <w:color w:val="auto"/>
              </w:rPr>
              <w:t>本项目维修车间清洗废水经一体化污水处理设施处理后用于厂区绿化、道路洒水，</w:t>
            </w:r>
            <w:r>
              <w:rPr>
                <w:rFonts w:hint="default" w:ascii="Times New Roman" w:hAnsi="Times New Roman" w:eastAsia="宋体" w:cs="Times New Roman"/>
                <w:color w:val="auto"/>
                <w:lang w:eastAsia="zh-CN"/>
              </w:rPr>
              <w:t>回用</w:t>
            </w:r>
            <w:r>
              <w:rPr>
                <w:rFonts w:hint="eastAsia" w:ascii="Times New Roman" w:hAnsi="Times New Roman" w:eastAsia="宋体" w:cs="Times New Roman"/>
                <w:color w:val="auto"/>
                <w:lang w:val="en-US" w:eastAsia="zh-CN"/>
              </w:rPr>
              <w:t>水</w:t>
            </w:r>
            <w:r>
              <w:rPr>
                <w:rFonts w:hint="default" w:ascii="Times New Roman" w:hAnsi="Times New Roman" w:eastAsia="宋体" w:cs="Times New Roman"/>
                <w:color w:val="auto"/>
                <w:lang w:eastAsia="zh-CN"/>
              </w:rPr>
              <w:t>执行</w:t>
            </w:r>
            <w:r>
              <w:rPr>
                <w:rFonts w:hint="default" w:ascii="Times New Roman" w:hAnsi="Times New Roman" w:eastAsia="宋体" w:cs="Times New Roman"/>
                <w:color w:val="auto"/>
              </w:rPr>
              <w:t>《城市污水再生利用城市杂用水水质》</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GB/T18920­2020</w:t>
            </w:r>
            <w:r>
              <w:rPr>
                <w:rFonts w:hint="eastAsia" w:ascii="Times New Roman" w:hAnsi="Times New Roman" w:eastAsia="宋体" w:cs="Times New Roman"/>
                <w:color w:val="auto"/>
                <w:lang w:eastAsia="zh-CN"/>
              </w:rPr>
              <w:t>）</w:t>
            </w:r>
            <w:r>
              <w:rPr>
                <w:rFonts w:hint="eastAsia" w:cs="Times New Roman"/>
                <w:color w:val="auto"/>
                <w:lang w:val="en-US" w:eastAsia="zh-CN"/>
              </w:rPr>
              <w:t>中表1城市绿化、道路清扫</w:t>
            </w:r>
            <w:r>
              <w:rPr>
                <w:rFonts w:hint="eastAsia" w:ascii="Times New Roman" w:hAnsi="Times New Roman" w:eastAsia="宋体" w:cs="Times New Roman"/>
                <w:color w:val="auto"/>
                <w:lang w:val="en-US" w:eastAsia="zh-CN"/>
              </w:rPr>
              <w:t>标准要求</w:t>
            </w:r>
            <w:r>
              <w:rPr>
                <w:rFonts w:hint="eastAsia" w:cs="Times New Roman"/>
                <w:color w:val="FF0000"/>
                <w:lang w:val="en-US" w:eastAsia="zh-CN"/>
              </w:rPr>
              <w:t>和</w:t>
            </w:r>
            <w:r>
              <w:rPr>
                <w:color w:val="FF0000"/>
              </w:rPr>
              <w:t>《污水综合排放标准》（GB8978-1996）中</w:t>
            </w:r>
            <w:r>
              <w:rPr>
                <w:rFonts w:hint="eastAsia"/>
                <w:color w:val="FF0000"/>
                <w:lang w:val="en-US" w:eastAsia="zh-CN"/>
              </w:rPr>
              <w:t>表1和表4一级标准</w:t>
            </w:r>
            <w:r>
              <w:rPr>
                <w:rFonts w:hint="eastAsia" w:ascii="Times New Roman" w:hAnsi="Times New Roman" w:eastAsia="宋体" w:cs="Times New Roman"/>
                <w:color w:val="auto"/>
                <w:lang w:eastAsia="zh-CN"/>
              </w:rPr>
              <w:t>；</w:t>
            </w:r>
            <w:r>
              <w:rPr>
                <w:rFonts w:hint="eastAsia"/>
                <w:color w:val="auto"/>
              </w:rPr>
              <w:t>生活污水经化粪池处理后排入园区生活污水处理厂</w:t>
            </w:r>
            <w:r>
              <w:rPr>
                <w:rFonts w:hint="eastAsia"/>
                <w:color w:val="auto"/>
                <w:lang w:eastAsia="zh-CN"/>
              </w:rPr>
              <w:t>，</w:t>
            </w:r>
            <w:r>
              <w:rPr>
                <w:rFonts w:hint="eastAsia"/>
                <w:color w:val="auto"/>
              </w:rPr>
              <w:t>执行</w:t>
            </w:r>
            <w:r>
              <w:rPr>
                <w:color w:val="auto"/>
              </w:rPr>
              <w:t>《污水综合排放标准》（GB8978-1996）中</w:t>
            </w:r>
            <w:r>
              <w:rPr>
                <w:rFonts w:hint="eastAsia"/>
                <w:color w:val="auto"/>
                <w:lang w:val="en-US" w:eastAsia="zh-CN"/>
              </w:rPr>
              <w:t>表4</w:t>
            </w:r>
            <w:r>
              <w:rPr>
                <w:color w:val="auto"/>
              </w:rPr>
              <w:t>三级排放标准</w:t>
            </w:r>
            <w:r>
              <w:rPr>
                <w:rFonts w:hint="eastAsia"/>
                <w:color w:val="auto"/>
              </w:rPr>
              <w:t>。具体标准值见下表：</w:t>
            </w:r>
          </w:p>
          <w:p w14:paraId="4890104C">
            <w:pPr>
              <w:spacing w:line="500" w:lineRule="exact"/>
              <w:jc w:val="center"/>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rPr>
              <w:t>表</w:t>
            </w:r>
            <w:r>
              <w:rPr>
                <w:rFonts w:hint="eastAsia" w:ascii="Times New Roman" w:hAnsi="Times New Roman" w:eastAsia="宋体" w:cs="Times New Roman"/>
                <w:b/>
                <w:bCs/>
                <w:color w:val="auto"/>
                <w:lang w:val="en-US" w:eastAsia="zh-CN"/>
              </w:rPr>
              <w:t>3-10</w:t>
            </w:r>
            <w:r>
              <w:rPr>
                <w:rFonts w:hint="default" w:ascii="Times New Roman" w:hAnsi="Times New Roman" w:eastAsia="宋体" w:cs="Times New Roman"/>
                <w:b/>
                <w:bCs/>
                <w:color w:val="auto"/>
              </w:rPr>
              <w:t xml:space="preserve">  </w:t>
            </w:r>
            <w:r>
              <w:rPr>
                <w:rFonts w:hint="eastAsia" w:cs="Times New Roman"/>
                <w:b/>
                <w:bCs/>
                <w:color w:val="auto"/>
                <w:lang w:val="en-US" w:eastAsia="zh-CN"/>
              </w:rPr>
              <w:t>维修车间清洗废水排放执行标准</w:t>
            </w:r>
          </w:p>
          <w:tbl>
            <w:tblPr>
              <w:tblStyle w:val="25"/>
              <w:tblW w:w="503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30"/>
              <w:gridCol w:w="2038"/>
              <w:gridCol w:w="2817"/>
              <w:gridCol w:w="2817"/>
            </w:tblGrid>
            <w:tr w14:paraId="64791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8" w:type="pct"/>
                  <w:tcBorders>
                    <w:tl2br w:val="nil"/>
                    <w:tr2bl w:val="nil"/>
                  </w:tcBorders>
                  <w:noWrap w:val="0"/>
                  <w:vAlign w:val="center"/>
                </w:tcPr>
                <w:p w14:paraId="386FDCCC">
                  <w:pPr>
                    <w:spacing w:line="360" w:lineRule="exact"/>
                    <w:jc w:val="center"/>
                    <w:rPr>
                      <w:rFonts w:hint="default" w:ascii="Times New Roman" w:hAnsi="Times New Roman" w:eastAsia="宋体" w:cs="Times New Roman"/>
                      <w:strike w:val="0"/>
                      <w:dstrike w:val="0"/>
                      <w:color w:val="auto"/>
                      <w:spacing w:val="4"/>
                      <w:sz w:val="21"/>
                      <w:szCs w:val="21"/>
                    </w:rPr>
                  </w:pPr>
                  <w:r>
                    <w:rPr>
                      <w:rFonts w:hint="default" w:ascii="Times New Roman" w:hAnsi="Times New Roman" w:eastAsia="宋体" w:cs="Times New Roman"/>
                      <w:strike w:val="0"/>
                      <w:dstrike w:val="0"/>
                      <w:color w:val="auto"/>
                      <w:spacing w:val="4"/>
                      <w:sz w:val="21"/>
                      <w:szCs w:val="21"/>
                    </w:rPr>
                    <w:t>序号</w:t>
                  </w:r>
                </w:p>
              </w:tc>
              <w:tc>
                <w:tcPr>
                  <w:tcW w:w="1198" w:type="pct"/>
                  <w:tcBorders>
                    <w:tl2br w:val="nil"/>
                    <w:tr2bl w:val="nil"/>
                  </w:tcBorders>
                  <w:noWrap w:val="0"/>
                  <w:vAlign w:val="center"/>
                </w:tcPr>
                <w:p w14:paraId="3FAEC99A">
                  <w:pPr>
                    <w:spacing w:line="360" w:lineRule="exact"/>
                    <w:jc w:val="center"/>
                    <w:rPr>
                      <w:rFonts w:hint="default" w:ascii="Times New Roman" w:hAnsi="Times New Roman" w:eastAsia="宋体" w:cs="Times New Roman"/>
                      <w:strike w:val="0"/>
                      <w:dstrike w:val="0"/>
                      <w:color w:val="auto"/>
                      <w:spacing w:val="4"/>
                      <w:sz w:val="21"/>
                      <w:szCs w:val="21"/>
                    </w:rPr>
                  </w:pPr>
                  <w:r>
                    <w:rPr>
                      <w:rFonts w:hint="default" w:ascii="Times New Roman" w:hAnsi="Times New Roman" w:eastAsia="宋体" w:cs="Times New Roman"/>
                      <w:strike w:val="0"/>
                      <w:dstrike w:val="0"/>
                      <w:color w:val="auto"/>
                      <w:spacing w:val="4"/>
                      <w:sz w:val="21"/>
                      <w:szCs w:val="21"/>
                    </w:rPr>
                    <w:t>污染物名称</w:t>
                  </w:r>
                </w:p>
              </w:tc>
              <w:tc>
                <w:tcPr>
                  <w:tcW w:w="1656" w:type="pct"/>
                  <w:tcBorders>
                    <w:tl2br w:val="nil"/>
                    <w:tr2bl w:val="nil"/>
                  </w:tcBorders>
                  <w:noWrap w:val="0"/>
                  <w:vAlign w:val="center"/>
                </w:tcPr>
                <w:p w14:paraId="3C51601D">
                  <w:pPr>
                    <w:spacing w:line="360" w:lineRule="exact"/>
                    <w:jc w:val="center"/>
                    <w:rPr>
                      <w:rFonts w:hint="eastAsia" w:ascii="Times New Roman" w:hAnsi="Times New Roman" w:eastAsia="宋体" w:cs="Times New Roman"/>
                      <w:strike w:val="0"/>
                      <w:dstrike w:val="0"/>
                      <w:color w:val="auto"/>
                      <w:spacing w:val="4"/>
                      <w:sz w:val="21"/>
                      <w:szCs w:val="21"/>
                      <w:lang w:val="en-US" w:eastAsia="zh-CN"/>
                    </w:rPr>
                  </w:pPr>
                  <w:r>
                    <w:rPr>
                      <w:rFonts w:hint="eastAsia" w:cs="Times New Roman"/>
                      <w:strike w:val="0"/>
                      <w:dstrike w:val="0"/>
                      <w:color w:val="auto"/>
                      <w:spacing w:val="4"/>
                      <w:sz w:val="21"/>
                      <w:szCs w:val="21"/>
                      <w:lang w:val="en-US" w:eastAsia="zh-CN"/>
                    </w:rPr>
                    <w:t>标准值</w:t>
                  </w:r>
                </w:p>
              </w:tc>
              <w:tc>
                <w:tcPr>
                  <w:tcW w:w="1656" w:type="pct"/>
                  <w:tcBorders>
                    <w:tl2br w:val="nil"/>
                    <w:tr2bl w:val="nil"/>
                  </w:tcBorders>
                  <w:noWrap w:val="0"/>
                  <w:vAlign w:val="center"/>
                </w:tcPr>
                <w:p w14:paraId="23604657">
                  <w:pPr>
                    <w:spacing w:line="360" w:lineRule="exact"/>
                    <w:jc w:val="center"/>
                    <w:rPr>
                      <w:rFonts w:hint="eastAsia" w:ascii="Times New Roman" w:hAnsi="Times New Roman" w:eastAsia="宋体" w:cs="Times New Roman"/>
                      <w:strike w:val="0"/>
                      <w:dstrike w:val="0"/>
                      <w:color w:val="auto"/>
                      <w:spacing w:val="4"/>
                      <w:sz w:val="21"/>
                      <w:szCs w:val="21"/>
                      <w:lang w:val="en-US" w:eastAsia="zh-CN"/>
                    </w:rPr>
                  </w:pPr>
                  <w:r>
                    <w:rPr>
                      <w:rFonts w:hint="eastAsia" w:cs="Times New Roman"/>
                      <w:strike w:val="0"/>
                      <w:dstrike w:val="0"/>
                      <w:color w:val="auto"/>
                      <w:spacing w:val="4"/>
                      <w:sz w:val="21"/>
                      <w:szCs w:val="21"/>
                      <w:lang w:val="en-US" w:eastAsia="zh-CN"/>
                    </w:rPr>
                    <w:t>备注</w:t>
                  </w:r>
                </w:p>
              </w:tc>
            </w:tr>
            <w:tr w14:paraId="5F738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8" w:type="pct"/>
                  <w:tcBorders>
                    <w:tl2br w:val="nil"/>
                    <w:tr2bl w:val="nil"/>
                  </w:tcBorders>
                  <w:noWrap w:val="0"/>
                  <w:vAlign w:val="center"/>
                </w:tcPr>
                <w:p w14:paraId="1C1C44C7">
                  <w:pPr>
                    <w:spacing w:line="360" w:lineRule="exact"/>
                    <w:jc w:val="center"/>
                    <w:rPr>
                      <w:rFonts w:hint="default" w:ascii="Times New Roman" w:hAnsi="Times New Roman" w:eastAsia="宋体" w:cs="Times New Roman"/>
                      <w:strike w:val="0"/>
                      <w:dstrike w:val="0"/>
                      <w:color w:val="auto"/>
                      <w:spacing w:val="4"/>
                      <w:sz w:val="21"/>
                      <w:szCs w:val="21"/>
                    </w:rPr>
                  </w:pPr>
                  <w:r>
                    <w:rPr>
                      <w:rFonts w:hint="default" w:ascii="Times New Roman" w:hAnsi="Times New Roman" w:eastAsia="宋体" w:cs="Times New Roman"/>
                      <w:strike w:val="0"/>
                      <w:dstrike w:val="0"/>
                      <w:color w:val="auto"/>
                      <w:spacing w:val="4"/>
                      <w:sz w:val="21"/>
                      <w:szCs w:val="21"/>
                    </w:rPr>
                    <w:t>1</w:t>
                  </w:r>
                </w:p>
              </w:tc>
              <w:tc>
                <w:tcPr>
                  <w:tcW w:w="1198" w:type="pct"/>
                  <w:tcBorders>
                    <w:tl2br w:val="nil"/>
                    <w:tr2bl w:val="nil"/>
                  </w:tcBorders>
                  <w:noWrap w:val="0"/>
                  <w:vAlign w:val="center"/>
                </w:tcPr>
                <w:p w14:paraId="1B9039BB">
                  <w:pPr>
                    <w:spacing w:line="360" w:lineRule="exact"/>
                    <w:jc w:val="center"/>
                    <w:rPr>
                      <w:rFonts w:hint="default" w:ascii="Times New Roman" w:hAnsi="Times New Roman" w:eastAsia="宋体" w:cs="Times New Roman"/>
                      <w:strike w:val="0"/>
                      <w:dstrike w:val="0"/>
                      <w:color w:val="auto"/>
                      <w:spacing w:val="4"/>
                      <w:sz w:val="21"/>
                      <w:szCs w:val="21"/>
                    </w:rPr>
                  </w:pPr>
                  <w:r>
                    <w:rPr>
                      <w:rFonts w:hint="default" w:ascii="Times New Roman" w:hAnsi="Times New Roman" w:eastAsia="宋体" w:cs="Times New Roman"/>
                      <w:strike w:val="0"/>
                      <w:dstrike w:val="0"/>
                      <w:color w:val="auto"/>
                      <w:spacing w:val="4"/>
                      <w:sz w:val="21"/>
                      <w:szCs w:val="21"/>
                    </w:rPr>
                    <w:t>pH值</w:t>
                  </w:r>
                </w:p>
              </w:tc>
              <w:tc>
                <w:tcPr>
                  <w:tcW w:w="1656" w:type="pct"/>
                  <w:tcBorders>
                    <w:tl2br w:val="nil"/>
                    <w:tr2bl w:val="nil"/>
                  </w:tcBorders>
                  <w:noWrap w:val="0"/>
                  <w:vAlign w:val="center"/>
                </w:tcPr>
                <w:p w14:paraId="3BE3B5B6">
                  <w:pPr>
                    <w:spacing w:line="360" w:lineRule="exact"/>
                    <w:jc w:val="center"/>
                    <w:rPr>
                      <w:rFonts w:hint="default" w:ascii="Times New Roman" w:hAnsi="Times New Roman" w:eastAsia="宋体" w:cs="Times New Roman"/>
                      <w:strike w:val="0"/>
                      <w:dstrike w:val="0"/>
                      <w:color w:val="auto"/>
                      <w:spacing w:val="4"/>
                      <w:sz w:val="21"/>
                      <w:szCs w:val="21"/>
                    </w:rPr>
                  </w:pPr>
                  <w:r>
                    <w:rPr>
                      <w:rFonts w:hint="default" w:ascii="Times New Roman" w:hAnsi="Times New Roman" w:eastAsia="宋体" w:cs="Times New Roman"/>
                      <w:strike w:val="0"/>
                      <w:dstrike w:val="0"/>
                      <w:color w:val="auto"/>
                      <w:spacing w:val="4"/>
                      <w:sz w:val="21"/>
                      <w:szCs w:val="21"/>
                    </w:rPr>
                    <w:t>6.0~9.0</w:t>
                  </w:r>
                </w:p>
              </w:tc>
              <w:tc>
                <w:tcPr>
                  <w:tcW w:w="1656" w:type="pct"/>
                  <w:vMerge w:val="restart"/>
                  <w:tcBorders>
                    <w:tl2br w:val="nil"/>
                    <w:tr2bl w:val="nil"/>
                  </w:tcBorders>
                  <w:noWrap w:val="0"/>
                  <w:vAlign w:val="center"/>
                </w:tcPr>
                <w:p w14:paraId="7B391CDA">
                  <w:pPr>
                    <w:spacing w:line="360" w:lineRule="exact"/>
                    <w:jc w:val="center"/>
                    <w:rPr>
                      <w:rFonts w:hint="default" w:ascii="Times New Roman" w:hAnsi="Times New Roman" w:eastAsia="宋体" w:cs="Times New Roman"/>
                      <w:strike w:val="0"/>
                      <w:dstrike w:val="0"/>
                      <w:color w:val="auto"/>
                      <w:spacing w:val="4"/>
                      <w:sz w:val="21"/>
                      <w:szCs w:val="21"/>
                    </w:rPr>
                  </w:pPr>
                  <w:r>
                    <w:rPr>
                      <w:rFonts w:hint="default" w:ascii="Times New Roman" w:hAnsi="Times New Roman" w:eastAsia="宋体" w:cs="Times New Roman"/>
                      <w:strike w:val="0"/>
                      <w:dstrike w:val="0"/>
                      <w:color w:val="auto"/>
                      <w:spacing w:val="4"/>
                      <w:sz w:val="21"/>
                      <w:szCs w:val="21"/>
                    </w:rPr>
                    <w:t>《城市污水再生利用城市杂用水水质》</w:t>
                  </w:r>
                  <w:r>
                    <w:rPr>
                      <w:rFonts w:hint="default" w:ascii="Times New Roman" w:hAnsi="Times New Roman" w:eastAsia="宋体" w:cs="Times New Roman"/>
                      <w:strike w:val="0"/>
                      <w:dstrike w:val="0"/>
                      <w:color w:val="auto"/>
                      <w:spacing w:val="4"/>
                      <w:sz w:val="21"/>
                      <w:szCs w:val="21"/>
                      <w:lang w:eastAsia="zh-CN"/>
                    </w:rPr>
                    <w:t>（</w:t>
                  </w:r>
                  <w:r>
                    <w:rPr>
                      <w:rFonts w:hint="default" w:ascii="Times New Roman" w:hAnsi="Times New Roman" w:eastAsia="宋体" w:cs="Times New Roman"/>
                      <w:strike w:val="0"/>
                      <w:dstrike w:val="0"/>
                      <w:color w:val="auto"/>
                      <w:spacing w:val="4"/>
                      <w:sz w:val="21"/>
                      <w:szCs w:val="21"/>
                    </w:rPr>
                    <w:t>GB/T18920</w:t>
                  </w:r>
                  <w:r>
                    <w:rPr>
                      <w:rFonts w:hint="eastAsia" w:cs="Times New Roman"/>
                      <w:strike w:val="0"/>
                      <w:dstrike w:val="0"/>
                      <w:color w:val="auto"/>
                      <w:spacing w:val="4"/>
                      <w:sz w:val="21"/>
                      <w:szCs w:val="21"/>
                      <w:lang w:val="en-US" w:eastAsia="zh-CN"/>
                    </w:rPr>
                    <w:t xml:space="preserve"> </w:t>
                  </w:r>
                  <w:r>
                    <w:rPr>
                      <w:rFonts w:hint="default" w:ascii="Times New Roman" w:hAnsi="Times New Roman" w:eastAsia="宋体" w:cs="Times New Roman"/>
                      <w:strike w:val="0"/>
                      <w:dstrike w:val="0"/>
                      <w:color w:val="auto"/>
                      <w:spacing w:val="4"/>
                      <w:sz w:val="21"/>
                      <w:szCs w:val="21"/>
                    </w:rPr>
                    <w:t>­2020</w:t>
                  </w:r>
                  <w:r>
                    <w:rPr>
                      <w:rFonts w:hint="default" w:ascii="Times New Roman" w:hAnsi="Times New Roman" w:eastAsia="宋体" w:cs="Times New Roman"/>
                      <w:strike w:val="0"/>
                      <w:dstrike w:val="0"/>
                      <w:color w:val="auto"/>
                      <w:spacing w:val="4"/>
                      <w:sz w:val="21"/>
                      <w:szCs w:val="21"/>
                      <w:lang w:eastAsia="zh-CN"/>
                    </w:rPr>
                    <w:t>）</w:t>
                  </w:r>
                  <w:r>
                    <w:rPr>
                      <w:rFonts w:hint="default" w:ascii="Times New Roman" w:hAnsi="Times New Roman" w:eastAsia="宋体" w:cs="Times New Roman"/>
                      <w:strike w:val="0"/>
                      <w:dstrike w:val="0"/>
                      <w:color w:val="auto"/>
                      <w:spacing w:val="4"/>
                      <w:sz w:val="21"/>
                      <w:szCs w:val="21"/>
                      <w:lang w:val="en-US" w:eastAsia="zh-CN"/>
                    </w:rPr>
                    <w:t>中表1</w:t>
                  </w:r>
                  <w:r>
                    <w:rPr>
                      <w:rFonts w:hint="default" w:ascii="Times New Roman" w:hAnsi="Times New Roman" w:eastAsia="宋体" w:cs="Times New Roman"/>
                      <w:strike w:val="0"/>
                      <w:dstrike w:val="0"/>
                      <w:color w:val="auto"/>
                      <w:spacing w:val="4"/>
                      <w:sz w:val="21"/>
                      <w:szCs w:val="21"/>
                    </w:rPr>
                    <w:t>城市绿化</w:t>
                  </w:r>
                  <w:r>
                    <w:rPr>
                      <w:rFonts w:hint="default" w:ascii="Times New Roman" w:hAnsi="Times New Roman" w:eastAsia="宋体" w:cs="Times New Roman"/>
                      <w:strike w:val="0"/>
                      <w:dstrike w:val="0"/>
                      <w:color w:val="auto"/>
                      <w:spacing w:val="4"/>
                      <w:sz w:val="21"/>
                      <w:szCs w:val="21"/>
                      <w:lang w:eastAsia="zh-CN"/>
                    </w:rPr>
                    <w:t>、</w:t>
                  </w:r>
                  <w:r>
                    <w:rPr>
                      <w:rFonts w:hint="default" w:ascii="Times New Roman" w:hAnsi="Times New Roman" w:eastAsia="宋体" w:cs="Times New Roman"/>
                      <w:strike w:val="0"/>
                      <w:dstrike w:val="0"/>
                      <w:color w:val="auto"/>
                      <w:spacing w:val="4"/>
                      <w:sz w:val="21"/>
                      <w:szCs w:val="21"/>
                    </w:rPr>
                    <w:t>道路清扫</w:t>
                  </w:r>
                  <w:r>
                    <w:rPr>
                      <w:rFonts w:hint="default" w:ascii="Times New Roman" w:hAnsi="Times New Roman" w:eastAsia="宋体" w:cs="Times New Roman"/>
                      <w:strike w:val="0"/>
                      <w:dstrike w:val="0"/>
                      <w:color w:val="auto"/>
                      <w:spacing w:val="4"/>
                      <w:sz w:val="21"/>
                      <w:szCs w:val="21"/>
                      <w:lang w:val="en-US" w:eastAsia="zh-CN"/>
                    </w:rPr>
                    <w:t>标准要求</w:t>
                  </w:r>
                </w:p>
              </w:tc>
            </w:tr>
            <w:tr w14:paraId="27D46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8" w:type="pct"/>
                  <w:tcBorders>
                    <w:tl2br w:val="nil"/>
                    <w:tr2bl w:val="nil"/>
                  </w:tcBorders>
                  <w:noWrap w:val="0"/>
                  <w:vAlign w:val="center"/>
                </w:tcPr>
                <w:p w14:paraId="505B7600">
                  <w:pPr>
                    <w:spacing w:line="360" w:lineRule="exact"/>
                    <w:jc w:val="center"/>
                    <w:rPr>
                      <w:rFonts w:hint="default" w:ascii="Times New Roman" w:hAnsi="Times New Roman" w:eastAsia="宋体" w:cs="Times New Roman"/>
                      <w:strike w:val="0"/>
                      <w:dstrike w:val="0"/>
                      <w:color w:val="auto"/>
                      <w:spacing w:val="4"/>
                      <w:sz w:val="21"/>
                      <w:szCs w:val="21"/>
                    </w:rPr>
                  </w:pPr>
                  <w:r>
                    <w:rPr>
                      <w:rFonts w:hint="default" w:ascii="Times New Roman" w:hAnsi="Times New Roman" w:eastAsia="宋体" w:cs="Times New Roman"/>
                      <w:strike w:val="0"/>
                      <w:dstrike w:val="0"/>
                      <w:color w:val="auto"/>
                      <w:spacing w:val="4"/>
                      <w:sz w:val="21"/>
                      <w:szCs w:val="21"/>
                    </w:rPr>
                    <w:t>2</w:t>
                  </w:r>
                </w:p>
              </w:tc>
              <w:tc>
                <w:tcPr>
                  <w:tcW w:w="1198" w:type="pct"/>
                  <w:tcBorders>
                    <w:tl2br w:val="nil"/>
                    <w:tr2bl w:val="nil"/>
                  </w:tcBorders>
                  <w:noWrap w:val="0"/>
                  <w:vAlign w:val="center"/>
                </w:tcPr>
                <w:p w14:paraId="3B943460">
                  <w:pPr>
                    <w:spacing w:line="360" w:lineRule="exact"/>
                    <w:jc w:val="center"/>
                    <w:rPr>
                      <w:rFonts w:hint="default" w:ascii="Times New Roman" w:hAnsi="Times New Roman" w:eastAsia="宋体" w:cs="Times New Roman"/>
                      <w:strike w:val="0"/>
                      <w:dstrike w:val="0"/>
                      <w:color w:val="auto"/>
                      <w:spacing w:val="4"/>
                      <w:sz w:val="21"/>
                      <w:szCs w:val="21"/>
                    </w:rPr>
                  </w:pPr>
                  <w:r>
                    <w:rPr>
                      <w:rFonts w:hint="default" w:ascii="Times New Roman" w:hAnsi="Times New Roman" w:eastAsia="宋体" w:cs="Times New Roman"/>
                      <w:strike w:val="0"/>
                      <w:dstrike w:val="0"/>
                      <w:color w:val="auto"/>
                      <w:spacing w:val="4"/>
                      <w:sz w:val="21"/>
                      <w:szCs w:val="21"/>
                    </w:rPr>
                    <w:t>BOD</w:t>
                  </w:r>
                  <w:r>
                    <w:rPr>
                      <w:rFonts w:hint="default" w:ascii="Times New Roman" w:hAnsi="Times New Roman" w:eastAsia="宋体" w:cs="Times New Roman"/>
                      <w:strike w:val="0"/>
                      <w:dstrike w:val="0"/>
                      <w:color w:val="auto"/>
                      <w:spacing w:val="4"/>
                      <w:sz w:val="21"/>
                      <w:szCs w:val="21"/>
                      <w:vertAlign w:val="subscript"/>
                    </w:rPr>
                    <w:t>5</w:t>
                  </w:r>
                </w:p>
              </w:tc>
              <w:tc>
                <w:tcPr>
                  <w:tcW w:w="1656" w:type="pct"/>
                  <w:tcBorders>
                    <w:tl2br w:val="nil"/>
                    <w:tr2bl w:val="nil"/>
                  </w:tcBorders>
                  <w:noWrap w:val="0"/>
                  <w:vAlign w:val="center"/>
                </w:tcPr>
                <w:p w14:paraId="0518C6EF">
                  <w:pPr>
                    <w:spacing w:line="360" w:lineRule="exact"/>
                    <w:jc w:val="center"/>
                    <w:rPr>
                      <w:rFonts w:hint="default" w:ascii="Times New Roman" w:hAnsi="Times New Roman" w:eastAsia="宋体" w:cs="Times New Roman"/>
                      <w:strike w:val="0"/>
                      <w:dstrike w:val="0"/>
                      <w:color w:val="auto"/>
                      <w:spacing w:val="4"/>
                      <w:sz w:val="21"/>
                      <w:szCs w:val="21"/>
                    </w:rPr>
                  </w:pPr>
                  <w:r>
                    <w:rPr>
                      <w:rFonts w:hint="default" w:ascii="Times New Roman" w:hAnsi="Times New Roman" w:eastAsia="宋体" w:cs="Times New Roman"/>
                      <w:strike w:val="0"/>
                      <w:dstrike w:val="0"/>
                      <w:color w:val="auto"/>
                      <w:spacing w:val="4"/>
                      <w:sz w:val="21"/>
                      <w:szCs w:val="21"/>
                    </w:rPr>
                    <w:t>≤</w:t>
                  </w:r>
                  <w:r>
                    <w:rPr>
                      <w:rFonts w:hint="default" w:ascii="Times New Roman" w:hAnsi="Times New Roman" w:eastAsia="宋体" w:cs="Times New Roman"/>
                      <w:strike w:val="0"/>
                      <w:dstrike w:val="0"/>
                      <w:color w:val="auto"/>
                      <w:spacing w:val="4"/>
                      <w:sz w:val="21"/>
                      <w:szCs w:val="21"/>
                      <w:lang w:val="en-US" w:eastAsia="zh-CN"/>
                    </w:rPr>
                    <w:t>1</w:t>
                  </w:r>
                  <w:r>
                    <w:rPr>
                      <w:rFonts w:hint="default" w:ascii="Times New Roman" w:hAnsi="Times New Roman" w:eastAsia="宋体" w:cs="Times New Roman"/>
                      <w:strike w:val="0"/>
                      <w:dstrike w:val="0"/>
                      <w:color w:val="auto"/>
                      <w:spacing w:val="4"/>
                      <w:sz w:val="21"/>
                      <w:szCs w:val="21"/>
                    </w:rPr>
                    <w:t>0mg/L</w:t>
                  </w:r>
                </w:p>
              </w:tc>
              <w:tc>
                <w:tcPr>
                  <w:tcW w:w="1656" w:type="pct"/>
                  <w:vMerge w:val="continue"/>
                  <w:tcBorders>
                    <w:tl2br w:val="nil"/>
                    <w:tr2bl w:val="nil"/>
                  </w:tcBorders>
                  <w:noWrap w:val="0"/>
                  <w:vAlign w:val="center"/>
                </w:tcPr>
                <w:p w14:paraId="0AF9731E">
                  <w:pPr>
                    <w:spacing w:line="360" w:lineRule="exact"/>
                    <w:jc w:val="center"/>
                    <w:rPr>
                      <w:rFonts w:hint="default" w:ascii="Times New Roman" w:hAnsi="Times New Roman" w:eastAsia="宋体" w:cs="Times New Roman"/>
                      <w:strike w:val="0"/>
                      <w:dstrike w:val="0"/>
                      <w:color w:val="auto"/>
                      <w:spacing w:val="4"/>
                      <w:sz w:val="21"/>
                      <w:szCs w:val="21"/>
                    </w:rPr>
                  </w:pPr>
                </w:p>
              </w:tc>
            </w:tr>
            <w:tr w14:paraId="4246A3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8" w:type="pct"/>
                  <w:tcBorders>
                    <w:tl2br w:val="nil"/>
                    <w:tr2bl w:val="nil"/>
                  </w:tcBorders>
                  <w:noWrap w:val="0"/>
                  <w:vAlign w:val="center"/>
                </w:tcPr>
                <w:p w14:paraId="299D69BE">
                  <w:pPr>
                    <w:spacing w:line="360" w:lineRule="exact"/>
                    <w:jc w:val="center"/>
                    <w:rPr>
                      <w:rFonts w:hint="eastAsia" w:ascii="Times New Roman" w:hAnsi="Times New Roman" w:eastAsia="宋体" w:cs="Times New Roman"/>
                      <w:strike w:val="0"/>
                      <w:dstrike w:val="0"/>
                      <w:color w:val="auto"/>
                      <w:spacing w:val="4"/>
                      <w:sz w:val="21"/>
                      <w:szCs w:val="21"/>
                      <w:lang w:eastAsia="zh-CN"/>
                    </w:rPr>
                  </w:pPr>
                  <w:r>
                    <w:rPr>
                      <w:rFonts w:hint="eastAsia" w:cs="Times New Roman"/>
                      <w:strike w:val="0"/>
                      <w:dstrike w:val="0"/>
                      <w:color w:val="auto"/>
                      <w:spacing w:val="4"/>
                      <w:sz w:val="21"/>
                      <w:szCs w:val="21"/>
                      <w:lang w:val="en-US" w:eastAsia="zh-CN"/>
                    </w:rPr>
                    <w:t>3</w:t>
                  </w:r>
                </w:p>
              </w:tc>
              <w:tc>
                <w:tcPr>
                  <w:tcW w:w="1198" w:type="pct"/>
                  <w:tcBorders>
                    <w:tl2br w:val="nil"/>
                    <w:tr2bl w:val="nil"/>
                  </w:tcBorders>
                  <w:noWrap w:val="0"/>
                  <w:vAlign w:val="center"/>
                </w:tcPr>
                <w:p w14:paraId="78F8AB17">
                  <w:pPr>
                    <w:spacing w:line="360" w:lineRule="exact"/>
                    <w:jc w:val="center"/>
                    <w:rPr>
                      <w:rFonts w:hint="default" w:ascii="Times New Roman" w:hAnsi="Times New Roman" w:eastAsia="宋体" w:cs="Times New Roman"/>
                      <w:strike w:val="0"/>
                      <w:dstrike w:val="0"/>
                      <w:color w:val="auto"/>
                      <w:spacing w:val="4"/>
                      <w:kern w:val="2"/>
                      <w:sz w:val="21"/>
                      <w:szCs w:val="21"/>
                      <w:lang w:val="en-US" w:eastAsia="zh-CN" w:bidi="ar-SA"/>
                    </w:rPr>
                  </w:pPr>
                  <w:r>
                    <w:rPr>
                      <w:rFonts w:hint="default" w:ascii="Times New Roman" w:hAnsi="Times New Roman" w:eastAsia="宋体" w:cs="Times New Roman"/>
                      <w:strike w:val="0"/>
                      <w:dstrike w:val="0"/>
                      <w:color w:val="auto"/>
                      <w:spacing w:val="4"/>
                      <w:sz w:val="21"/>
                      <w:szCs w:val="21"/>
                    </w:rPr>
                    <w:t>阴离子表面活性剂</w:t>
                  </w:r>
                </w:p>
              </w:tc>
              <w:tc>
                <w:tcPr>
                  <w:tcW w:w="1656" w:type="pct"/>
                  <w:tcBorders>
                    <w:tl2br w:val="nil"/>
                    <w:tr2bl w:val="nil"/>
                  </w:tcBorders>
                  <w:noWrap w:val="0"/>
                  <w:vAlign w:val="center"/>
                </w:tcPr>
                <w:p w14:paraId="4A5998B0">
                  <w:pPr>
                    <w:spacing w:line="360" w:lineRule="exact"/>
                    <w:jc w:val="center"/>
                    <w:rPr>
                      <w:rFonts w:hint="default" w:ascii="Times New Roman" w:hAnsi="Times New Roman" w:eastAsia="宋体" w:cs="Times New Roman"/>
                      <w:strike w:val="0"/>
                      <w:dstrike w:val="0"/>
                      <w:color w:val="auto"/>
                      <w:spacing w:val="4"/>
                      <w:kern w:val="2"/>
                      <w:sz w:val="21"/>
                      <w:szCs w:val="21"/>
                      <w:lang w:val="en-US" w:eastAsia="zh-CN" w:bidi="ar-SA"/>
                    </w:rPr>
                  </w:pPr>
                  <w:r>
                    <w:rPr>
                      <w:rFonts w:hint="default" w:ascii="Times New Roman" w:hAnsi="Times New Roman" w:eastAsia="宋体" w:cs="Times New Roman"/>
                      <w:strike w:val="0"/>
                      <w:dstrike w:val="0"/>
                      <w:color w:val="auto"/>
                      <w:spacing w:val="4"/>
                      <w:sz w:val="21"/>
                      <w:szCs w:val="21"/>
                    </w:rPr>
                    <w:t>≤</w:t>
                  </w:r>
                  <w:r>
                    <w:rPr>
                      <w:rFonts w:hint="default" w:ascii="Times New Roman" w:hAnsi="Times New Roman" w:eastAsia="宋体" w:cs="Times New Roman"/>
                      <w:strike w:val="0"/>
                      <w:dstrike w:val="0"/>
                      <w:color w:val="auto"/>
                      <w:spacing w:val="4"/>
                      <w:sz w:val="21"/>
                      <w:szCs w:val="21"/>
                      <w:lang w:val="en-US" w:eastAsia="zh-CN"/>
                    </w:rPr>
                    <w:t>0.5</w:t>
                  </w:r>
                  <w:r>
                    <w:rPr>
                      <w:rFonts w:hint="default" w:ascii="Times New Roman" w:hAnsi="Times New Roman" w:eastAsia="宋体" w:cs="Times New Roman"/>
                      <w:strike w:val="0"/>
                      <w:dstrike w:val="0"/>
                      <w:color w:val="auto"/>
                      <w:spacing w:val="4"/>
                      <w:sz w:val="21"/>
                      <w:szCs w:val="21"/>
                    </w:rPr>
                    <w:t>mg/L</w:t>
                  </w:r>
                </w:p>
              </w:tc>
              <w:tc>
                <w:tcPr>
                  <w:tcW w:w="1656" w:type="pct"/>
                  <w:vMerge w:val="continue"/>
                  <w:tcBorders>
                    <w:tl2br w:val="nil"/>
                    <w:tr2bl w:val="nil"/>
                  </w:tcBorders>
                  <w:noWrap w:val="0"/>
                  <w:vAlign w:val="center"/>
                </w:tcPr>
                <w:p w14:paraId="7F3DBA1C">
                  <w:pPr>
                    <w:spacing w:line="360" w:lineRule="exact"/>
                    <w:jc w:val="center"/>
                    <w:rPr>
                      <w:rFonts w:hint="default" w:ascii="Times New Roman" w:hAnsi="Times New Roman" w:eastAsia="宋体" w:cs="Times New Roman"/>
                      <w:strike w:val="0"/>
                      <w:dstrike w:val="0"/>
                      <w:color w:val="auto"/>
                      <w:spacing w:val="4"/>
                      <w:sz w:val="21"/>
                      <w:szCs w:val="21"/>
                    </w:rPr>
                  </w:pPr>
                </w:p>
              </w:tc>
            </w:tr>
            <w:tr w14:paraId="4257A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8" w:type="pct"/>
                  <w:tcBorders>
                    <w:tl2br w:val="nil"/>
                    <w:tr2bl w:val="nil"/>
                  </w:tcBorders>
                  <w:noWrap w:val="0"/>
                  <w:vAlign w:val="center"/>
                </w:tcPr>
                <w:p w14:paraId="4EE03D17">
                  <w:pPr>
                    <w:spacing w:line="360" w:lineRule="exact"/>
                    <w:jc w:val="center"/>
                    <w:rPr>
                      <w:rFonts w:hint="eastAsia" w:ascii="Times New Roman" w:hAnsi="Times New Roman" w:eastAsia="宋体" w:cs="Times New Roman"/>
                      <w:strike w:val="0"/>
                      <w:dstrike w:val="0"/>
                      <w:color w:val="FF0000"/>
                      <w:spacing w:val="4"/>
                      <w:sz w:val="21"/>
                      <w:szCs w:val="21"/>
                      <w:lang w:val="en-US" w:eastAsia="zh-CN"/>
                    </w:rPr>
                  </w:pPr>
                  <w:r>
                    <w:rPr>
                      <w:rFonts w:hint="eastAsia" w:cs="Times New Roman"/>
                      <w:strike w:val="0"/>
                      <w:dstrike w:val="0"/>
                      <w:color w:val="FF0000"/>
                      <w:spacing w:val="4"/>
                      <w:sz w:val="21"/>
                      <w:szCs w:val="21"/>
                      <w:lang w:val="en-US" w:eastAsia="zh-CN"/>
                    </w:rPr>
                    <w:t>4</w:t>
                  </w:r>
                </w:p>
              </w:tc>
              <w:tc>
                <w:tcPr>
                  <w:tcW w:w="1198" w:type="pct"/>
                  <w:tcBorders>
                    <w:tl2br w:val="nil"/>
                    <w:tr2bl w:val="nil"/>
                  </w:tcBorders>
                  <w:noWrap w:val="0"/>
                  <w:vAlign w:val="center"/>
                </w:tcPr>
                <w:p w14:paraId="740E7623">
                  <w:pPr>
                    <w:spacing w:line="360" w:lineRule="exact"/>
                    <w:jc w:val="center"/>
                    <w:rPr>
                      <w:rFonts w:hint="default" w:ascii="Times New Roman" w:hAnsi="Times New Roman" w:eastAsia="宋体" w:cs="Times New Roman"/>
                      <w:strike w:val="0"/>
                      <w:dstrike w:val="0"/>
                      <w:color w:val="FF0000"/>
                      <w:spacing w:val="4"/>
                      <w:sz w:val="21"/>
                      <w:szCs w:val="21"/>
                    </w:rPr>
                  </w:pPr>
                  <w:r>
                    <w:rPr>
                      <w:rFonts w:ascii="Times New Roman" w:hAnsi="Times New Roman" w:eastAsia="宋体" w:cs="Times New Roman"/>
                      <w:b w:val="0"/>
                      <w:color w:val="FF0000"/>
                      <w:sz w:val="21"/>
                      <w:szCs w:val="21"/>
                    </w:rPr>
                    <w:t>COD</w:t>
                  </w:r>
                </w:p>
              </w:tc>
              <w:tc>
                <w:tcPr>
                  <w:tcW w:w="1656" w:type="pct"/>
                  <w:tcBorders>
                    <w:tl2br w:val="nil"/>
                    <w:tr2bl w:val="nil"/>
                  </w:tcBorders>
                  <w:noWrap w:val="0"/>
                  <w:vAlign w:val="center"/>
                </w:tcPr>
                <w:p w14:paraId="015B0685">
                  <w:pPr>
                    <w:spacing w:line="360" w:lineRule="exact"/>
                    <w:jc w:val="center"/>
                    <w:rPr>
                      <w:rFonts w:hint="default" w:ascii="Times New Roman" w:hAnsi="Times New Roman" w:eastAsia="宋体" w:cs="Times New Roman"/>
                      <w:strike w:val="0"/>
                      <w:dstrike w:val="0"/>
                      <w:color w:val="FF0000"/>
                      <w:spacing w:val="4"/>
                      <w:sz w:val="21"/>
                      <w:szCs w:val="21"/>
                      <w:lang w:val="en-US" w:eastAsia="zh-CN"/>
                    </w:rPr>
                  </w:pPr>
                  <w:r>
                    <w:rPr>
                      <w:rFonts w:hint="default" w:ascii="Times New Roman" w:hAnsi="Times New Roman" w:eastAsia="宋体" w:cs="Times New Roman"/>
                      <w:strike w:val="0"/>
                      <w:dstrike w:val="0"/>
                      <w:color w:val="FF0000"/>
                      <w:spacing w:val="4"/>
                      <w:sz w:val="21"/>
                      <w:szCs w:val="21"/>
                    </w:rPr>
                    <w:t>≤</w:t>
                  </w:r>
                  <w:r>
                    <w:rPr>
                      <w:rFonts w:hint="eastAsia" w:cs="Times New Roman"/>
                      <w:strike w:val="0"/>
                      <w:dstrike w:val="0"/>
                      <w:color w:val="FF0000"/>
                      <w:spacing w:val="4"/>
                      <w:sz w:val="21"/>
                      <w:szCs w:val="21"/>
                      <w:lang w:val="en-US" w:eastAsia="zh-CN"/>
                    </w:rPr>
                    <w:t>100</w:t>
                  </w:r>
                  <w:r>
                    <w:rPr>
                      <w:rFonts w:hint="default" w:ascii="Times New Roman" w:hAnsi="Times New Roman" w:eastAsia="宋体" w:cs="Times New Roman"/>
                      <w:strike w:val="0"/>
                      <w:dstrike w:val="0"/>
                      <w:color w:val="FF0000"/>
                      <w:spacing w:val="4"/>
                      <w:sz w:val="21"/>
                      <w:szCs w:val="21"/>
                    </w:rPr>
                    <w:t>mg/L</w:t>
                  </w:r>
                </w:p>
              </w:tc>
              <w:tc>
                <w:tcPr>
                  <w:tcW w:w="1656" w:type="pct"/>
                  <w:vMerge w:val="restart"/>
                  <w:tcBorders>
                    <w:tl2br w:val="nil"/>
                    <w:tr2bl w:val="nil"/>
                  </w:tcBorders>
                  <w:noWrap w:val="0"/>
                  <w:vAlign w:val="center"/>
                </w:tcPr>
                <w:p w14:paraId="551A7692">
                  <w:pPr>
                    <w:spacing w:line="360" w:lineRule="exact"/>
                    <w:jc w:val="center"/>
                    <w:rPr>
                      <w:rFonts w:hint="default" w:ascii="Times New Roman" w:hAnsi="Times New Roman" w:eastAsia="宋体" w:cs="Times New Roman"/>
                      <w:strike w:val="0"/>
                      <w:dstrike w:val="0"/>
                      <w:color w:val="FF0000"/>
                      <w:spacing w:val="4"/>
                      <w:sz w:val="21"/>
                      <w:szCs w:val="21"/>
                    </w:rPr>
                  </w:pPr>
                  <w:r>
                    <w:rPr>
                      <w:rFonts w:hint="default" w:ascii="Times New Roman" w:hAnsi="Times New Roman" w:eastAsia="宋体" w:cs="Times New Roman"/>
                      <w:strike w:val="0"/>
                      <w:dstrike w:val="0"/>
                      <w:color w:val="FF0000"/>
                      <w:spacing w:val="4"/>
                      <w:sz w:val="21"/>
                      <w:szCs w:val="21"/>
                    </w:rPr>
                    <w:t>《污水综合排放标准》（GB8978-1996）中</w:t>
                  </w:r>
                  <w:r>
                    <w:rPr>
                      <w:rFonts w:hint="default" w:ascii="Times New Roman" w:hAnsi="Times New Roman" w:eastAsia="宋体" w:cs="Times New Roman"/>
                      <w:strike w:val="0"/>
                      <w:dstrike w:val="0"/>
                      <w:color w:val="FF0000"/>
                      <w:spacing w:val="4"/>
                      <w:sz w:val="21"/>
                      <w:szCs w:val="21"/>
                      <w:lang w:val="en-US" w:eastAsia="zh-CN"/>
                    </w:rPr>
                    <w:t>表1和表4一级标准</w:t>
                  </w:r>
                </w:p>
              </w:tc>
            </w:tr>
            <w:tr w14:paraId="58F2D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8" w:type="pct"/>
                  <w:tcBorders>
                    <w:tl2br w:val="nil"/>
                    <w:tr2bl w:val="nil"/>
                  </w:tcBorders>
                  <w:noWrap w:val="0"/>
                  <w:vAlign w:val="center"/>
                </w:tcPr>
                <w:p w14:paraId="1680FCF1">
                  <w:pPr>
                    <w:spacing w:line="360" w:lineRule="exact"/>
                    <w:jc w:val="center"/>
                    <w:rPr>
                      <w:rFonts w:hint="eastAsia" w:ascii="Times New Roman" w:hAnsi="Times New Roman" w:eastAsia="宋体" w:cs="Times New Roman"/>
                      <w:strike w:val="0"/>
                      <w:dstrike w:val="0"/>
                      <w:color w:val="FF0000"/>
                      <w:spacing w:val="4"/>
                      <w:sz w:val="21"/>
                      <w:szCs w:val="21"/>
                      <w:lang w:val="en-US" w:eastAsia="zh-CN"/>
                    </w:rPr>
                  </w:pPr>
                  <w:r>
                    <w:rPr>
                      <w:rFonts w:hint="eastAsia" w:cs="Times New Roman"/>
                      <w:strike w:val="0"/>
                      <w:dstrike w:val="0"/>
                      <w:color w:val="FF0000"/>
                      <w:spacing w:val="4"/>
                      <w:sz w:val="21"/>
                      <w:szCs w:val="21"/>
                      <w:lang w:val="en-US" w:eastAsia="zh-CN"/>
                    </w:rPr>
                    <w:t>5</w:t>
                  </w:r>
                </w:p>
              </w:tc>
              <w:tc>
                <w:tcPr>
                  <w:tcW w:w="1198" w:type="pct"/>
                  <w:tcBorders>
                    <w:tl2br w:val="nil"/>
                    <w:tr2bl w:val="nil"/>
                  </w:tcBorders>
                  <w:noWrap w:val="0"/>
                  <w:vAlign w:val="center"/>
                </w:tcPr>
                <w:p w14:paraId="55E37BE7">
                  <w:pPr>
                    <w:spacing w:line="360" w:lineRule="exact"/>
                    <w:jc w:val="center"/>
                    <w:rPr>
                      <w:rFonts w:hint="default" w:cs="Times New Roman"/>
                      <w:strike w:val="0"/>
                      <w:dstrike w:val="0"/>
                      <w:color w:val="FF0000"/>
                      <w:spacing w:val="4"/>
                      <w:sz w:val="21"/>
                      <w:szCs w:val="21"/>
                      <w:lang w:val="en-US" w:eastAsia="zh-CN"/>
                    </w:rPr>
                  </w:pPr>
                  <w:r>
                    <w:rPr>
                      <w:rFonts w:hint="eastAsia" w:cs="Times New Roman"/>
                      <w:strike w:val="0"/>
                      <w:dstrike w:val="0"/>
                      <w:color w:val="FF0000"/>
                      <w:spacing w:val="4"/>
                      <w:sz w:val="21"/>
                      <w:szCs w:val="21"/>
                      <w:lang w:val="en-US" w:eastAsia="zh-CN"/>
                    </w:rPr>
                    <w:t>SS</w:t>
                  </w:r>
                </w:p>
              </w:tc>
              <w:tc>
                <w:tcPr>
                  <w:tcW w:w="1656" w:type="pct"/>
                  <w:tcBorders>
                    <w:tl2br w:val="nil"/>
                    <w:tr2bl w:val="nil"/>
                  </w:tcBorders>
                  <w:noWrap w:val="0"/>
                  <w:vAlign w:val="center"/>
                </w:tcPr>
                <w:p w14:paraId="63E1ACDF">
                  <w:pPr>
                    <w:spacing w:line="360" w:lineRule="exact"/>
                    <w:jc w:val="center"/>
                    <w:rPr>
                      <w:rFonts w:hint="default" w:cs="Times New Roman"/>
                      <w:strike w:val="0"/>
                      <w:dstrike w:val="0"/>
                      <w:color w:val="FF0000"/>
                      <w:spacing w:val="4"/>
                      <w:sz w:val="21"/>
                      <w:szCs w:val="21"/>
                      <w:lang w:val="en-US" w:eastAsia="zh-CN"/>
                    </w:rPr>
                  </w:pPr>
                  <w:r>
                    <w:rPr>
                      <w:rFonts w:hint="default" w:cs="Times New Roman"/>
                      <w:strike w:val="0"/>
                      <w:dstrike w:val="0"/>
                      <w:color w:val="FF0000"/>
                      <w:spacing w:val="4"/>
                      <w:sz w:val="21"/>
                      <w:szCs w:val="21"/>
                      <w:lang w:val="en-US" w:eastAsia="zh-CN"/>
                    </w:rPr>
                    <w:t>≤</w:t>
                  </w:r>
                  <w:r>
                    <w:rPr>
                      <w:rFonts w:hint="eastAsia" w:cs="Times New Roman"/>
                      <w:strike w:val="0"/>
                      <w:dstrike w:val="0"/>
                      <w:color w:val="FF0000"/>
                      <w:spacing w:val="4"/>
                      <w:sz w:val="21"/>
                      <w:szCs w:val="21"/>
                      <w:lang w:val="en-US" w:eastAsia="zh-CN"/>
                    </w:rPr>
                    <w:t>70</w:t>
                  </w:r>
                  <w:r>
                    <w:rPr>
                      <w:rFonts w:hint="default" w:cs="Times New Roman"/>
                      <w:strike w:val="0"/>
                      <w:dstrike w:val="0"/>
                      <w:color w:val="FF0000"/>
                      <w:spacing w:val="4"/>
                      <w:sz w:val="21"/>
                      <w:szCs w:val="21"/>
                      <w:lang w:val="en-US" w:eastAsia="zh-CN"/>
                    </w:rPr>
                    <w:t>mg/L</w:t>
                  </w:r>
                </w:p>
              </w:tc>
              <w:tc>
                <w:tcPr>
                  <w:tcW w:w="1656" w:type="pct"/>
                  <w:vMerge w:val="continue"/>
                  <w:tcBorders>
                    <w:tl2br w:val="nil"/>
                    <w:tr2bl w:val="nil"/>
                  </w:tcBorders>
                  <w:noWrap w:val="0"/>
                  <w:vAlign w:val="center"/>
                </w:tcPr>
                <w:p w14:paraId="04A1B39F">
                  <w:pPr>
                    <w:spacing w:line="360" w:lineRule="exact"/>
                    <w:jc w:val="center"/>
                    <w:rPr>
                      <w:rFonts w:hint="default" w:ascii="Times New Roman" w:hAnsi="Times New Roman" w:eastAsia="宋体" w:cs="Times New Roman"/>
                      <w:strike w:val="0"/>
                      <w:dstrike w:val="0"/>
                      <w:color w:val="auto"/>
                      <w:spacing w:val="4"/>
                      <w:sz w:val="21"/>
                      <w:szCs w:val="21"/>
                    </w:rPr>
                  </w:pPr>
                </w:p>
              </w:tc>
            </w:tr>
            <w:tr w14:paraId="23EE0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8" w:type="pct"/>
                  <w:tcBorders>
                    <w:tl2br w:val="nil"/>
                    <w:tr2bl w:val="nil"/>
                  </w:tcBorders>
                  <w:noWrap w:val="0"/>
                  <w:vAlign w:val="center"/>
                </w:tcPr>
                <w:p w14:paraId="4B45A48E">
                  <w:pPr>
                    <w:spacing w:line="360" w:lineRule="exact"/>
                    <w:jc w:val="center"/>
                    <w:rPr>
                      <w:rFonts w:hint="eastAsia" w:ascii="Times New Roman" w:hAnsi="Times New Roman" w:eastAsia="宋体" w:cs="Times New Roman"/>
                      <w:strike w:val="0"/>
                      <w:dstrike w:val="0"/>
                      <w:color w:val="FF0000"/>
                      <w:spacing w:val="4"/>
                      <w:sz w:val="21"/>
                      <w:szCs w:val="21"/>
                      <w:lang w:val="en-US" w:eastAsia="zh-CN"/>
                    </w:rPr>
                  </w:pPr>
                  <w:r>
                    <w:rPr>
                      <w:rFonts w:hint="eastAsia" w:cs="Times New Roman"/>
                      <w:strike w:val="0"/>
                      <w:dstrike w:val="0"/>
                      <w:color w:val="FF0000"/>
                      <w:spacing w:val="4"/>
                      <w:sz w:val="21"/>
                      <w:szCs w:val="21"/>
                      <w:lang w:val="en-US" w:eastAsia="zh-CN"/>
                    </w:rPr>
                    <w:t>6</w:t>
                  </w:r>
                </w:p>
              </w:tc>
              <w:tc>
                <w:tcPr>
                  <w:tcW w:w="1198" w:type="pct"/>
                  <w:tcBorders>
                    <w:tl2br w:val="nil"/>
                    <w:tr2bl w:val="nil"/>
                  </w:tcBorders>
                  <w:noWrap w:val="0"/>
                  <w:vAlign w:val="center"/>
                </w:tcPr>
                <w:p w14:paraId="2CB3E796">
                  <w:pPr>
                    <w:spacing w:line="360" w:lineRule="exact"/>
                    <w:jc w:val="center"/>
                    <w:rPr>
                      <w:rFonts w:hint="default" w:ascii="Times New Roman" w:hAnsi="Times New Roman" w:eastAsia="宋体" w:cs="Times New Roman"/>
                      <w:strike w:val="0"/>
                      <w:dstrike w:val="0"/>
                      <w:color w:val="FF0000"/>
                      <w:spacing w:val="4"/>
                      <w:sz w:val="21"/>
                      <w:szCs w:val="21"/>
                    </w:rPr>
                  </w:pPr>
                  <w:r>
                    <w:rPr>
                      <w:color w:val="FF0000"/>
                      <w:sz w:val="21"/>
                      <w:szCs w:val="21"/>
                      <w:lang w:bidi="ar"/>
                    </w:rPr>
                    <w:t>石油类</w:t>
                  </w:r>
                </w:p>
              </w:tc>
              <w:tc>
                <w:tcPr>
                  <w:tcW w:w="1656" w:type="pct"/>
                  <w:tcBorders>
                    <w:tl2br w:val="nil"/>
                    <w:tr2bl w:val="nil"/>
                  </w:tcBorders>
                  <w:noWrap w:val="0"/>
                  <w:vAlign w:val="center"/>
                </w:tcPr>
                <w:p w14:paraId="66BA0DF0">
                  <w:pPr>
                    <w:spacing w:line="360" w:lineRule="exact"/>
                    <w:jc w:val="center"/>
                    <w:rPr>
                      <w:rFonts w:hint="eastAsia" w:ascii="Times New Roman" w:hAnsi="Times New Roman" w:eastAsia="宋体" w:cs="Times New Roman"/>
                      <w:strike w:val="0"/>
                      <w:dstrike w:val="0"/>
                      <w:color w:val="FF0000"/>
                      <w:spacing w:val="4"/>
                      <w:sz w:val="21"/>
                      <w:szCs w:val="21"/>
                      <w:lang w:val="en-US" w:eastAsia="zh-CN"/>
                    </w:rPr>
                  </w:pPr>
                  <w:r>
                    <w:rPr>
                      <w:rFonts w:hint="default" w:ascii="Times New Roman" w:hAnsi="Times New Roman" w:eastAsia="宋体" w:cs="Times New Roman"/>
                      <w:strike w:val="0"/>
                      <w:dstrike w:val="0"/>
                      <w:color w:val="FF0000"/>
                      <w:spacing w:val="4"/>
                      <w:sz w:val="21"/>
                      <w:szCs w:val="21"/>
                    </w:rPr>
                    <w:t>≤</w:t>
                  </w:r>
                  <w:r>
                    <w:rPr>
                      <w:rFonts w:hint="eastAsia" w:cs="Times New Roman"/>
                      <w:strike w:val="0"/>
                      <w:dstrike w:val="0"/>
                      <w:color w:val="FF0000"/>
                      <w:spacing w:val="4"/>
                      <w:sz w:val="21"/>
                      <w:szCs w:val="21"/>
                      <w:lang w:val="en-US" w:eastAsia="zh-CN"/>
                    </w:rPr>
                    <w:t>5</w:t>
                  </w:r>
                  <w:r>
                    <w:rPr>
                      <w:rFonts w:hint="default" w:ascii="Times New Roman" w:hAnsi="Times New Roman" w:eastAsia="宋体" w:cs="Times New Roman"/>
                      <w:strike w:val="0"/>
                      <w:dstrike w:val="0"/>
                      <w:color w:val="FF0000"/>
                      <w:spacing w:val="4"/>
                      <w:sz w:val="21"/>
                      <w:szCs w:val="21"/>
                    </w:rPr>
                    <w:t>mg/L</w:t>
                  </w:r>
                </w:p>
              </w:tc>
              <w:tc>
                <w:tcPr>
                  <w:tcW w:w="1656" w:type="pct"/>
                  <w:vMerge w:val="continue"/>
                  <w:tcBorders>
                    <w:tl2br w:val="nil"/>
                    <w:tr2bl w:val="nil"/>
                  </w:tcBorders>
                  <w:noWrap w:val="0"/>
                  <w:vAlign w:val="center"/>
                </w:tcPr>
                <w:p w14:paraId="77509806">
                  <w:pPr>
                    <w:spacing w:line="360" w:lineRule="exact"/>
                    <w:jc w:val="center"/>
                    <w:rPr>
                      <w:rFonts w:hint="default" w:ascii="Times New Roman" w:hAnsi="Times New Roman" w:eastAsia="宋体" w:cs="Times New Roman"/>
                      <w:strike w:val="0"/>
                      <w:dstrike w:val="0"/>
                      <w:color w:val="auto"/>
                      <w:spacing w:val="4"/>
                      <w:sz w:val="21"/>
                      <w:szCs w:val="21"/>
                    </w:rPr>
                  </w:pPr>
                </w:p>
              </w:tc>
            </w:tr>
            <w:tr w14:paraId="307DD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8" w:type="pct"/>
                  <w:tcBorders>
                    <w:tl2br w:val="nil"/>
                    <w:tr2bl w:val="nil"/>
                  </w:tcBorders>
                  <w:noWrap w:val="0"/>
                  <w:vAlign w:val="center"/>
                </w:tcPr>
                <w:p w14:paraId="5C005661">
                  <w:pPr>
                    <w:spacing w:line="360" w:lineRule="exact"/>
                    <w:jc w:val="center"/>
                    <w:rPr>
                      <w:rFonts w:hint="eastAsia" w:ascii="Times New Roman" w:hAnsi="Times New Roman" w:eastAsia="宋体" w:cs="Times New Roman"/>
                      <w:strike w:val="0"/>
                      <w:dstrike w:val="0"/>
                      <w:color w:val="FF0000"/>
                      <w:spacing w:val="4"/>
                      <w:sz w:val="21"/>
                      <w:szCs w:val="21"/>
                      <w:lang w:val="en-US" w:eastAsia="zh-CN"/>
                    </w:rPr>
                  </w:pPr>
                  <w:r>
                    <w:rPr>
                      <w:rFonts w:hint="eastAsia" w:cs="Times New Roman"/>
                      <w:strike w:val="0"/>
                      <w:dstrike w:val="0"/>
                      <w:color w:val="FF0000"/>
                      <w:spacing w:val="4"/>
                      <w:sz w:val="21"/>
                      <w:szCs w:val="21"/>
                      <w:lang w:val="en-US" w:eastAsia="zh-CN"/>
                    </w:rPr>
                    <w:t>7</w:t>
                  </w:r>
                </w:p>
              </w:tc>
              <w:tc>
                <w:tcPr>
                  <w:tcW w:w="1198" w:type="pct"/>
                  <w:tcBorders>
                    <w:tl2br w:val="nil"/>
                    <w:tr2bl w:val="nil"/>
                  </w:tcBorders>
                  <w:noWrap w:val="0"/>
                  <w:vAlign w:val="center"/>
                </w:tcPr>
                <w:p w14:paraId="2ADEEB63">
                  <w:pPr>
                    <w:spacing w:line="360" w:lineRule="exact"/>
                    <w:jc w:val="center"/>
                    <w:rPr>
                      <w:rFonts w:hint="eastAsia" w:ascii="Times New Roman" w:hAnsi="Times New Roman" w:eastAsia="宋体" w:cs="Times New Roman"/>
                      <w:strike w:val="0"/>
                      <w:dstrike w:val="0"/>
                      <w:color w:val="FF0000"/>
                      <w:spacing w:val="4"/>
                      <w:sz w:val="21"/>
                      <w:szCs w:val="21"/>
                      <w:lang w:val="en-US" w:eastAsia="zh-CN"/>
                    </w:rPr>
                  </w:pPr>
                  <w:r>
                    <w:rPr>
                      <w:rFonts w:hint="eastAsia" w:cs="Times New Roman"/>
                      <w:strike w:val="0"/>
                      <w:dstrike w:val="0"/>
                      <w:color w:val="FF0000"/>
                      <w:spacing w:val="4"/>
                      <w:sz w:val="21"/>
                      <w:szCs w:val="21"/>
                      <w:lang w:val="en-US" w:eastAsia="zh-CN"/>
                    </w:rPr>
                    <w:t>总锌</w:t>
                  </w:r>
                </w:p>
              </w:tc>
              <w:tc>
                <w:tcPr>
                  <w:tcW w:w="1656" w:type="pct"/>
                  <w:tcBorders>
                    <w:tl2br w:val="nil"/>
                    <w:tr2bl w:val="nil"/>
                  </w:tcBorders>
                  <w:noWrap w:val="0"/>
                  <w:vAlign w:val="center"/>
                </w:tcPr>
                <w:p w14:paraId="3EF353EE">
                  <w:pPr>
                    <w:spacing w:line="360" w:lineRule="exact"/>
                    <w:jc w:val="center"/>
                    <w:rPr>
                      <w:rFonts w:hint="default" w:ascii="Times New Roman" w:hAnsi="Times New Roman" w:eastAsia="宋体" w:cs="Times New Roman"/>
                      <w:strike w:val="0"/>
                      <w:dstrike w:val="0"/>
                      <w:color w:val="FF0000"/>
                      <w:spacing w:val="4"/>
                      <w:sz w:val="21"/>
                      <w:szCs w:val="21"/>
                      <w:lang w:val="en-US" w:eastAsia="zh-CN"/>
                    </w:rPr>
                  </w:pPr>
                  <w:r>
                    <w:rPr>
                      <w:rFonts w:hint="default" w:ascii="Times New Roman" w:hAnsi="Times New Roman" w:eastAsia="宋体" w:cs="Times New Roman"/>
                      <w:strike w:val="0"/>
                      <w:dstrike w:val="0"/>
                      <w:color w:val="FF0000"/>
                      <w:spacing w:val="4"/>
                      <w:sz w:val="21"/>
                      <w:szCs w:val="21"/>
                    </w:rPr>
                    <w:t>≤</w:t>
                  </w:r>
                  <w:r>
                    <w:rPr>
                      <w:rFonts w:hint="eastAsia" w:cs="Times New Roman"/>
                      <w:strike w:val="0"/>
                      <w:dstrike w:val="0"/>
                      <w:color w:val="FF0000"/>
                      <w:spacing w:val="4"/>
                      <w:sz w:val="21"/>
                      <w:szCs w:val="21"/>
                      <w:lang w:val="en-US" w:eastAsia="zh-CN"/>
                    </w:rPr>
                    <w:t>2.0</w:t>
                  </w:r>
                  <w:r>
                    <w:rPr>
                      <w:rFonts w:hint="default" w:ascii="Times New Roman" w:hAnsi="Times New Roman" w:eastAsia="宋体" w:cs="Times New Roman"/>
                      <w:strike w:val="0"/>
                      <w:dstrike w:val="0"/>
                      <w:color w:val="FF0000"/>
                      <w:spacing w:val="4"/>
                      <w:sz w:val="21"/>
                      <w:szCs w:val="21"/>
                    </w:rPr>
                    <w:t>mg/L</w:t>
                  </w:r>
                </w:p>
              </w:tc>
              <w:tc>
                <w:tcPr>
                  <w:tcW w:w="1656" w:type="pct"/>
                  <w:vMerge w:val="continue"/>
                  <w:tcBorders>
                    <w:tl2br w:val="nil"/>
                    <w:tr2bl w:val="nil"/>
                  </w:tcBorders>
                  <w:noWrap w:val="0"/>
                  <w:vAlign w:val="center"/>
                </w:tcPr>
                <w:p w14:paraId="1E0BC3A5">
                  <w:pPr>
                    <w:spacing w:line="360" w:lineRule="exact"/>
                    <w:jc w:val="center"/>
                    <w:rPr>
                      <w:rFonts w:hint="default" w:ascii="Times New Roman" w:hAnsi="Times New Roman" w:eastAsia="宋体" w:cs="Times New Roman"/>
                      <w:strike w:val="0"/>
                      <w:dstrike w:val="0"/>
                      <w:color w:val="auto"/>
                      <w:spacing w:val="4"/>
                      <w:sz w:val="21"/>
                      <w:szCs w:val="21"/>
                    </w:rPr>
                  </w:pPr>
                </w:p>
              </w:tc>
            </w:tr>
            <w:tr w14:paraId="7449C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8" w:type="pct"/>
                  <w:tcBorders>
                    <w:tl2br w:val="nil"/>
                    <w:tr2bl w:val="nil"/>
                  </w:tcBorders>
                  <w:noWrap w:val="0"/>
                  <w:vAlign w:val="center"/>
                </w:tcPr>
                <w:p w14:paraId="22496FF8">
                  <w:pPr>
                    <w:spacing w:line="360" w:lineRule="exact"/>
                    <w:jc w:val="center"/>
                    <w:rPr>
                      <w:rFonts w:hint="eastAsia" w:ascii="Times New Roman" w:hAnsi="Times New Roman" w:eastAsia="宋体" w:cs="Times New Roman"/>
                      <w:strike w:val="0"/>
                      <w:dstrike w:val="0"/>
                      <w:color w:val="FF0000"/>
                      <w:spacing w:val="4"/>
                      <w:sz w:val="21"/>
                      <w:szCs w:val="21"/>
                      <w:lang w:val="en-US" w:eastAsia="zh-CN"/>
                    </w:rPr>
                  </w:pPr>
                  <w:r>
                    <w:rPr>
                      <w:rFonts w:hint="eastAsia" w:cs="Times New Roman"/>
                      <w:strike w:val="0"/>
                      <w:dstrike w:val="0"/>
                      <w:color w:val="FF0000"/>
                      <w:spacing w:val="4"/>
                      <w:sz w:val="21"/>
                      <w:szCs w:val="21"/>
                      <w:lang w:val="en-US" w:eastAsia="zh-CN"/>
                    </w:rPr>
                    <w:t>8</w:t>
                  </w:r>
                </w:p>
              </w:tc>
              <w:tc>
                <w:tcPr>
                  <w:tcW w:w="1198" w:type="pct"/>
                  <w:tcBorders>
                    <w:tl2br w:val="nil"/>
                    <w:tr2bl w:val="nil"/>
                  </w:tcBorders>
                  <w:noWrap w:val="0"/>
                  <w:vAlign w:val="center"/>
                </w:tcPr>
                <w:p w14:paraId="3ADA2702">
                  <w:pPr>
                    <w:spacing w:line="360" w:lineRule="exact"/>
                    <w:jc w:val="center"/>
                    <w:rPr>
                      <w:rFonts w:hint="default" w:ascii="Times New Roman" w:hAnsi="Times New Roman" w:eastAsia="宋体" w:cs="Times New Roman"/>
                      <w:strike w:val="0"/>
                      <w:dstrike w:val="0"/>
                      <w:color w:val="FF0000"/>
                      <w:spacing w:val="4"/>
                      <w:sz w:val="21"/>
                      <w:szCs w:val="21"/>
                      <w:lang w:val="en-US" w:eastAsia="zh-CN"/>
                    </w:rPr>
                  </w:pPr>
                  <w:r>
                    <w:rPr>
                      <w:rFonts w:hint="eastAsia" w:cs="Times New Roman"/>
                      <w:strike w:val="0"/>
                      <w:dstrike w:val="0"/>
                      <w:color w:val="FF0000"/>
                      <w:spacing w:val="4"/>
                      <w:sz w:val="21"/>
                      <w:szCs w:val="21"/>
                      <w:lang w:val="en-US" w:eastAsia="zh-CN"/>
                    </w:rPr>
                    <w:t>总铅</w:t>
                  </w:r>
                </w:p>
              </w:tc>
              <w:tc>
                <w:tcPr>
                  <w:tcW w:w="1656" w:type="pct"/>
                  <w:tcBorders>
                    <w:tl2br w:val="nil"/>
                    <w:tr2bl w:val="nil"/>
                  </w:tcBorders>
                  <w:noWrap w:val="0"/>
                  <w:vAlign w:val="center"/>
                </w:tcPr>
                <w:p w14:paraId="15BAE283">
                  <w:pPr>
                    <w:spacing w:line="360" w:lineRule="exact"/>
                    <w:jc w:val="center"/>
                    <w:rPr>
                      <w:rFonts w:hint="default" w:ascii="Times New Roman" w:hAnsi="Times New Roman" w:eastAsia="宋体" w:cs="Times New Roman"/>
                      <w:strike w:val="0"/>
                      <w:dstrike w:val="0"/>
                      <w:color w:val="FF0000"/>
                      <w:spacing w:val="4"/>
                      <w:sz w:val="21"/>
                      <w:szCs w:val="21"/>
                      <w:lang w:val="en-US" w:eastAsia="zh-CN"/>
                    </w:rPr>
                  </w:pPr>
                  <w:r>
                    <w:rPr>
                      <w:rFonts w:hint="default" w:ascii="Times New Roman" w:hAnsi="Times New Roman" w:eastAsia="宋体" w:cs="Times New Roman"/>
                      <w:strike w:val="0"/>
                      <w:dstrike w:val="0"/>
                      <w:color w:val="FF0000"/>
                      <w:spacing w:val="4"/>
                      <w:sz w:val="21"/>
                      <w:szCs w:val="21"/>
                    </w:rPr>
                    <w:t>≤</w:t>
                  </w:r>
                  <w:r>
                    <w:rPr>
                      <w:rFonts w:hint="eastAsia" w:cs="Times New Roman"/>
                      <w:strike w:val="0"/>
                      <w:dstrike w:val="0"/>
                      <w:color w:val="FF0000"/>
                      <w:spacing w:val="4"/>
                      <w:sz w:val="21"/>
                      <w:szCs w:val="21"/>
                      <w:lang w:val="en-US" w:eastAsia="zh-CN"/>
                    </w:rPr>
                    <w:t>1.0</w:t>
                  </w:r>
                  <w:r>
                    <w:rPr>
                      <w:rFonts w:hint="default" w:ascii="Times New Roman" w:hAnsi="Times New Roman" w:eastAsia="宋体" w:cs="Times New Roman"/>
                      <w:strike w:val="0"/>
                      <w:dstrike w:val="0"/>
                      <w:color w:val="FF0000"/>
                      <w:spacing w:val="4"/>
                      <w:sz w:val="21"/>
                      <w:szCs w:val="21"/>
                    </w:rPr>
                    <w:t>mg/L</w:t>
                  </w:r>
                </w:p>
              </w:tc>
              <w:tc>
                <w:tcPr>
                  <w:tcW w:w="1656" w:type="pct"/>
                  <w:vMerge w:val="continue"/>
                  <w:tcBorders>
                    <w:tl2br w:val="nil"/>
                    <w:tr2bl w:val="nil"/>
                  </w:tcBorders>
                  <w:noWrap w:val="0"/>
                  <w:vAlign w:val="center"/>
                </w:tcPr>
                <w:p w14:paraId="02A399C1">
                  <w:pPr>
                    <w:spacing w:line="360" w:lineRule="exact"/>
                    <w:jc w:val="center"/>
                    <w:rPr>
                      <w:rFonts w:hint="default" w:ascii="Times New Roman" w:hAnsi="Times New Roman" w:eastAsia="宋体" w:cs="Times New Roman"/>
                      <w:strike w:val="0"/>
                      <w:dstrike w:val="0"/>
                      <w:color w:val="auto"/>
                      <w:spacing w:val="4"/>
                      <w:sz w:val="21"/>
                      <w:szCs w:val="21"/>
                    </w:rPr>
                  </w:pPr>
                </w:p>
              </w:tc>
            </w:tr>
          </w:tbl>
          <w:p w14:paraId="43933957">
            <w:pPr>
              <w:spacing w:line="500" w:lineRule="exact"/>
              <w:ind w:firstLine="1446" w:firstLineChars="600"/>
              <w:rPr>
                <w:b/>
                <w:bCs/>
                <w:color w:val="auto"/>
              </w:rPr>
            </w:pPr>
            <w:r>
              <w:rPr>
                <w:rFonts w:hint="eastAsia"/>
                <w:b/>
                <w:bCs/>
                <w:color w:val="auto"/>
              </w:rPr>
              <w:t>表3-1</w:t>
            </w:r>
            <w:r>
              <w:rPr>
                <w:rFonts w:hint="eastAsia"/>
                <w:b/>
                <w:bCs/>
                <w:color w:val="auto"/>
                <w:lang w:val="en-US" w:eastAsia="zh-CN"/>
              </w:rPr>
              <w:t>1</w:t>
            </w:r>
            <w:r>
              <w:rPr>
                <w:rFonts w:hint="eastAsia"/>
                <w:b/>
                <w:bCs/>
                <w:color w:val="auto"/>
              </w:rPr>
              <w:t xml:space="preserve">        </w:t>
            </w:r>
            <w:r>
              <w:rPr>
                <w:rFonts w:hint="eastAsia"/>
                <w:b/>
                <w:bCs/>
                <w:color w:val="auto"/>
                <w:lang w:val="en-US" w:eastAsia="zh-CN"/>
              </w:rPr>
              <w:t>生活污水排放执行标准</w:t>
            </w:r>
          </w:p>
          <w:tbl>
            <w:tblPr>
              <w:tblStyle w:val="26"/>
              <w:tblW w:w="84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9"/>
              <w:gridCol w:w="1409"/>
              <w:gridCol w:w="1410"/>
              <w:gridCol w:w="1410"/>
              <w:gridCol w:w="1410"/>
              <w:gridCol w:w="1411"/>
            </w:tblGrid>
            <w:tr w14:paraId="347BC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9" w:type="dxa"/>
                  <w:vAlign w:val="center"/>
                </w:tcPr>
                <w:p w14:paraId="0B2A09B4">
                  <w:pPr>
                    <w:spacing w:line="360" w:lineRule="exact"/>
                    <w:jc w:val="center"/>
                    <w:rPr>
                      <w:color w:val="auto"/>
                      <w:sz w:val="21"/>
                      <w:szCs w:val="21"/>
                    </w:rPr>
                  </w:pPr>
                  <w:r>
                    <w:rPr>
                      <w:rFonts w:hint="eastAsia"/>
                      <w:color w:val="auto"/>
                      <w:sz w:val="21"/>
                      <w:szCs w:val="21"/>
                    </w:rPr>
                    <w:t>项目</w:t>
                  </w:r>
                </w:p>
              </w:tc>
              <w:tc>
                <w:tcPr>
                  <w:tcW w:w="1409" w:type="dxa"/>
                  <w:vAlign w:val="center"/>
                </w:tcPr>
                <w:p w14:paraId="690CF327">
                  <w:pPr>
                    <w:spacing w:line="360" w:lineRule="exact"/>
                    <w:jc w:val="center"/>
                    <w:rPr>
                      <w:color w:val="auto"/>
                      <w:sz w:val="21"/>
                      <w:szCs w:val="21"/>
                    </w:rPr>
                  </w:pPr>
                  <w:r>
                    <w:rPr>
                      <w:rFonts w:hint="eastAsia"/>
                      <w:color w:val="auto"/>
                      <w:sz w:val="21"/>
                      <w:szCs w:val="21"/>
                    </w:rPr>
                    <w:t>pH</w:t>
                  </w:r>
                </w:p>
              </w:tc>
              <w:tc>
                <w:tcPr>
                  <w:tcW w:w="1410" w:type="dxa"/>
                  <w:vAlign w:val="center"/>
                </w:tcPr>
                <w:p w14:paraId="2DBAD1B3">
                  <w:pPr>
                    <w:spacing w:line="360" w:lineRule="exact"/>
                    <w:jc w:val="center"/>
                    <w:rPr>
                      <w:color w:val="auto"/>
                      <w:sz w:val="21"/>
                      <w:szCs w:val="21"/>
                    </w:rPr>
                  </w:pPr>
                  <w:r>
                    <w:rPr>
                      <w:rFonts w:hint="eastAsia"/>
                      <w:color w:val="auto"/>
                      <w:sz w:val="21"/>
                      <w:szCs w:val="21"/>
                    </w:rPr>
                    <w:t>SS</w:t>
                  </w:r>
                </w:p>
              </w:tc>
              <w:tc>
                <w:tcPr>
                  <w:tcW w:w="1410" w:type="dxa"/>
                  <w:vAlign w:val="center"/>
                </w:tcPr>
                <w:p w14:paraId="5CA68413">
                  <w:pPr>
                    <w:spacing w:line="360" w:lineRule="exact"/>
                    <w:jc w:val="center"/>
                    <w:rPr>
                      <w:color w:val="auto"/>
                      <w:sz w:val="21"/>
                      <w:szCs w:val="21"/>
                    </w:rPr>
                  </w:pPr>
                  <w:r>
                    <w:rPr>
                      <w:color w:val="auto"/>
                      <w:sz w:val="21"/>
                      <w:szCs w:val="21"/>
                    </w:rPr>
                    <w:t>BOD</w:t>
                  </w:r>
                  <w:r>
                    <w:rPr>
                      <w:color w:val="auto"/>
                      <w:sz w:val="21"/>
                      <w:szCs w:val="21"/>
                      <w:vertAlign w:val="subscript"/>
                    </w:rPr>
                    <w:t>5</w:t>
                  </w:r>
                </w:p>
              </w:tc>
              <w:tc>
                <w:tcPr>
                  <w:tcW w:w="1410" w:type="dxa"/>
                  <w:vAlign w:val="center"/>
                </w:tcPr>
                <w:p w14:paraId="6A6F3A6E">
                  <w:pPr>
                    <w:spacing w:line="360" w:lineRule="exact"/>
                    <w:jc w:val="center"/>
                    <w:rPr>
                      <w:color w:val="auto"/>
                      <w:sz w:val="21"/>
                      <w:szCs w:val="21"/>
                    </w:rPr>
                  </w:pPr>
                  <w:r>
                    <w:rPr>
                      <w:color w:val="auto"/>
                      <w:sz w:val="21"/>
                      <w:szCs w:val="21"/>
                    </w:rPr>
                    <w:t>CODcr</w:t>
                  </w:r>
                </w:p>
              </w:tc>
              <w:tc>
                <w:tcPr>
                  <w:tcW w:w="1411" w:type="dxa"/>
                  <w:vAlign w:val="center"/>
                </w:tcPr>
                <w:p w14:paraId="6A0BB596">
                  <w:pPr>
                    <w:spacing w:line="360" w:lineRule="exact"/>
                    <w:jc w:val="center"/>
                    <w:rPr>
                      <w:color w:val="auto"/>
                      <w:sz w:val="21"/>
                      <w:szCs w:val="21"/>
                    </w:rPr>
                  </w:pPr>
                  <w:r>
                    <w:rPr>
                      <w:rFonts w:hint="eastAsia"/>
                      <w:color w:val="auto"/>
                      <w:sz w:val="21"/>
                      <w:szCs w:val="21"/>
                    </w:rPr>
                    <w:t>动植物油</w:t>
                  </w:r>
                </w:p>
              </w:tc>
            </w:tr>
            <w:tr w14:paraId="4C76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9" w:type="dxa"/>
                  <w:vAlign w:val="center"/>
                </w:tcPr>
                <w:p w14:paraId="583C126C">
                  <w:pPr>
                    <w:spacing w:line="360" w:lineRule="exact"/>
                    <w:jc w:val="center"/>
                    <w:rPr>
                      <w:color w:val="auto"/>
                      <w:sz w:val="21"/>
                      <w:szCs w:val="21"/>
                    </w:rPr>
                  </w:pPr>
                  <w:r>
                    <w:rPr>
                      <w:rFonts w:hint="eastAsia"/>
                      <w:color w:val="auto"/>
                      <w:sz w:val="21"/>
                      <w:szCs w:val="21"/>
                    </w:rPr>
                    <w:t>标准值</w:t>
                  </w:r>
                </w:p>
              </w:tc>
              <w:tc>
                <w:tcPr>
                  <w:tcW w:w="1409" w:type="dxa"/>
                  <w:vAlign w:val="center"/>
                </w:tcPr>
                <w:p w14:paraId="6396A998">
                  <w:pPr>
                    <w:spacing w:line="360" w:lineRule="exact"/>
                    <w:jc w:val="center"/>
                    <w:rPr>
                      <w:color w:val="auto"/>
                      <w:sz w:val="21"/>
                      <w:szCs w:val="21"/>
                    </w:rPr>
                  </w:pPr>
                  <w:r>
                    <w:rPr>
                      <w:color w:val="auto"/>
                      <w:sz w:val="21"/>
                      <w:szCs w:val="21"/>
                    </w:rPr>
                    <w:t>6～9</w:t>
                  </w:r>
                </w:p>
              </w:tc>
              <w:tc>
                <w:tcPr>
                  <w:tcW w:w="1410" w:type="dxa"/>
                  <w:vAlign w:val="center"/>
                </w:tcPr>
                <w:p w14:paraId="0A1BD1C7">
                  <w:pPr>
                    <w:spacing w:line="360" w:lineRule="exact"/>
                    <w:jc w:val="center"/>
                    <w:rPr>
                      <w:color w:val="auto"/>
                      <w:sz w:val="21"/>
                      <w:szCs w:val="21"/>
                    </w:rPr>
                  </w:pPr>
                  <w:r>
                    <w:rPr>
                      <w:rFonts w:hint="eastAsia"/>
                      <w:color w:val="auto"/>
                      <w:sz w:val="21"/>
                      <w:szCs w:val="21"/>
                    </w:rPr>
                    <w:t>400</w:t>
                  </w:r>
                </w:p>
              </w:tc>
              <w:tc>
                <w:tcPr>
                  <w:tcW w:w="1410" w:type="dxa"/>
                  <w:vAlign w:val="center"/>
                </w:tcPr>
                <w:p w14:paraId="44A19496">
                  <w:pPr>
                    <w:spacing w:line="360" w:lineRule="exact"/>
                    <w:jc w:val="center"/>
                    <w:rPr>
                      <w:color w:val="auto"/>
                      <w:sz w:val="21"/>
                      <w:szCs w:val="21"/>
                    </w:rPr>
                  </w:pPr>
                  <w:r>
                    <w:rPr>
                      <w:rFonts w:hint="eastAsia"/>
                      <w:color w:val="auto"/>
                      <w:sz w:val="21"/>
                      <w:szCs w:val="21"/>
                    </w:rPr>
                    <w:t>300</w:t>
                  </w:r>
                </w:p>
              </w:tc>
              <w:tc>
                <w:tcPr>
                  <w:tcW w:w="1410" w:type="dxa"/>
                  <w:vAlign w:val="center"/>
                </w:tcPr>
                <w:p w14:paraId="2637D08A">
                  <w:pPr>
                    <w:spacing w:line="360" w:lineRule="exact"/>
                    <w:jc w:val="center"/>
                    <w:rPr>
                      <w:color w:val="auto"/>
                      <w:sz w:val="21"/>
                      <w:szCs w:val="21"/>
                    </w:rPr>
                  </w:pPr>
                  <w:r>
                    <w:rPr>
                      <w:rFonts w:hint="eastAsia"/>
                      <w:color w:val="auto"/>
                      <w:sz w:val="21"/>
                      <w:szCs w:val="21"/>
                    </w:rPr>
                    <w:t>500</w:t>
                  </w:r>
                </w:p>
              </w:tc>
              <w:tc>
                <w:tcPr>
                  <w:tcW w:w="1411" w:type="dxa"/>
                  <w:vAlign w:val="center"/>
                </w:tcPr>
                <w:p w14:paraId="4317AF76">
                  <w:pPr>
                    <w:spacing w:line="360" w:lineRule="exact"/>
                    <w:jc w:val="center"/>
                    <w:rPr>
                      <w:color w:val="auto"/>
                      <w:sz w:val="21"/>
                      <w:szCs w:val="21"/>
                    </w:rPr>
                  </w:pPr>
                  <w:r>
                    <w:rPr>
                      <w:rFonts w:hint="eastAsia"/>
                      <w:color w:val="auto"/>
                      <w:sz w:val="21"/>
                      <w:szCs w:val="21"/>
                    </w:rPr>
                    <w:t>100</w:t>
                  </w:r>
                </w:p>
              </w:tc>
            </w:tr>
            <w:tr w14:paraId="5B21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9" w:type="dxa"/>
                  <w:gridSpan w:val="6"/>
                  <w:vAlign w:val="center"/>
                </w:tcPr>
                <w:p w14:paraId="6B616D72">
                  <w:pPr>
                    <w:spacing w:line="360" w:lineRule="exact"/>
                    <w:jc w:val="both"/>
                    <w:rPr>
                      <w:rFonts w:hint="default" w:eastAsia="宋体"/>
                      <w:color w:val="auto"/>
                      <w:sz w:val="21"/>
                      <w:szCs w:val="21"/>
                      <w:lang w:val="en-US" w:eastAsia="zh-CN"/>
                    </w:rPr>
                  </w:pPr>
                  <w:r>
                    <w:rPr>
                      <w:rFonts w:hint="eastAsia"/>
                      <w:color w:val="auto"/>
                      <w:sz w:val="21"/>
                      <w:szCs w:val="21"/>
                      <w:lang w:val="en-US" w:eastAsia="zh-CN"/>
                    </w:rPr>
                    <w:t>注：执行《污水综合排放标准》（GB8978-1996）中表4三级排放标准，单位mg/L（除pH外）。</w:t>
                  </w:r>
                </w:p>
              </w:tc>
            </w:tr>
          </w:tbl>
          <w:p w14:paraId="72F63D61">
            <w:pPr>
              <w:spacing w:line="500" w:lineRule="exact"/>
              <w:ind w:firstLine="482" w:firstLineChars="200"/>
              <w:rPr>
                <w:b/>
                <w:bCs/>
                <w:color w:val="auto"/>
              </w:rPr>
            </w:pPr>
            <w:r>
              <w:rPr>
                <w:rFonts w:hint="eastAsia"/>
                <w:b/>
                <w:bCs/>
                <w:color w:val="auto"/>
              </w:rPr>
              <w:t>3、噪声排放标准</w:t>
            </w:r>
          </w:p>
          <w:p w14:paraId="4266D441">
            <w:pPr>
              <w:spacing w:line="500" w:lineRule="exact"/>
              <w:ind w:firstLine="480" w:firstLineChars="200"/>
              <w:rPr>
                <w:color w:val="auto"/>
              </w:rPr>
            </w:pPr>
            <w:r>
              <w:rPr>
                <w:color w:val="auto"/>
              </w:rPr>
              <w:t>施工期噪声排放执行《建筑施工噪声排放标准》（GB12523-20</w:t>
            </w:r>
            <w:r>
              <w:rPr>
                <w:rFonts w:hint="eastAsia"/>
                <w:color w:val="auto"/>
              </w:rPr>
              <w:t>25</w:t>
            </w:r>
            <w:r>
              <w:rPr>
                <w:color w:val="auto"/>
              </w:rPr>
              <w:t>）中相关标准；运营期</w:t>
            </w:r>
            <w:r>
              <w:rPr>
                <w:rFonts w:hint="eastAsia"/>
                <w:color w:val="auto"/>
              </w:rPr>
              <w:t>厂界四周</w:t>
            </w:r>
            <w:r>
              <w:rPr>
                <w:color w:val="auto"/>
              </w:rPr>
              <w:t>噪声排放执行《</w:t>
            </w:r>
            <w:r>
              <w:rPr>
                <w:rFonts w:hint="eastAsia"/>
                <w:color w:val="auto"/>
              </w:rPr>
              <w:t>工业企业厂界环境噪声排放标准</w:t>
            </w:r>
            <w:r>
              <w:rPr>
                <w:color w:val="auto"/>
              </w:rPr>
              <w:t>》（GB</w:t>
            </w:r>
            <w:r>
              <w:rPr>
                <w:rFonts w:hint="eastAsia"/>
                <w:color w:val="auto"/>
              </w:rPr>
              <w:t>12348</w:t>
            </w:r>
            <w:r>
              <w:rPr>
                <w:color w:val="auto"/>
              </w:rPr>
              <w:t>-2008）</w:t>
            </w:r>
            <w:r>
              <w:rPr>
                <w:rFonts w:hint="eastAsia"/>
                <w:color w:val="auto"/>
              </w:rPr>
              <w:t>中的3类</w:t>
            </w:r>
            <w:r>
              <w:rPr>
                <w:color w:val="auto"/>
              </w:rPr>
              <w:t>排放</w:t>
            </w:r>
            <w:r>
              <w:rPr>
                <w:rFonts w:hint="eastAsia"/>
                <w:color w:val="auto"/>
              </w:rPr>
              <w:t>限值。</w:t>
            </w:r>
          </w:p>
          <w:p w14:paraId="3C7C4783">
            <w:pPr>
              <w:spacing w:line="500" w:lineRule="exact"/>
              <w:jc w:val="center"/>
              <w:rPr>
                <w:b/>
                <w:color w:val="auto"/>
              </w:rPr>
            </w:pPr>
            <w:r>
              <w:rPr>
                <w:b/>
                <w:color w:val="auto"/>
              </w:rPr>
              <w:t>表</w:t>
            </w:r>
            <w:r>
              <w:rPr>
                <w:rFonts w:hint="eastAsia"/>
                <w:b/>
                <w:color w:val="auto"/>
              </w:rPr>
              <w:t>3-1</w:t>
            </w:r>
            <w:r>
              <w:rPr>
                <w:rFonts w:hint="eastAsia"/>
                <w:b/>
                <w:color w:val="auto"/>
                <w:lang w:val="en-US" w:eastAsia="zh-CN"/>
              </w:rPr>
              <w:t>2</w:t>
            </w:r>
            <w:r>
              <w:rPr>
                <w:rFonts w:hint="eastAsia"/>
                <w:b/>
                <w:color w:val="auto"/>
              </w:rPr>
              <w:t xml:space="preserve">  </w:t>
            </w:r>
            <w:r>
              <w:rPr>
                <w:b/>
                <w:color w:val="auto"/>
              </w:rPr>
              <w:t xml:space="preserve"> 环境噪声排放标准单位：dB（A）</w:t>
            </w:r>
          </w:p>
          <w:tbl>
            <w:tblPr>
              <w:tblStyle w:val="25"/>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567"/>
              <w:gridCol w:w="1761"/>
              <w:gridCol w:w="1656"/>
              <w:gridCol w:w="1463"/>
            </w:tblGrid>
            <w:tr w14:paraId="0DA8D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110" w:type="pct"/>
                  <w:tcBorders>
                    <w:tl2br w:val="nil"/>
                    <w:tr2bl w:val="nil"/>
                  </w:tcBorders>
                  <w:vAlign w:val="center"/>
                </w:tcPr>
                <w:p w14:paraId="2F2BD601">
                  <w:pPr>
                    <w:spacing w:line="360" w:lineRule="exact"/>
                    <w:jc w:val="center"/>
                    <w:rPr>
                      <w:b/>
                      <w:bCs/>
                      <w:color w:val="auto"/>
                      <w:sz w:val="21"/>
                      <w:szCs w:val="21"/>
                    </w:rPr>
                  </w:pPr>
                  <w:r>
                    <w:rPr>
                      <w:b/>
                      <w:bCs/>
                      <w:color w:val="auto"/>
                      <w:sz w:val="21"/>
                      <w:szCs w:val="21"/>
                    </w:rPr>
                    <w:t>执行标准</w:t>
                  </w:r>
                </w:p>
              </w:tc>
              <w:tc>
                <w:tcPr>
                  <w:tcW w:w="1042" w:type="pct"/>
                  <w:tcBorders>
                    <w:tl2br w:val="nil"/>
                    <w:tr2bl w:val="nil"/>
                  </w:tcBorders>
                  <w:vAlign w:val="center"/>
                </w:tcPr>
                <w:p w14:paraId="7A959F0D">
                  <w:pPr>
                    <w:spacing w:line="360" w:lineRule="exact"/>
                    <w:jc w:val="center"/>
                    <w:rPr>
                      <w:b/>
                      <w:bCs/>
                      <w:color w:val="auto"/>
                      <w:sz w:val="21"/>
                      <w:szCs w:val="21"/>
                    </w:rPr>
                  </w:pPr>
                  <w:r>
                    <w:rPr>
                      <w:rFonts w:hint="eastAsia"/>
                      <w:b/>
                      <w:bCs/>
                      <w:color w:val="auto"/>
                      <w:sz w:val="21"/>
                      <w:szCs w:val="21"/>
                    </w:rPr>
                    <w:t>范围</w:t>
                  </w:r>
                </w:p>
              </w:tc>
              <w:tc>
                <w:tcPr>
                  <w:tcW w:w="980" w:type="pct"/>
                  <w:tcBorders>
                    <w:tl2br w:val="nil"/>
                    <w:tr2bl w:val="nil"/>
                  </w:tcBorders>
                  <w:vAlign w:val="center"/>
                </w:tcPr>
                <w:p w14:paraId="0BF42EAF">
                  <w:pPr>
                    <w:spacing w:line="360" w:lineRule="exact"/>
                    <w:jc w:val="center"/>
                    <w:rPr>
                      <w:b/>
                      <w:bCs/>
                      <w:color w:val="auto"/>
                      <w:sz w:val="21"/>
                      <w:szCs w:val="21"/>
                    </w:rPr>
                  </w:pPr>
                  <w:r>
                    <w:rPr>
                      <w:b/>
                      <w:bCs/>
                      <w:color w:val="auto"/>
                      <w:sz w:val="21"/>
                      <w:szCs w:val="21"/>
                    </w:rPr>
                    <w:t>昼间</w:t>
                  </w:r>
                </w:p>
              </w:tc>
              <w:tc>
                <w:tcPr>
                  <w:tcW w:w="866" w:type="pct"/>
                  <w:tcBorders>
                    <w:tl2br w:val="nil"/>
                    <w:tr2bl w:val="nil"/>
                  </w:tcBorders>
                  <w:vAlign w:val="center"/>
                </w:tcPr>
                <w:p w14:paraId="5661CD29">
                  <w:pPr>
                    <w:spacing w:line="360" w:lineRule="exact"/>
                    <w:jc w:val="center"/>
                    <w:rPr>
                      <w:b/>
                      <w:bCs/>
                      <w:color w:val="auto"/>
                      <w:sz w:val="21"/>
                      <w:szCs w:val="21"/>
                    </w:rPr>
                  </w:pPr>
                  <w:r>
                    <w:rPr>
                      <w:b/>
                      <w:bCs/>
                      <w:color w:val="auto"/>
                      <w:sz w:val="21"/>
                      <w:szCs w:val="21"/>
                    </w:rPr>
                    <w:t>夜间</w:t>
                  </w:r>
                </w:p>
              </w:tc>
            </w:tr>
            <w:tr w14:paraId="7BE6C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110" w:type="pct"/>
                  <w:tcBorders>
                    <w:tl2br w:val="nil"/>
                    <w:tr2bl w:val="nil"/>
                  </w:tcBorders>
                  <w:vAlign w:val="center"/>
                </w:tcPr>
                <w:p w14:paraId="246699E1">
                  <w:pPr>
                    <w:spacing w:line="360" w:lineRule="exact"/>
                    <w:jc w:val="center"/>
                    <w:rPr>
                      <w:color w:val="auto"/>
                      <w:sz w:val="21"/>
                      <w:szCs w:val="21"/>
                    </w:rPr>
                  </w:pPr>
                  <w:r>
                    <w:rPr>
                      <w:color w:val="auto"/>
                      <w:sz w:val="21"/>
                      <w:szCs w:val="21"/>
                    </w:rPr>
                    <w:t>《建筑施工噪声排放标准》</w:t>
                  </w:r>
                </w:p>
              </w:tc>
              <w:tc>
                <w:tcPr>
                  <w:tcW w:w="1042" w:type="pct"/>
                  <w:tcBorders>
                    <w:tl2br w:val="nil"/>
                    <w:tr2bl w:val="nil"/>
                  </w:tcBorders>
                  <w:vAlign w:val="center"/>
                </w:tcPr>
                <w:p w14:paraId="60584F73">
                  <w:pPr>
                    <w:spacing w:line="360" w:lineRule="exact"/>
                    <w:jc w:val="center"/>
                    <w:rPr>
                      <w:color w:val="auto"/>
                      <w:sz w:val="21"/>
                      <w:szCs w:val="21"/>
                    </w:rPr>
                  </w:pPr>
                  <w:r>
                    <w:rPr>
                      <w:rFonts w:hint="eastAsia"/>
                      <w:color w:val="auto"/>
                      <w:sz w:val="21"/>
                      <w:szCs w:val="21"/>
                    </w:rPr>
                    <w:t>施工场界</w:t>
                  </w:r>
                </w:p>
              </w:tc>
              <w:tc>
                <w:tcPr>
                  <w:tcW w:w="980" w:type="pct"/>
                  <w:tcBorders>
                    <w:tl2br w:val="nil"/>
                    <w:tr2bl w:val="nil"/>
                  </w:tcBorders>
                  <w:vAlign w:val="center"/>
                </w:tcPr>
                <w:p w14:paraId="3A128B98">
                  <w:pPr>
                    <w:spacing w:line="360" w:lineRule="exact"/>
                    <w:jc w:val="center"/>
                    <w:rPr>
                      <w:color w:val="auto"/>
                      <w:sz w:val="21"/>
                      <w:szCs w:val="21"/>
                    </w:rPr>
                  </w:pPr>
                  <w:r>
                    <w:rPr>
                      <w:color w:val="auto"/>
                      <w:sz w:val="21"/>
                      <w:szCs w:val="21"/>
                    </w:rPr>
                    <w:t>70</w:t>
                  </w:r>
                </w:p>
              </w:tc>
              <w:tc>
                <w:tcPr>
                  <w:tcW w:w="866" w:type="pct"/>
                  <w:tcBorders>
                    <w:tl2br w:val="nil"/>
                    <w:tr2bl w:val="nil"/>
                  </w:tcBorders>
                  <w:vAlign w:val="center"/>
                </w:tcPr>
                <w:p w14:paraId="2822846B">
                  <w:pPr>
                    <w:spacing w:line="360" w:lineRule="exact"/>
                    <w:jc w:val="center"/>
                    <w:rPr>
                      <w:color w:val="auto"/>
                      <w:sz w:val="21"/>
                      <w:szCs w:val="21"/>
                    </w:rPr>
                  </w:pPr>
                  <w:r>
                    <w:rPr>
                      <w:color w:val="auto"/>
                      <w:sz w:val="21"/>
                      <w:szCs w:val="21"/>
                    </w:rPr>
                    <w:t>55</w:t>
                  </w:r>
                </w:p>
              </w:tc>
            </w:tr>
            <w:tr w14:paraId="1A678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110" w:type="pct"/>
                  <w:tcBorders>
                    <w:tl2br w:val="nil"/>
                    <w:tr2bl w:val="nil"/>
                  </w:tcBorders>
                  <w:vAlign w:val="center"/>
                </w:tcPr>
                <w:p w14:paraId="3A2EDACF">
                  <w:pPr>
                    <w:spacing w:line="360" w:lineRule="exact"/>
                    <w:jc w:val="center"/>
                    <w:rPr>
                      <w:color w:val="auto"/>
                      <w:sz w:val="21"/>
                      <w:szCs w:val="21"/>
                    </w:rPr>
                  </w:pPr>
                  <w:r>
                    <w:rPr>
                      <w:color w:val="auto"/>
                      <w:sz w:val="21"/>
                      <w:szCs w:val="21"/>
                    </w:rPr>
                    <w:t>《</w:t>
                  </w:r>
                  <w:r>
                    <w:rPr>
                      <w:rFonts w:hint="eastAsia"/>
                      <w:color w:val="auto"/>
                      <w:sz w:val="21"/>
                      <w:szCs w:val="21"/>
                    </w:rPr>
                    <w:t>工业企业厂界环境噪声排放标准</w:t>
                  </w:r>
                  <w:r>
                    <w:rPr>
                      <w:color w:val="auto"/>
                      <w:sz w:val="21"/>
                      <w:szCs w:val="21"/>
                    </w:rPr>
                    <w:t>》</w:t>
                  </w:r>
                </w:p>
              </w:tc>
              <w:tc>
                <w:tcPr>
                  <w:tcW w:w="1042" w:type="pct"/>
                  <w:tcBorders>
                    <w:tl2br w:val="nil"/>
                    <w:tr2bl w:val="nil"/>
                  </w:tcBorders>
                  <w:vAlign w:val="center"/>
                </w:tcPr>
                <w:p w14:paraId="16AB1B2D">
                  <w:pPr>
                    <w:spacing w:line="360" w:lineRule="exact"/>
                    <w:jc w:val="center"/>
                    <w:rPr>
                      <w:color w:val="auto"/>
                      <w:sz w:val="21"/>
                      <w:szCs w:val="21"/>
                    </w:rPr>
                  </w:pPr>
                  <w:r>
                    <w:rPr>
                      <w:rFonts w:hint="eastAsia"/>
                      <w:color w:val="auto"/>
                      <w:sz w:val="21"/>
                      <w:szCs w:val="21"/>
                    </w:rPr>
                    <w:t>厂界四周</w:t>
                  </w:r>
                </w:p>
              </w:tc>
              <w:tc>
                <w:tcPr>
                  <w:tcW w:w="980" w:type="pct"/>
                  <w:tcBorders>
                    <w:tl2br w:val="nil"/>
                    <w:tr2bl w:val="nil"/>
                  </w:tcBorders>
                  <w:vAlign w:val="center"/>
                </w:tcPr>
                <w:p w14:paraId="25733EA6">
                  <w:pPr>
                    <w:spacing w:line="360" w:lineRule="exact"/>
                    <w:jc w:val="center"/>
                    <w:rPr>
                      <w:color w:val="auto"/>
                      <w:sz w:val="21"/>
                      <w:szCs w:val="21"/>
                    </w:rPr>
                  </w:pPr>
                  <w:r>
                    <w:rPr>
                      <w:rFonts w:hint="eastAsia"/>
                      <w:color w:val="auto"/>
                      <w:sz w:val="21"/>
                      <w:szCs w:val="21"/>
                    </w:rPr>
                    <w:t>65</w:t>
                  </w:r>
                </w:p>
              </w:tc>
              <w:tc>
                <w:tcPr>
                  <w:tcW w:w="866" w:type="pct"/>
                  <w:tcBorders>
                    <w:tl2br w:val="nil"/>
                    <w:tr2bl w:val="nil"/>
                  </w:tcBorders>
                  <w:vAlign w:val="center"/>
                </w:tcPr>
                <w:p w14:paraId="28ABA23A">
                  <w:pPr>
                    <w:spacing w:line="360" w:lineRule="exact"/>
                    <w:jc w:val="center"/>
                    <w:rPr>
                      <w:color w:val="auto"/>
                      <w:sz w:val="21"/>
                      <w:szCs w:val="21"/>
                    </w:rPr>
                  </w:pPr>
                  <w:r>
                    <w:rPr>
                      <w:rFonts w:hint="eastAsia"/>
                      <w:color w:val="auto"/>
                      <w:sz w:val="21"/>
                      <w:szCs w:val="21"/>
                    </w:rPr>
                    <w:t>55</w:t>
                  </w:r>
                </w:p>
              </w:tc>
            </w:tr>
          </w:tbl>
          <w:p w14:paraId="42BD21D1">
            <w:pPr>
              <w:spacing w:line="500" w:lineRule="exact"/>
              <w:ind w:firstLine="482" w:firstLineChars="200"/>
              <w:rPr>
                <w:b/>
                <w:bCs/>
                <w:color w:val="auto"/>
              </w:rPr>
            </w:pPr>
            <w:r>
              <w:rPr>
                <w:rFonts w:hint="eastAsia"/>
                <w:b/>
                <w:bCs/>
                <w:color w:val="auto"/>
              </w:rPr>
              <w:t>4、固体废物排放标准</w:t>
            </w:r>
          </w:p>
          <w:p w14:paraId="443C4EE9">
            <w:pPr>
              <w:spacing w:line="500" w:lineRule="exact"/>
              <w:ind w:firstLine="480" w:firstLineChars="200"/>
              <w:rPr>
                <w:color w:val="auto"/>
                <w:kern w:val="0"/>
              </w:rPr>
            </w:pPr>
            <w:r>
              <w:rPr>
                <w:color w:val="auto"/>
                <w:kern w:val="0"/>
              </w:rPr>
              <w:t>一般工业固体废物执行《一般工业固体废物贮存和填埋污染控制标准</w:t>
            </w:r>
            <w:r>
              <w:rPr>
                <w:rFonts w:hint="eastAsia"/>
                <w:color w:val="auto"/>
                <w:kern w:val="0"/>
              </w:rPr>
              <w:t>》</w:t>
            </w:r>
            <w:r>
              <w:rPr>
                <w:color w:val="auto"/>
                <w:kern w:val="0"/>
              </w:rPr>
              <w:t>（GB18599-2020）</w:t>
            </w:r>
            <w:r>
              <w:rPr>
                <w:rFonts w:hint="eastAsia"/>
                <w:color w:val="auto"/>
                <w:kern w:val="0"/>
              </w:rPr>
              <w:t>；</w:t>
            </w:r>
            <w:r>
              <w:rPr>
                <w:color w:val="auto"/>
                <w:kern w:val="0"/>
              </w:rPr>
              <w:t>废机油</w:t>
            </w:r>
            <w:r>
              <w:rPr>
                <w:rFonts w:hint="eastAsia"/>
                <w:color w:val="auto"/>
                <w:kern w:val="0"/>
              </w:rPr>
              <w:t>、</w:t>
            </w:r>
            <w:r>
              <w:rPr>
                <w:color w:val="auto"/>
                <w:kern w:val="0"/>
              </w:rPr>
              <w:t>废</w:t>
            </w:r>
            <w:r>
              <w:rPr>
                <w:rFonts w:hint="eastAsia"/>
                <w:color w:val="auto"/>
                <w:kern w:val="0"/>
              </w:rPr>
              <w:t>铅蓄电池</w:t>
            </w:r>
            <w:r>
              <w:rPr>
                <w:color w:val="auto"/>
                <w:kern w:val="0"/>
              </w:rPr>
              <w:t>等危险废物的贮存、管理执行《危险废物贮存污染控制标准》（GB18597-2023）中规定。</w:t>
            </w:r>
          </w:p>
        </w:tc>
      </w:tr>
      <w:tr w14:paraId="2F20AC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4" w:type="dxa"/>
            <w:vAlign w:val="center"/>
          </w:tcPr>
          <w:p w14:paraId="650375A5">
            <w:pPr>
              <w:adjustRightInd w:val="0"/>
              <w:snapToGrid w:val="0"/>
              <w:jc w:val="center"/>
              <w:rPr>
                <w:color w:val="auto"/>
                <w:kern w:val="0"/>
              </w:rPr>
            </w:pPr>
            <w:r>
              <w:rPr>
                <w:color w:val="auto"/>
                <w:kern w:val="0"/>
              </w:rPr>
              <w:t>总量</w:t>
            </w:r>
          </w:p>
          <w:p w14:paraId="7A73BD26">
            <w:pPr>
              <w:adjustRightInd w:val="0"/>
              <w:snapToGrid w:val="0"/>
              <w:jc w:val="center"/>
              <w:rPr>
                <w:color w:val="auto"/>
                <w:kern w:val="0"/>
              </w:rPr>
            </w:pPr>
            <w:r>
              <w:rPr>
                <w:color w:val="auto"/>
                <w:kern w:val="0"/>
              </w:rPr>
              <w:t>控制</w:t>
            </w:r>
          </w:p>
          <w:p w14:paraId="6477425F">
            <w:pPr>
              <w:adjustRightInd w:val="0"/>
              <w:snapToGrid w:val="0"/>
              <w:jc w:val="center"/>
              <w:rPr>
                <w:color w:val="auto"/>
                <w:kern w:val="0"/>
              </w:rPr>
            </w:pPr>
            <w:r>
              <w:rPr>
                <w:color w:val="auto"/>
                <w:kern w:val="0"/>
              </w:rPr>
              <w:t>指标</w:t>
            </w:r>
          </w:p>
        </w:tc>
        <w:tc>
          <w:tcPr>
            <w:tcW w:w="8682" w:type="dxa"/>
            <w:vAlign w:val="center"/>
          </w:tcPr>
          <w:p w14:paraId="0C9274DE">
            <w:pPr>
              <w:adjustRightInd w:val="0"/>
              <w:snapToGrid w:val="0"/>
              <w:spacing w:line="360" w:lineRule="auto"/>
              <w:ind w:firstLine="480" w:firstLineChars="200"/>
              <w:rPr>
                <w:color w:val="auto"/>
              </w:rPr>
            </w:pPr>
          </w:p>
          <w:p w14:paraId="3C60A7F9">
            <w:pPr>
              <w:adjustRightInd w:val="0"/>
              <w:snapToGrid w:val="0"/>
              <w:spacing w:line="500" w:lineRule="exact"/>
              <w:ind w:firstLine="480" w:firstLineChars="200"/>
              <w:rPr>
                <w:rFonts w:hint="default" w:eastAsia="宋体"/>
                <w:color w:val="auto"/>
                <w:lang w:val="en-US" w:eastAsia="zh-CN"/>
              </w:rPr>
            </w:pPr>
            <w:r>
              <w:rPr>
                <w:rFonts w:hint="eastAsia"/>
                <w:color w:val="auto"/>
              </w:rPr>
              <w:t>根据《内蒙古自治区“十四五”生态环境保护规划》中规定，现阶段实施污染物总量控制的指标为挥发性有机物、SO</w:t>
            </w:r>
            <w:r>
              <w:rPr>
                <w:rFonts w:hint="eastAsia"/>
                <w:color w:val="auto"/>
                <w:vertAlign w:val="subscript"/>
              </w:rPr>
              <w:t>2</w:t>
            </w:r>
            <w:r>
              <w:rPr>
                <w:rFonts w:hint="eastAsia"/>
                <w:color w:val="auto"/>
              </w:rPr>
              <w:t>、NOx、COD 和 NH</w:t>
            </w:r>
            <w:r>
              <w:rPr>
                <w:rFonts w:hint="eastAsia"/>
                <w:color w:val="auto"/>
                <w:vertAlign w:val="subscript"/>
              </w:rPr>
              <w:t>3</w:t>
            </w:r>
            <w:r>
              <w:rPr>
                <w:rFonts w:hint="eastAsia"/>
                <w:color w:val="auto"/>
              </w:rPr>
              <w:t>-N。</w:t>
            </w:r>
            <w:r>
              <w:rPr>
                <w:rFonts w:hint="eastAsia"/>
                <w:color w:val="auto"/>
                <w:lang w:val="en-US" w:eastAsia="zh-CN"/>
              </w:rPr>
              <w:t>根据鄂尔多斯市蒙西</w:t>
            </w:r>
            <w:r>
              <w:rPr>
                <w:rFonts w:hint="default" w:ascii="Times New Roman" w:hAnsi="Times New Roman" w:eastAsia="宋体" w:cs="Times New Roman"/>
                <w:color w:val="auto"/>
                <w:sz w:val="24"/>
                <w:szCs w:val="24"/>
                <w:highlight w:val="none"/>
              </w:rPr>
              <w:t>环境监测站</w:t>
            </w:r>
            <w:r>
              <w:rPr>
                <w:rFonts w:hint="default" w:ascii="Times New Roman" w:hAnsi="Times New Roman" w:eastAsia="宋体" w:cs="Times New Roman"/>
                <w:color w:val="auto"/>
                <w:sz w:val="24"/>
                <w:szCs w:val="24"/>
                <w:highlight w:val="none"/>
                <w:lang w:val="en-US" w:eastAsia="zh-CN"/>
              </w:rPr>
              <w:t>202</w:t>
            </w:r>
            <w:r>
              <w:rPr>
                <w:rFonts w:hint="eastAsia"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年全年例行监测数据</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bCs/>
                <w:color w:val="auto"/>
                <w:sz w:val="24"/>
                <w:szCs w:val="24"/>
                <w:highlight w:val="none"/>
              </w:rPr>
              <w:t>PM</w:t>
            </w:r>
            <w:r>
              <w:rPr>
                <w:rFonts w:hint="default" w:ascii="Times New Roman" w:hAnsi="Times New Roman" w:eastAsia="宋体" w:cs="Times New Roman"/>
                <w:bCs/>
                <w:color w:val="auto"/>
                <w:sz w:val="24"/>
                <w:szCs w:val="24"/>
                <w:highlight w:val="none"/>
                <w:vertAlign w:val="subscript"/>
              </w:rPr>
              <w:t>10</w:t>
            </w:r>
            <w:r>
              <w:rPr>
                <w:rFonts w:hint="default" w:ascii="Times New Roman" w:hAnsi="Times New Roman" w:eastAsia="宋体" w:cs="Times New Roman"/>
                <w:bCs/>
                <w:color w:val="auto"/>
                <w:sz w:val="24"/>
                <w:szCs w:val="24"/>
                <w:highlight w:val="none"/>
              </w:rPr>
              <w:t>超标，</w:t>
            </w:r>
            <w:r>
              <w:rPr>
                <w:rFonts w:hint="eastAsia" w:cs="Times New Roman"/>
                <w:bCs/>
                <w:color w:val="auto"/>
                <w:sz w:val="24"/>
                <w:szCs w:val="24"/>
                <w:highlight w:val="none"/>
                <w:lang w:val="en-US" w:eastAsia="zh-CN"/>
              </w:rPr>
              <w:t>因此总量控制指标增加颗粒物。</w:t>
            </w:r>
          </w:p>
          <w:p w14:paraId="4B33F192">
            <w:pPr>
              <w:adjustRightInd w:val="0"/>
              <w:snapToGrid w:val="0"/>
              <w:spacing w:line="500" w:lineRule="exact"/>
              <w:ind w:firstLine="480" w:firstLineChars="200"/>
              <w:jc w:val="left"/>
              <w:rPr>
                <w:rFonts w:hint="eastAsia"/>
                <w:color w:val="auto"/>
                <w:lang w:val="en-US" w:eastAsia="zh-CN"/>
              </w:rPr>
            </w:pPr>
            <w:r>
              <w:rPr>
                <w:rFonts w:hint="eastAsia"/>
                <w:color w:val="auto"/>
                <w:sz w:val="24"/>
                <w:szCs w:val="24"/>
                <w:lang w:val="en-US" w:eastAsia="zh-CN"/>
              </w:rPr>
              <w:t>根据污染源核算，</w:t>
            </w:r>
            <w:r>
              <w:rPr>
                <w:rFonts w:hint="eastAsia"/>
                <w:color w:val="auto"/>
                <w:sz w:val="24"/>
                <w:szCs w:val="24"/>
                <w:highlight w:val="none"/>
                <w:lang w:val="en-US" w:eastAsia="zh-CN"/>
              </w:rPr>
              <w:t>本项目大气污染物</w:t>
            </w:r>
            <w:r>
              <w:rPr>
                <w:rFonts w:hint="eastAsia"/>
                <w:color w:val="auto"/>
                <w:sz w:val="24"/>
                <w:szCs w:val="24"/>
                <w:highlight w:val="none"/>
                <w:vertAlign w:val="baseline"/>
                <w:lang w:val="en-US" w:eastAsia="zh-CN"/>
              </w:rPr>
              <w:t>排放量为</w:t>
            </w:r>
            <w:r>
              <w:rPr>
                <w:rFonts w:hint="eastAsia"/>
                <w:color w:val="auto"/>
              </w:rPr>
              <w:t>非甲烷总烃</w:t>
            </w:r>
            <w:r>
              <w:rPr>
                <w:rFonts w:hint="eastAsia"/>
                <w:color w:val="auto"/>
                <w:lang w:eastAsia="zh-CN"/>
              </w:rPr>
              <w:t>：</w:t>
            </w:r>
            <w:r>
              <w:rPr>
                <w:rFonts w:hint="eastAsia"/>
                <w:color w:val="auto"/>
              </w:rPr>
              <w:t>0.0</w:t>
            </w:r>
            <w:r>
              <w:rPr>
                <w:rFonts w:hint="eastAsia"/>
                <w:color w:val="auto"/>
                <w:lang w:val="en-US" w:eastAsia="zh-CN"/>
              </w:rPr>
              <w:t>01</w:t>
            </w:r>
            <w:r>
              <w:rPr>
                <w:rFonts w:hint="eastAsia"/>
                <w:color w:val="auto"/>
              </w:rPr>
              <w:t>t/a</w:t>
            </w:r>
            <w:r>
              <w:rPr>
                <w:rFonts w:hint="eastAsia"/>
                <w:color w:val="auto"/>
                <w:lang w:eastAsia="zh-CN"/>
              </w:rPr>
              <w:t>，</w:t>
            </w:r>
            <w:r>
              <w:rPr>
                <w:rFonts w:hint="eastAsia"/>
                <w:color w:val="auto"/>
                <w:lang w:val="en-US" w:eastAsia="zh-CN"/>
              </w:rPr>
              <w:t>颗粒物：4.817t/a。</w:t>
            </w:r>
          </w:p>
          <w:p w14:paraId="66ACA20E">
            <w:pPr>
              <w:adjustRightInd w:val="0"/>
              <w:snapToGrid w:val="0"/>
              <w:spacing w:line="500" w:lineRule="exact"/>
              <w:ind w:firstLine="480" w:firstLineChars="200"/>
              <w:jc w:val="left"/>
              <w:rPr>
                <w:rFonts w:hint="default"/>
                <w:color w:val="auto"/>
                <w:lang w:val="en-US" w:eastAsia="zh-CN"/>
              </w:rPr>
            </w:pPr>
            <w:r>
              <w:rPr>
                <w:rFonts w:hint="eastAsia" w:ascii="Times New Roman" w:hAnsi="Times New Roman" w:eastAsia="宋体" w:cs="Times New Roman"/>
                <w:color w:val="auto"/>
                <w:kern w:val="0"/>
                <w:sz w:val="24"/>
                <w:szCs w:val="24"/>
                <w:lang w:val="en-US" w:eastAsia="zh-CN" w:bidi="ar-SA"/>
              </w:rPr>
              <w:t>2026年4月16日，鄂尔多斯市生态环境局鄂托克旗分局出具了关于“</w:t>
            </w:r>
            <w:r>
              <w:rPr>
                <w:rFonts w:hint="eastAsia"/>
                <w:color w:val="auto"/>
              </w:rPr>
              <w:t>内蒙古华泽装备制造有限公司金属再生资源综合利用项目</w:t>
            </w:r>
            <w:r>
              <w:rPr>
                <w:rFonts w:hint="eastAsia"/>
                <w:color w:val="auto"/>
                <w:lang w:val="en-US" w:eastAsia="zh-CN"/>
              </w:rPr>
              <w:t>区域削减量的说明</w:t>
            </w:r>
            <w:r>
              <w:rPr>
                <w:rFonts w:hint="eastAsia" w:ascii="Times New Roman" w:hAnsi="Times New Roman" w:eastAsia="宋体" w:cs="Times New Roman"/>
                <w:color w:val="auto"/>
                <w:kern w:val="0"/>
                <w:sz w:val="24"/>
                <w:szCs w:val="24"/>
                <w:lang w:val="en-US" w:eastAsia="zh-CN" w:bidi="ar-SA"/>
              </w:rPr>
              <w:t>”</w:t>
            </w:r>
            <w:r>
              <w:rPr>
                <w:rFonts w:hint="eastAsia" w:ascii="Times New Roman" w:hAnsi="Times New Roman" w:eastAsia="宋体" w:cs="Times New Roman"/>
                <w:bCs/>
                <w:color w:val="auto"/>
                <w:sz w:val="24"/>
                <w:szCs w:val="24"/>
                <w:highlight w:val="none"/>
                <w:lang w:val="en-US" w:eastAsia="zh-CN"/>
              </w:rPr>
              <w:t>，颗粒物削减量为4.82t/a。</w:t>
            </w:r>
          </w:p>
          <w:p w14:paraId="07BB0407">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2B6BDF1E">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7BBB78FA">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3232E738">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21C5A0F6">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0923C043">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3EB8B341">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62F36D7F">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4564C18C">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41673285">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5ACE5789">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3BBC1381">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162A61D7">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7CE317BF">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5F4F2C3B">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7FF1AEEE">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3AC7C0BE">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251FFE1C">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5579FE8D">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1C9FCDA0">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319297D7">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598C1FFB">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6D725027">
            <w:pPr>
              <w:pStyle w:val="6"/>
              <w:keepNext w:val="0"/>
              <w:keepLines w:val="0"/>
              <w:pageBreakBefore w:val="0"/>
              <w:widowControl w:val="0"/>
              <w:kinsoku/>
              <w:wordWrap/>
              <w:overflowPunct/>
              <w:topLinePunct w:val="0"/>
              <w:autoSpaceDE/>
              <w:autoSpaceDN/>
              <w:bidi w:val="0"/>
              <w:adjustRightInd/>
              <w:snapToGrid/>
              <w:spacing w:line="500" w:lineRule="exact"/>
              <w:ind w:firstLine="420"/>
              <w:textAlignment w:val="auto"/>
              <w:rPr>
                <w:rFonts w:hint="eastAsia"/>
                <w:color w:val="auto"/>
                <w:lang w:val="en-US" w:eastAsia="zh-CN"/>
              </w:rPr>
            </w:pPr>
          </w:p>
          <w:p w14:paraId="1589ECD4">
            <w:pPr>
              <w:pStyle w:val="6"/>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eastAsia="宋体"/>
                <w:color w:val="auto"/>
                <w:lang w:val="en-US" w:eastAsia="zh-CN"/>
              </w:rPr>
            </w:pPr>
          </w:p>
        </w:tc>
      </w:tr>
    </w:tbl>
    <w:p w14:paraId="28BE7394">
      <w:pPr>
        <w:pStyle w:val="21"/>
        <w:jc w:val="center"/>
        <w:rPr>
          <w:rFonts w:ascii="Times New Roman" w:hAnsi="Times New Roman"/>
          <w:snapToGrid w:val="0"/>
          <w:color w:val="auto"/>
          <w:szCs w:val="24"/>
        </w:rPr>
        <w:sectPr>
          <w:pgSz w:w="11907" w:h="16840"/>
          <w:pgMar w:top="1417" w:right="1417" w:bottom="1417" w:left="1417" w:header="851" w:footer="851" w:gutter="0"/>
          <w:pgBorders>
            <w:top w:val="none" w:sz="0" w:space="0"/>
            <w:left w:val="none" w:sz="0" w:space="0"/>
            <w:bottom w:val="none" w:sz="0" w:space="0"/>
            <w:right w:val="none" w:sz="0" w:space="0"/>
          </w:pgBorders>
          <w:cols w:space="0" w:num="1"/>
          <w:docGrid w:linePitch="312" w:charSpace="0"/>
        </w:sectPr>
      </w:pPr>
    </w:p>
    <w:p w14:paraId="26642BC1">
      <w:pPr>
        <w:pStyle w:val="21"/>
        <w:jc w:val="center"/>
        <w:outlineLvl w:val="0"/>
        <w:rPr>
          <w:rFonts w:ascii="Times New Roman" w:hAnsi="Times New Roman"/>
          <w:b/>
          <w:bCs/>
          <w:snapToGrid w:val="0"/>
          <w:color w:val="auto"/>
          <w:szCs w:val="24"/>
        </w:rPr>
      </w:pPr>
      <w:r>
        <w:rPr>
          <w:rFonts w:ascii="Times New Roman" w:hAnsi="Times New Roman"/>
          <w:b/>
          <w:bCs/>
          <w:snapToGrid w:val="0"/>
          <w:color w:val="auto"/>
          <w:sz w:val="30"/>
          <w:szCs w:val="30"/>
        </w:rPr>
        <w:t>四、主要环境影响和保护措</w:t>
      </w:r>
      <w:r>
        <w:rPr>
          <w:rFonts w:ascii="Times New Roman" w:hAnsi="Times New Roman"/>
          <w:b/>
          <w:bCs/>
          <w:snapToGrid w:val="0"/>
          <w:color w:val="auto"/>
          <w:szCs w:val="24"/>
        </w:rPr>
        <w:t>施</w:t>
      </w:r>
    </w:p>
    <w:tbl>
      <w:tblPr>
        <w:tblStyle w:val="25"/>
        <w:tblW w:w="909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95"/>
        <w:gridCol w:w="8596"/>
      </w:tblGrid>
      <w:tr w14:paraId="56935D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5" w:type="dxa"/>
            <w:tcMar>
              <w:left w:w="28" w:type="dxa"/>
              <w:right w:w="28" w:type="dxa"/>
            </w:tcMar>
            <w:vAlign w:val="center"/>
          </w:tcPr>
          <w:p w14:paraId="327E649E">
            <w:pPr>
              <w:pStyle w:val="21"/>
              <w:adjustRightInd w:val="0"/>
              <w:snapToGrid w:val="0"/>
              <w:spacing w:before="0" w:beforeAutospacing="0" w:after="0" w:afterAutospacing="0"/>
              <w:jc w:val="center"/>
              <w:rPr>
                <w:rFonts w:ascii="Times New Roman" w:hAnsi="Times New Roman"/>
                <w:color w:val="auto"/>
                <w:kern w:val="2"/>
                <w:szCs w:val="24"/>
              </w:rPr>
            </w:pPr>
            <w:r>
              <w:rPr>
                <w:rFonts w:ascii="Times New Roman" w:hAnsi="Times New Roman"/>
                <w:color w:val="auto"/>
                <w:kern w:val="2"/>
                <w:szCs w:val="24"/>
              </w:rPr>
              <w:t>施工</w:t>
            </w:r>
          </w:p>
          <w:p w14:paraId="1AC5FCD0">
            <w:pPr>
              <w:pStyle w:val="21"/>
              <w:adjustRightInd w:val="0"/>
              <w:snapToGrid w:val="0"/>
              <w:spacing w:before="0" w:beforeAutospacing="0" w:after="0" w:afterAutospacing="0"/>
              <w:jc w:val="center"/>
              <w:rPr>
                <w:rFonts w:ascii="Times New Roman" w:hAnsi="Times New Roman"/>
                <w:color w:val="auto"/>
                <w:kern w:val="2"/>
                <w:szCs w:val="24"/>
              </w:rPr>
            </w:pPr>
            <w:r>
              <w:rPr>
                <w:rFonts w:ascii="Times New Roman" w:hAnsi="Times New Roman"/>
                <w:color w:val="auto"/>
                <w:kern w:val="2"/>
                <w:szCs w:val="24"/>
              </w:rPr>
              <w:t>期环</w:t>
            </w:r>
          </w:p>
          <w:p w14:paraId="7146DB09">
            <w:pPr>
              <w:pStyle w:val="21"/>
              <w:adjustRightInd w:val="0"/>
              <w:snapToGrid w:val="0"/>
              <w:spacing w:before="0" w:beforeAutospacing="0" w:after="0" w:afterAutospacing="0"/>
              <w:jc w:val="center"/>
              <w:rPr>
                <w:rFonts w:ascii="Times New Roman" w:hAnsi="Times New Roman"/>
                <w:color w:val="auto"/>
                <w:kern w:val="2"/>
                <w:szCs w:val="24"/>
              </w:rPr>
            </w:pPr>
            <w:r>
              <w:rPr>
                <w:rFonts w:ascii="Times New Roman" w:hAnsi="Times New Roman"/>
                <w:color w:val="auto"/>
                <w:kern w:val="2"/>
                <w:szCs w:val="24"/>
              </w:rPr>
              <w:t>境保</w:t>
            </w:r>
          </w:p>
          <w:p w14:paraId="3061E2D1">
            <w:pPr>
              <w:pStyle w:val="21"/>
              <w:adjustRightInd w:val="0"/>
              <w:snapToGrid w:val="0"/>
              <w:spacing w:before="0" w:beforeAutospacing="0" w:after="0" w:afterAutospacing="0"/>
              <w:jc w:val="center"/>
              <w:rPr>
                <w:rFonts w:ascii="Times New Roman" w:hAnsi="Times New Roman"/>
                <w:color w:val="auto"/>
                <w:kern w:val="2"/>
                <w:szCs w:val="24"/>
              </w:rPr>
            </w:pPr>
            <w:r>
              <w:rPr>
                <w:rFonts w:ascii="Times New Roman" w:hAnsi="Times New Roman"/>
                <w:color w:val="auto"/>
                <w:kern w:val="2"/>
                <w:szCs w:val="24"/>
              </w:rPr>
              <w:t>护措</w:t>
            </w:r>
          </w:p>
          <w:p w14:paraId="5A460076">
            <w:pPr>
              <w:pStyle w:val="21"/>
              <w:adjustRightInd w:val="0"/>
              <w:snapToGrid w:val="0"/>
              <w:spacing w:before="0" w:beforeAutospacing="0" w:after="0" w:afterAutospacing="0"/>
              <w:jc w:val="center"/>
              <w:rPr>
                <w:rFonts w:ascii="Times New Roman" w:hAnsi="Times New Roman"/>
                <w:bCs/>
                <w:color w:val="auto"/>
                <w:kern w:val="2"/>
                <w:szCs w:val="24"/>
              </w:rPr>
            </w:pPr>
            <w:r>
              <w:rPr>
                <w:rFonts w:ascii="Times New Roman" w:hAnsi="Times New Roman"/>
                <w:color w:val="auto"/>
                <w:kern w:val="2"/>
                <w:szCs w:val="24"/>
              </w:rPr>
              <w:t>施</w:t>
            </w:r>
          </w:p>
        </w:tc>
        <w:tc>
          <w:tcPr>
            <w:tcW w:w="8596" w:type="dxa"/>
            <w:vAlign w:val="center"/>
          </w:tcPr>
          <w:p w14:paraId="6C808A41">
            <w:pPr>
              <w:adjustRightInd w:val="0"/>
              <w:snapToGrid w:val="0"/>
              <w:spacing w:line="500" w:lineRule="exact"/>
              <w:ind w:firstLine="482" w:firstLineChars="200"/>
              <w:rPr>
                <w:b/>
                <w:bCs/>
                <w:color w:val="auto"/>
              </w:rPr>
            </w:pPr>
            <w:r>
              <w:rPr>
                <w:b/>
                <w:bCs/>
                <w:color w:val="auto"/>
              </w:rPr>
              <w:t>1、</w:t>
            </w:r>
            <w:r>
              <w:rPr>
                <w:rFonts w:hint="eastAsia"/>
                <w:b/>
                <w:bCs/>
                <w:color w:val="auto"/>
              </w:rPr>
              <w:t>施工期</w:t>
            </w:r>
            <w:r>
              <w:rPr>
                <w:b/>
                <w:bCs/>
                <w:color w:val="auto"/>
              </w:rPr>
              <w:t>大气环境保护措施</w:t>
            </w:r>
          </w:p>
          <w:p w14:paraId="3ECAD5AA">
            <w:pPr>
              <w:adjustRightInd w:val="0"/>
              <w:snapToGrid w:val="0"/>
              <w:spacing w:line="500" w:lineRule="exact"/>
              <w:ind w:firstLine="480" w:firstLineChars="200"/>
              <w:rPr>
                <w:color w:val="auto"/>
              </w:rPr>
            </w:pPr>
            <w:r>
              <w:rPr>
                <w:color w:val="auto"/>
              </w:rPr>
              <w:t>项目施工期对环境空气的影响，主要是施工作业引起的扬尘，其次为运输车辆和一些动力设备使用燃料油产生的尾气排放。</w:t>
            </w:r>
          </w:p>
          <w:p w14:paraId="0673B905">
            <w:pPr>
              <w:adjustRightInd w:val="0"/>
              <w:snapToGrid w:val="0"/>
              <w:spacing w:line="500" w:lineRule="exact"/>
              <w:ind w:firstLine="480" w:firstLineChars="200"/>
              <w:rPr>
                <w:color w:val="auto"/>
              </w:rPr>
            </w:pPr>
            <w:r>
              <w:rPr>
                <w:color w:val="auto"/>
              </w:rPr>
              <w:t>（1）施工扬尘</w:t>
            </w:r>
          </w:p>
          <w:p w14:paraId="208DBBA0">
            <w:pPr>
              <w:adjustRightInd w:val="0"/>
              <w:snapToGrid w:val="0"/>
              <w:spacing w:line="500" w:lineRule="exact"/>
              <w:ind w:firstLine="480" w:firstLineChars="200"/>
              <w:rPr>
                <w:color w:val="auto"/>
              </w:rPr>
            </w:pPr>
            <w:r>
              <w:rPr>
                <w:color w:val="auto"/>
              </w:rPr>
              <w:t>施工期间，施工材料运输装卸过程中都会产生一定的扬尘，并可能随风迁移到周围区域，使周围环境空气中总悬浮颗粒物浓度升高；项目施工过程中运输车辆进出工地将产生运输扬尘，污染周围大气环境。</w:t>
            </w:r>
          </w:p>
          <w:p w14:paraId="7863B58C">
            <w:pPr>
              <w:adjustRightInd w:val="0"/>
              <w:snapToGrid w:val="0"/>
              <w:spacing w:line="500" w:lineRule="exact"/>
              <w:ind w:firstLine="480" w:firstLineChars="200"/>
              <w:rPr>
                <w:color w:val="auto"/>
              </w:rPr>
            </w:pPr>
            <w:r>
              <w:rPr>
                <w:color w:val="auto"/>
              </w:rPr>
              <w:t>项目拟采取如下措施：</w:t>
            </w:r>
          </w:p>
          <w:p w14:paraId="2438C68E">
            <w:pPr>
              <w:adjustRightInd w:val="0"/>
              <w:snapToGrid w:val="0"/>
              <w:spacing w:line="480" w:lineRule="exact"/>
              <w:ind w:firstLine="480" w:firstLineChars="200"/>
              <w:rPr>
                <w:color w:val="auto"/>
              </w:rPr>
            </w:pPr>
            <w:r>
              <w:rPr>
                <w:color w:val="auto"/>
              </w:rPr>
              <w:t>①施工单位对施工道路和物料堆放场地进行硬化和洒水降尘措施，要求洒水次数每天不少于3次；</w:t>
            </w:r>
          </w:p>
          <w:p w14:paraId="3125F174">
            <w:pPr>
              <w:adjustRightInd w:val="0"/>
              <w:snapToGrid w:val="0"/>
              <w:spacing w:line="480" w:lineRule="exact"/>
              <w:ind w:firstLine="480" w:firstLineChars="200"/>
              <w:rPr>
                <w:color w:val="auto"/>
                <w:lang w:val="zh-CN"/>
              </w:rPr>
            </w:pPr>
            <w:r>
              <w:rPr>
                <w:color w:val="auto"/>
              </w:rPr>
              <w:t>②</w:t>
            </w:r>
            <w:r>
              <w:rPr>
                <w:color w:val="auto"/>
                <w:lang w:val="zh-CN"/>
              </w:rPr>
              <w:t>施工场地</w:t>
            </w:r>
            <w:r>
              <w:rPr>
                <w:color w:val="auto"/>
              </w:rPr>
              <w:t>四周</w:t>
            </w:r>
            <w:r>
              <w:rPr>
                <w:color w:val="auto"/>
                <w:lang w:val="zh-CN"/>
              </w:rPr>
              <w:t>设置</w:t>
            </w:r>
            <w:r>
              <w:rPr>
                <w:color w:val="auto"/>
              </w:rPr>
              <w:t>2.0m高的</w:t>
            </w:r>
            <w:r>
              <w:rPr>
                <w:color w:val="auto"/>
                <w:lang w:val="zh-CN"/>
              </w:rPr>
              <w:t>围挡，物料堆放全部覆盖；</w:t>
            </w:r>
          </w:p>
          <w:p w14:paraId="17ACCE01">
            <w:pPr>
              <w:adjustRightInd w:val="0"/>
              <w:snapToGrid w:val="0"/>
              <w:spacing w:line="480" w:lineRule="exact"/>
              <w:ind w:firstLine="480" w:firstLineChars="200"/>
              <w:rPr>
                <w:color w:val="auto"/>
              </w:rPr>
            </w:pPr>
            <w:r>
              <w:rPr>
                <w:color w:val="auto"/>
              </w:rPr>
              <w:t>③运输车辆采用密闭化措施。运输单位和个人应当加强对车辆机械密闭装置的维护，确保设备正常使用，运输途中的物料不得沿途泄漏、散落或者飞扬，并按照指定的时间、区域和路线行驶；</w:t>
            </w:r>
          </w:p>
          <w:p w14:paraId="5B67AE30">
            <w:pPr>
              <w:adjustRightInd w:val="0"/>
              <w:snapToGrid w:val="0"/>
              <w:spacing w:line="480" w:lineRule="exact"/>
              <w:ind w:firstLine="480" w:firstLineChars="200"/>
              <w:rPr>
                <w:color w:val="auto"/>
              </w:rPr>
            </w:pPr>
            <w:r>
              <w:rPr>
                <w:color w:val="auto"/>
              </w:rPr>
              <w:t>④建设过程中在使用商用混凝土、预拌砂浆均采取外购，不在厂区内进行混凝土、砂浆现场搅拌；</w:t>
            </w:r>
          </w:p>
          <w:p w14:paraId="33925FA0">
            <w:pPr>
              <w:adjustRightInd w:val="0"/>
              <w:snapToGrid w:val="0"/>
              <w:spacing w:line="480" w:lineRule="exact"/>
              <w:ind w:firstLine="480" w:firstLineChars="200"/>
              <w:rPr>
                <w:color w:val="auto"/>
              </w:rPr>
            </w:pPr>
            <w:r>
              <w:rPr>
                <w:color w:val="auto"/>
              </w:rPr>
              <w:t>⑤强化施工期环境监督管理，提高全员环保意识宣传和教育，制定合理施工计划，缩短工期，采取集中力量逐项施工方法，坚决杜绝粗放式施工现象发生。</w:t>
            </w:r>
          </w:p>
          <w:p w14:paraId="116B3E17">
            <w:pPr>
              <w:adjustRightInd w:val="0"/>
              <w:snapToGrid w:val="0"/>
              <w:spacing w:line="480" w:lineRule="exact"/>
              <w:ind w:firstLine="480" w:firstLineChars="200"/>
              <w:rPr>
                <w:color w:val="auto"/>
              </w:rPr>
            </w:pPr>
            <w:r>
              <w:rPr>
                <w:color w:val="auto"/>
              </w:rPr>
              <w:t>采取上述措施后，可有效降低施工扬尘排放量，对周边环境空气质量影响较小。</w:t>
            </w:r>
          </w:p>
          <w:p w14:paraId="5A39BE56">
            <w:pPr>
              <w:adjustRightInd w:val="0"/>
              <w:snapToGrid w:val="0"/>
              <w:spacing w:line="480" w:lineRule="exact"/>
              <w:ind w:firstLine="480" w:firstLineChars="200"/>
              <w:rPr>
                <w:color w:val="auto"/>
              </w:rPr>
            </w:pPr>
            <w:r>
              <w:rPr>
                <w:color w:val="auto"/>
              </w:rPr>
              <w:t>（2）施工机械尾气影响分析</w:t>
            </w:r>
          </w:p>
          <w:p w14:paraId="51EC846B">
            <w:pPr>
              <w:adjustRightInd w:val="0"/>
              <w:snapToGrid w:val="0"/>
              <w:spacing w:line="480" w:lineRule="exact"/>
              <w:ind w:firstLine="480" w:firstLineChars="200"/>
              <w:rPr>
                <w:color w:val="auto"/>
              </w:rPr>
            </w:pPr>
            <w:r>
              <w:rPr>
                <w:color w:val="auto"/>
              </w:rPr>
              <w:t>项目施工采用的主要燃油机械排放的尾气主要污染物为NOx、CO和碳氢化合物（HC）等。项目施工机械数量有限，且均为间歇性运作，其尾气排放量小，且一般均要求燃油机械尾气达标排放，施工场地周边开阔平坦，空气流通顺畅，因此，污染物不会集聚，对区域环境空气影响轻微。</w:t>
            </w:r>
          </w:p>
          <w:p w14:paraId="5EB2FAC5">
            <w:pPr>
              <w:adjustRightInd w:val="0"/>
              <w:snapToGrid w:val="0"/>
              <w:spacing w:line="500" w:lineRule="exact"/>
              <w:ind w:firstLine="482" w:firstLineChars="200"/>
              <w:rPr>
                <w:b/>
                <w:bCs/>
                <w:color w:val="auto"/>
              </w:rPr>
            </w:pPr>
            <w:r>
              <w:rPr>
                <w:b/>
                <w:bCs/>
                <w:color w:val="auto"/>
              </w:rPr>
              <w:t>2、</w:t>
            </w:r>
            <w:r>
              <w:rPr>
                <w:rFonts w:hint="eastAsia"/>
                <w:b/>
                <w:bCs/>
                <w:color w:val="auto"/>
              </w:rPr>
              <w:t>施工期</w:t>
            </w:r>
            <w:r>
              <w:rPr>
                <w:b/>
                <w:bCs/>
                <w:color w:val="auto"/>
              </w:rPr>
              <w:t>水</w:t>
            </w:r>
            <w:r>
              <w:rPr>
                <w:rFonts w:hint="eastAsia"/>
                <w:b/>
                <w:bCs/>
                <w:color w:val="auto"/>
              </w:rPr>
              <w:t>环境</w:t>
            </w:r>
            <w:r>
              <w:rPr>
                <w:b/>
                <w:bCs/>
                <w:color w:val="auto"/>
              </w:rPr>
              <w:t>保护措施</w:t>
            </w:r>
          </w:p>
          <w:p w14:paraId="4B580556">
            <w:pPr>
              <w:widowControl/>
              <w:spacing w:line="480" w:lineRule="exact"/>
              <w:ind w:firstLine="480" w:firstLineChars="200"/>
              <w:jc w:val="left"/>
              <w:rPr>
                <w:color w:val="auto"/>
                <w:kern w:val="0"/>
              </w:rPr>
            </w:pPr>
            <w:r>
              <w:rPr>
                <w:rFonts w:hint="eastAsia"/>
                <w:color w:val="auto"/>
                <w:kern w:val="0"/>
              </w:rPr>
              <w:t>施工期间的废水包括施工废水和施工人员的生活污水。</w:t>
            </w:r>
          </w:p>
          <w:p w14:paraId="1A225DAA">
            <w:pPr>
              <w:widowControl/>
              <w:spacing w:line="480" w:lineRule="exact"/>
              <w:ind w:firstLine="480" w:firstLineChars="200"/>
              <w:jc w:val="left"/>
              <w:rPr>
                <w:color w:val="auto"/>
                <w:kern w:val="0"/>
              </w:rPr>
            </w:pPr>
            <w:r>
              <w:rPr>
                <w:rFonts w:hint="eastAsia"/>
                <w:color w:val="auto"/>
                <w:kern w:val="0"/>
              </w:rPr>
              <w:t>施工生产废水包括砂石冲洗水、养护水、场地及机械设备冲洗废水。施工时设置临时沉淀池，将含泥沙雨水、泥浆水等经沉淀池沉淀处理后回收利用，不外排。施工人员生活污水产生量很少，收集后拉运至蒙西工业园区生活污水处理厂处理。</w:t>
            </w:r>
          </w:p>
          <w:p w14:paraId="4640D21E">
            <w:pPr>
              <w:widowControl/>
              <w:spacing w:line="480" w:lineRule="exact"/>
              <w:ind w:firstLine="480" w:firstLineChars="200"/>
              <w:jc w:val="left"/>
              <w:rPr>
                <w:color w:val="auto"/>
                <w:kern w:val="0"/>
              </w:rPr>
            </w:pPr>
            <w:r>
              <w:rPr>
                <w:rFonts w:hint="eastAsia"/>
                <w:color w:val="auto"/>
                <w:kern w:val="0"/>
              </w:rPr>
              <w:t>施工废水和生活污水得到了妥善处理。</w:t>
            </w:r>
          </w:p>
          <w:p w14:paraId="678A3984">
            <w:pPr>
              <w:adjustRightInd w:val="0"/>
              <w:snapToGrid w:val="0"/>
              <w:spacing w:line="500" w:lineRule="exact"/>
              <w:ind w:firstLine="482" w:firstLineChars="200"/>
              <w:rPr>
                <w:b/>
                <w:bCs/>
                <w:color w:val="auto"/>
              </w:rPr>
            </w:pPr>
            <w:r>
              <w:rPr>
                <w:b/>
                <w:bCs/>
                <w:color w:val="auto"/>
              </w:rPr>
              <w:t>3、</w:t>
            </w:r>
            <w:r>
              <w:rPr>
                <w:rFonts w:hint="eastAsia"/>
                <w:b/>
                <w:bCs/>
                <w:color w:val="auto"/>
              </w:rPr>
              <w:t>施工期</w:t>
            </w:r>
            <w:r>
              <w:rPr>
                <w:b/>
                <w:bCs/>
                <w:color w:val="auto"/>
              </w:rPr>
              <w:t>噪声环境保护措施</w:t>
            </w:r>
          </w:p>
          <w:p w14:paraId="5B8ACE38">
            <w:pPr>
              <w:adjustRightInd w:val="0"/>
              <w:snapToGrid w:val="0"/>
              <w:spacing w:line="500" w:lineRule="exact"/>
              <w:ind w:firstLine="480" w:firstLineChars="200"/>
              <w:rPr>
                <w:color w:val="auto"/>
              </w:rPr>
            </w:pPr>
            <w:r>
              <w:rPr>
                <w:color w:val="auto"/>
              </w:rPr>
              <w:t>施工期噪声为各种机械设备产生的噪声和车辆行驶时产生的噪声，主要为施工机械设备产生的作业噪声。施工机械有载重汽车、推土机等。根据类比调查和有关资料</w:t>
            </w:r>
            <w:r>
              <w:rPr>
                <w:rFonts w:hint="eastAsia"/>
                <w:color w:val="auto"/>
              </w:rPr>
              <w:t>，</w:t>
            </w:r>
            <w:r>
              <w:rPr>
                <w:color w:val="auto"/>
              </w:rPr>
              <w:t>这些建筑施工机械的声源噪声强度大多在80~100dB(A)左右。</w:t>
            </w:r>
            <w:r>
              <w:rPr>
                <w:rFonts w:hint="eastAsia"/>
                <w:color w:val="auto"/>
              </w:rPr>
              <w:t>根据现场勘查，项目周边无声环境敏感点。结合</w:t>
            </w:r>
            <w:r>
              <w:rPr>
                <w:color w:val="auto"/>
              </w:rPr>
              <w:t>项目特点，项目施工期应采取如下防治措施：</w:t>
            </w:r>
          </w:p>
          <w:p w14:paraId="7D2B87EB">
            <w:pPr>
              <w:numPr>
                <w:ilvl w:val="0"/>
                <w:numId w:val="2"/>
              </w:numPr>
              <w:adjustRightInd w:val="0"/>
              <w:snapToGrid w:val="0"/>
              <w:spacing w:line="500" w:lineRule="exact"/>
              <w:ind w:firstLine="480" w:firstLineChars="200"/>
              <w:rPr>
                <w:color w:val="auto"/>
              </w:rPr>
            </w:pPr>
            <w:r>
              <w:rPr>
                <w:color w:val="auto"/>
              </w:rPr>
              <w:t>合理安排施工作业时间，尽量避免高噪声设备同时施工</w:t>
            </w:r>
            <w:r>
              <w:rPr>
                <w:rFonts w:hint="eastAsia"/>
                <w:color w:val="auto"/>
              </w:rPr>
              <w:t>；</w:t>
            </w:r>
          </w:p>
          <w:p w14:paraId="0622309E">
            <w:pPr>
              <w:adjustRightInd w:val="0"/>
              <w:snapToGrid w:val="0"/>
              <w:spacing w:line="500" w:lineRule="exact"/>
              <w:ind w:firstLine="480" w:firstLineChars="200"/>
              <w:rPr>
                <w:color w:val="auto"/>
              </w:rPr>
            </w:pPr>
            <w:r>
              <w:rPr>
                <w:color w:val="auto"/>
              </w:rPr>
              <w:t>（2）降低设备声级，尽量选用低噪声机械设备或带隔声、消声的设备，同时做好施工机械的维护和保养，有效降低机械设备运转噪声；</w:t>
            </w:r>
          </w:p>
          <w:p w14:paraId="17CE0FCB">
            <w:pPr>
              <w:adjustRightInd w:val="0"/>
              <w:snapToGrid w:val="0"/>
              <w:spacing w:line="500" w:lineRule="exact"/>
              <w:ind w:firstLine="480" w:firstLineChars="200"/>
              <w:rPr>
                <w:color w:val="auto"/>
              </w:rPr>
            </w:pPr>
            <w:r>
              <w:rPr>
                <w:color w:val="auto"/>
              </w:rPr>
              <w:t>（3）严格操作规程，合理安排强噪声施工机械的工作频次与行车密度；</w:t>
            </w:r>
          </w:p>
          <w:p w14:paraId="03064A6C">
            <w:pPr>
              <w:adjustRightInd w:val="0"/>
              <w:snapToGrid w:val="0"/>
              <w:spacing w:line="500" w:lineRule="exact"/>
              <w:ind w:firstLine="480" w:firstLineChars="200"/>
              <w:rPr>
                <w:color w:val="auto"/>
              </w:rPr>
            </w:pPr>
            <w:r>
              <w:rPr>
                <w:color w:val="auto"/>
              </w:rPr>
              <w:t>（</w:t>
            </w:r>
            <w:r>
              <w:rPr>
                <w:rFonts w:hint="eastAsia"/>
                <w:color w:val="auto"/>
              </w:rPr>
              <w:t>4</w:t>
            </w:r>
            <w:r>
              <w:rPr>
                <w:color w:val="auto"/>
              </w:rPr>
              <w:t>）加强对施工人员的环保教育和管理，降低人为噪声，尽量减少碰撞和敲打声音</w:t>
            </w:r>
            <w:r>
              <w:rPr>
                <w:rFonts w:hint="eastAsia"/>
                <w:color w:val="auto"/>
              </w:rPr>
              <w:t>；</w:t>
            </w:r>
          </w:p>
          <w:p w14:paraId="4E69385A">
            <w:pPr>
              <w:adjustRightInd w:val="0"/>
              <w:snapToGrid w:val="0"/>
              <w:spacing w:line="500" w:lineRule="exact"/>
              <w:ind w:firstLine="480" w:firstLineChars="200"/>
              <w:rPr>
                <w:color w:val="auto"/>
              </w:rPr>
            </w:pPr>
            <w:r>
              <w:rPr>
                <w:rFonts w:hint="eastAsia"/>
                <w:color w:val="auto"/>
              </w:rPr>
              <w:t>（5）施工单位应布置好施工现场，合理安排施工机械，将施工现场的固定振动源相对集中，以减少对周围环境的影响；</w:t>
            </w:r>
          </w:p>
          <w:p w14:paraId="64015A1C">
            <w:pPr>
              <w:pStyle w:val="6"/>
              <w:spacing w:line="500" w:lineRule="exact"/>
              <w:rPr>
                <w:color w:val="auto"/>
              </w:rPr>
            </w:pPr>
            <w:r>
              <w:rPr>
                <w:rFonts w:hint="eastAsia"/>
                <w:color w:val="auto"/>
              </w:rPr>
              <w:t>（6）振动较大的固定机械设备应加装减振机座，降低振动对周围环境的影响；</w:t>
            </w:r>
          </w:p>
          <w:p w14:paraId="6E4918AE">
            <w:pPr>
              <w:pStyle w:val="5"/>
              <w:spacing w:line="500" w:lineRule="exact"/>
              <w:ind w:firstLine="420"/>
              <w:rPr>
                <w:color w:val="auto"/>
              </w:rPr>
            </w:pPr>
            <w:r>
              <w:rPr>
                <w:rFonts w:hint="eastAsia"/>
                <w:color w:val="auto"/>
              </w:rPr>
              <w:t>（7）对可固定的机械设备如空压机、发电机安置在施工场地临时房间内，房屋内设隔音板或隔音罩，从而达到降低噪声的目的。</w:t>
            </w:r>
          </w:p>
          <w:p w14:paraId="15F13A97">
            <w:pPr>
              <w:spacing w:line="500" w:lineRule="exact"/>
              <w:ind w:firstLine="420"/>
              <w:rPr>
                <w:color w:val="auto"/>
              </w:rPr>
            </w:pPr>
            <w:r>
              <w:rPr>
                <w:rFonts w:hint="eastAsia"/>
                <w:color w:val="auto"/>
              </w:rPr>
              <w:t>在合理安排施工时间，规范施工现场设备布置，采取减震隔声等措施后，</w:t>
            </w:r>
            <w:r>
              <w:rPr>
                <w:color w:val="auto"/>
              </w:rPr>
              <w:t>可减少施工噪声对</w:t>
            </w:r>
            <w:r>
              <w:rPr>
                <w:rFonts w:hint="eastAsia"/>
                <w:color w:val="auto"/>
              </w:rPr>
              <w:t>周围环境</w:t>
            </w:r>
            <w:r>
              <w:rPr>
                <w:color w:val="auto"/>
              </w:rPr>
              <w:t>的影响，满足《建筑施工噪声排放标准》</w:t>
            </w:r>
            <w:r>
              <w:rPr>
                <w:rFonts w:hint="eastAsia"/>
                <w:color w:val="auto"/>
              </w:rPr>
              <w:t>（</w:t>
            </w:r>
            <w:r>
              <w:rPr>
                <w:color w:val="auto"/>
              </w:rPr>
              <w:t>GB12523-20</w:t>
            </w:r>
            <w:r>
              <w:rPr>
                <w:rFonts w:hint="eastAsia"/>
                <w:color w:val="auto"/>
              </w:rPr>
              <w:t>25）</w:t>
            </w:r>
            <w:r>
              <w:rPr>
                <w:color w:val="auto"/>
              </w:rPr>
              <w:t>标准要求</w:t>
            </w:r>
            <w:r>
              <w:rPr>
                <w:rFonts w:hint="eastAsia"/>
                <w:color w:val="auto"/>
              </w:rPr>
              <w:t>。</w:t>
            </w:r>
            <w:r>
              <w:rPr>
                <w:color w:val="auto"/>
              </w:rPr>
              <w:t>整体来说，施工产生的噪声将存在于整个施工工程中，待施工结束后这些影响也随之消失</w:t>
            </w:r>
            <w:r>
              <w:rPr>
                <w:rFonts w:hint="eastAsia"/>
                <w:color w:val="auto"/>
              </w:rPr>
              <w:t>。</w:t>
            </w:r>
          </w:p>
          <w:p w14:paraId="359C11B1">
            <w:pPr>
              <w:adjustRightInd w:val="0"/>
              <w:snapToGrid w:val="0"/>
              <w:spacing w:line="500" w:lineRule="exact"/>
              <w:ind w:firstLine="482" w:firstLineChars="200"/>
              <w:rPr>
                <w:b/>
                <w:bCs/>
                <w:color w:val="auto"/>
              </w:rPr>
            </w:pPr>
            <w:r>
              <w:rPr>
                <w:b/>
                <w:bCs/>
                <w:color w:val="auto"/>
              </w:rPr>
              <w:t>4、</w:t>
            </w:r>
            <w:r>
              <w:rPr>
                <w:rFonts w:hint="eastAsia"/>
                <w:b/>
                <w:bCs/>
                <w:color w:val="auto"/>
              </w:rPr>
              <w:t>施工期</w:t>
            </w:r>
            <w:r>
              <w:rPr>
                <w:b/>
                <w:bCs/>
                <w:color w:val="auto"/>
              </w:rPr>
              <w:t>固体废物环境保护措施</w:t>
            </w:r>
          </w:p>
          <w:p w14:paraId="4FDD719C">
            <w:pPr>
              <w:adjustRightInd w:val="0"/>
              <w:snapToGrid w:val="0"/>
              <w:spacing w:line="500" w:lineRule="exact"/>
              <w:ind w:firstLine="480" w:firstLineChars="200"/>
              <w:rPr>
                <w:color w:val="auto"/>
              </w:rPr>
            </w:pPr>
            <w:r>
              <w:rPr>
                <w:color w:val="auto"/>
              </w:rPr>
              <w:t>施工期固体废物包括施工废弃物和施工人员生活垃圾。</w:t>
            </w:r>
          </w:p>
          <w:p w14:paraId="786AE798">
            <w:pPr>
              <w:adjustRightInd w:val="0"/>
              <w:snapToGrid w:val="0"/>
              <w:spacing w:line="500" w:lineRule="exact"/>
              <w:ind w:firstLine="480" w:firstLineChars="200"/>
              <w:rPr>
                <w:color w:val="auto"/>
              </w:rPr>
            </w:pPr>
            <w:r>
              <w:rPr>
                <w:color w:val="auto"/>
              </w:rPr>
              <w:t>施工废弃物主要是建筑垃圾，建筑垃圾主要包括建筑材料的边角料、废包装等。建筑材料的边角料包括废金属、钢材、废砖等，采取有计划的堆放，按要求分类处置。废金属、钢材与纸质废包装等可回收利用的垃圾可卖废品，其他难以回收利用的垃圾分类收集后送至政府指定地点堆放。工程中施工人员产生的生活垃圾经统一收集后定期交由当地环卫部门统一处理，对周围环境影响小。</w:t>
            </w:r>
          </w:p>
        </w:tc>
      </w:tr>
      <w:tr w14:paraId="39D615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5" w:type="dxa"/>
            <w:tcMar>
              <w:left w:w="28" w:type="dxa"/>
              <w:right w:w="28" w:type="dxa"/>
            </w:tcMar>
            <w:vAlign w:val="center"/>
          </w:tcPr>
          <w:p w14:paraId="2B63B63C">
            <w:pPr>
              <w:adjustRightInd w:val="0"/>
              <w:snapToGrid w:val="0"/>
              <w:jc w:val="center"/>
              <w:rPr>
                <w:bCs/>
                <w:color w:val="auto"/>
              </w:rPr>
            </w:pPr>
            <w:r>
              <w:rPr>
                <w:bCs/>
                <w:color w:val="auto"/>
              </w:rPr>
              <w:t>运营</w:t>
            </w:r>
          </w:p>
          <w:p w14:paraId="2B63F770">
            <w:pPr>
              <w:adjustRightInd w:val="0"/>
              <w:snapToGrid w:val="0"/>
              <w:jc w:val="center"/>
              <w:rPr>
                <w:bCs/>
                <w:color w:val="auto"/>
              </w:rPr>
            </w:pPr>
            <w:r>
              <w:rPr>
                <w:bCs/>
                <w:color w:val="auto"/>
              </w:rPr>
              <w:t>期环</w:t>
            </w:r>
          </w:p>
          <w:p w14:paraId="061A7C80">
            <w:pPr>
              <w:adjustRightInd w:val="0"/>
              <w:snapToGrid w:val="0"/>
              <w:jc w:val="center"/>
              <w:rPr>
                <w:bCs/>
                <w:color w:val="auto"/>
              </w:rPr>
            </w:pPr>
            <w:r>
              <w:rPr>
                <w:bCs/>
                <w:color w:val="auto"/>
              </w:rPr>
              <w:t>境影</w:t>
            </w:r>
          </w:p>
          <w:p w14:paraId="28200DF2">
            <w:pPr>
              <w:adjustRightInd w:val="0"/>
              <w:snapToGrid w:val="0"/>
              <w:jc w:val="center"/>
              <w:rPr>
                <w:bCs/>
                <w:color w:val="auto"/>
              </w:rPr>
            </w:pPr>
            <w:r>
              <w:rPr>
                <w:bCs/>
                <w:color w:val="auto"/>
              </w:rPr>
              <w:t>响和</w:t>
            </w:r>
          </w:p>
          <w:p w14:paraId="245819E3">
            <w:pPr>
              <w:adjustRightInd w:val="0"/>
              <w:snapToGrid w:val="0"/>
              <w:jc w:val="center"/>
              <w:rPr>
                <w:bCs/>
                <w:color w:val="auto"/>
              </w:rPr>
            </w:pPr>
            <w:r>
              <w:rPr>
                <w:bCs/>
                <w:color w:val="auto"/>
              </w:rPr>
              <w:t>保护</w:t>
            </w:r>
          </w:p>
          <w:p w14:paraId="73938CA9">
            <w:pPr>
              <w:adjustRightInd w:val="0"/>
              <w:snapToGrid w:val="0"/>
              <w:jc w:val="center"/>
              <w:rPr>
                <w:bCs/>
                <w:color w:val="auto"/>
              </w:rPr>
            </w:pPr>
            <w:r>
              <w:rPr>
                <w:bCs/>
                <w:color w:val="auto"/>
              </w:rPr>
              <w:t>措施</w:t>
            </w:r>
          </w:p>
        </w:tc>
        <w:tc>
          <w:tcPr>
            <w:tcW w:w="8596" w:type="dxa"/>
            <w:vAlign w:val="center"/>
          </w:tcPr>
          <w:p w14:paraId="6EDF3826">
            <w:pPr>
              <w:spacing w:line="500" w:lineRule="exact"/>
              <w:ind w:firstLine="482" w:firstLineChars="200"/>
              <w:rPr>
                <w:color w:val="auto"/>
              </w:rPr>
            </w:pPr>
            <w:r>
              <w:rPr>
                <w:rFonts w:hint="eastAsia"/>
                <w:b/>
                <w:bCs/>
                <w:color w:val="auto"/>
              </w:rPr>
              <w:t>1、</w:t>
            </w:r>
            <w:r>
              <w:rPr>
                <w:b/>
                <w:bCs/>
                <w:color w:val="auto"/>
              </w:rPr>
              <w:t>大气环境影响和保护措施</w:t>
            </w:r>
          </w:p>
          <w:p w14:paraId="0BFF694D">
            <w:pPr>
              <w:pStyle w:val="24"/>
              <w:spacing w:after="0" w:line="500" w:lineRule="exact"/>
              <w:ind w:left="0" w:leftChars="0" w:firstLine="482" w:firstLineChars="200"/>
              <w:rPr>
                <w:b/>
                <w:bCs/>
                <w:color w:val="auto"/>
                <w:szCs w:val="24"/>
              </w:rPr>
            </w:pPr>
            <w:r>
              <w:rPr>
                <w:rFonts w:hint="eastAsia"/>
                <w:b/>
                <w:bCs/>
                <w:color w:val="auto"/>
                <w:szCs w:val="24"/>
              </w:rPr>
              <w:t>1.1</w:t>
            </w:r>
            <w:r>
              <w:rPr>
                <w:b/>
                <w:bCs/>
                <w:color w:val="auto"/>
                <w:szCs w:val="24"/>
              </w:rPr>
              <w:t>大气污染物源强核算</w:t>
            </w:r>
          </w:p>
          <w:p w14:paraId="1BD54DF9">
            <w:pPr>
              <w:pStyle w:val="23"/>
              <w:spacing w:before="0" w:after="0" w:line="500" w:lineRule="exact"/>
              <w:ind w:firstLine="480" w:firstLineChars="200"/>
              <w:rPr>
                <w:color w:val="auto"/>
                <w:sz w:val="24"/>
                <w:szCs w:val="24"/>
              </w:rPr>
            </w:pPr>
            <w:r>
              <w:rPr>
                <w:color w:val="auto"/>
                <w:sz w:val="24"/>
                <w:szCs w:val="24"/>
              </w:rPr>
              <w:t>本项目大气污染物主要为破碎、剪切粉尘</w:t>
            </w:r>
            <w:r>
              <w:rPr>
                <w:rFonts w:hint="eastAsia"/>
                <w:color w:val="auto"/>
                <w:sz w:val="24"/>
                <w:szCs w:val="24"/>
              </w:rPr>
              <w:t>，焊接烟尘，破损铅蓄电瓶挥发的酸雾废气，废矿物油贮存产生的有机废气及道路运输扬尘。</w:t>
            </w:r>
          </w:p>
          <w:p w14:paraId="7ABE79E6">
            <w:pPr>
              <w:pStyle w:val="13"/>
              <w:tabs>
                <w:tab w:val="left" w:pos="6930"/>
              </w:tabs>
              <w:spacing w:line="500" w:lineRule="exact"/>
              <w:ind w:firstLine="480" w:firstLineChars="200"/>
              <w:rPr>
                <w:rFonts w:ascii="Times New Roman" w:hAnsi="Times New Roman" w:cs="Times New Roman"/>
                <w:color w:val="auto"/>
                <w:sz w:val="24"/>
              </w:rPr>
            </w:pPr>
            <w:r>
              <w:rPr>
                <w:rFonts w:hint="eastAsia" w:ascii="Times New Roman" w:hAnsi="Times New Roman" w:cs="Times New Roman"/>
                <w:color w:val="auto"/>
                <w:sz w:val="24"/>
              </w:rPr>
              <w:t>（1）</w:t>
            </w:r>
            <w:r>
              <w:rPr>
                <w:rFonts w:ascii="Times New Roman" w:hAnsi="Times New Roman" w:cs="Times New Roman"/>
                <w:color w:val="auto"/>
                <w:sz w:val="24"/>
                <w:szCs w:val="24"/>
              </w:rPr>
              <w:t>破碎、剪切粉尘</w:t>
            </w:r>
          </w:p>
          <w:p w14:paraId="590225B0">
            <w:pPr>
              <w:pStyle w:val="13"/>
              <w:tabs>
                <w:tab w:val="left" w:pos="6930"/>
              </w:tabs>
              <w:spacing w:line="500" w:lineRule="exact"/>
              <w:ind w:firstLine="480" w:firstLineChars="200"/>
              <w:rPr>
                <w:rFonts w:ascii="Times New Roman" w:hAnsi="Times New Roman" w:cs="Times New Roman"/>
                <w:color w:val="auto"/>
                <w:sz w:val="24"/>
                <w:szCs w:val="24"/>
              </w:rPr>
            </w:pPr>
            <w:r>
              <w:rPr>
                <w:rFonts w:hint="eastAsia" w:ascii="Times New Roman"/>
                <w:color w:val="auto"/>
                <w:sz w:val="24"/>
                <w:szCs w:val="22"/>
              </w:rPr>
              <w:t>废钢破碎、剪切工序会产生粉尘。根据《排放源统计调查产排污核算方法和系数手册》“42 废弃资源综合利用行业系数手册-4210金属废料和碎屑加工处理行业系数手册”，破碎工艺颗粒物产污系数为360克/吨-原料、废气量为2000m</w:t>
            </w:r>
            <w:r>
              <w:rPr>
                <w:rFonts w:hint="eastAsia" w:ascii="Times New Roman"/>
                <w:color w:val="auto"/>
                <w:sz w:val="24"/>
                <w:szCs w:val="22"/>
                <w:vertAlign w:val="superscript"/>
              </w:rPr>
              <w:t>3</w:t>
            </w:r>
            <w:r>
              <w:rPr>
                <w:rFonts w:hint="eastAsia" w:ascii="Times New Roman"/>
                <w:color w:val="auto"/>
                <w:sz w:val="24"/>
                <w:szCs w:val="22"/>
              </w:rPr>
              <w:t>/吨-原料，剪切工艺产污系数为7.2克/吨-原料。项目废钢铁加工量为105万t/a，根据建设单位提供的资料，项目需要破碎的废钢铁为70万t/a，需剪切的废钢铁为17.5万t/a。经计算，项目破碎产生的粉尘量为252t/a，剪切产生的粉尘量为1.26t/a，粉尘产生量合计为253.26t/a。破碎、剪切粉尘经集气罩收集后引入1套布袋除尘器，处理后通过30m 排气筒（DA001）排放。</w:t>
            </w:r>
            <w:r>
              <w:rPr>
                <w:rFonts w:ascii="Times New Roman" w:hAnsi="Times New Roman" w:cs="Times New Roman"/>
                <w:color w:val="auto"/>
                <w:sz w:val="24"/>
                <w:szCs w:val="24"/>
              </w:rPr>
              <w:t>集气罩粉尘捕集率取90%，除尘器除尘效率≥99%，</w:t>
            </w:r>
            <w:r>
              <w:rPr>
                <w:rFonts w:hint="eastAsia" w:ascii="Times New Roman" w:hAnsi="Times New Roman" w:cs="Times New Roman"/>
                <w:color w:val="auto"/>
                <w:sz w:val="24"/>
                <w:szCs w:val="24"/>
              </w:rPr>
              <w:t>破碎工序废气量为194444</w:t>
            </w:r>
            <w:r>
              <w:rPr>
                <w:rFonts w:ascii="Times New Roman" w:hAnsi="Times New Roman" w:cs="Times New Roman"/>
                <w:color w:val="auto"/>
                <w:sz w:val="24"/>
                <w:szCs w:val="24"/>
              </w:rPr>
              <w:t>m</w:t>
            </w:r>
            <w:r>
              <w:rPr>
                <w:rFonts w:ascii="Times New Roman" w:hAnsi="Times New Roman" w:cs="Times New Roman"/>
                <w:color w:val="auto"/>
                <w:sz w:val="24"/>
                <w:szCs w:val="24"/>
                <w:vertAlign w:val="superscript"/>
              </w:rPr>
              <w:t>3</w:t>
            </w:r>
            <w:r>
              <w:rPr>
                <w:rFonts w:ascii="Times New Roman" w:hAnsi="Times New Roman" w:cs="Times New Roman"/>
                <w:color w:val="auto"/>
                <w:sz w:val="24"/>
                <w:szCs w:val="24"/>
              </w:rPr>
              <w:t>/h</w:t>
            </w:r>
            <w:r>
              <w:rPr>
                <w:rFonts w:hint="eastAsia" w:ascii="Times New Roman" w:hAnsi="Times New Roman" w:cs="Times New Roman"/>
                <w:color w:val="auto"/>
                <w:sz w:val="24"/>
                <w:szCs w:val="24"/>
              </w:rPr>
              <w:t>，剪切工序风量5000</w:t>
            </w:r>
            <w:r>
              <w:rPr>
                <w:rFonts w:ascii="Times New Roman" w:hAnsi="Times New Roman" w:cs="Times New Roman"/>
                <w:color w:val="auto"/>
                <w:sz w:val="24"/>
                <w:szCs w:val="24"/>
              </w:rPr>
              <w:t>m</w:t>
            </w:r>
            <w:r>
              <w:rPr>
                <w:rFonts w:ascii="Times New Roman" w:hAnsi="Times New Roman" w:cs="Times New Roman"/>
                <w:color w:val="auto"/>
                <w:sz w:val="24"/>
                <w:szCs w:val="24"/>
                <w:vertAlign w:val="superscript"/>
              </w:rPr>
              <w:t>3</w:t>
            </w:r>
            <w:r>
              <w:rPr>
                <w:rFonts w:ascii="Times New Roman" w:hAnsi="Times New Roman" w:cs="Times New Roman"/>
                <w:color w:val="auto"/>
                <w:sz w:val="24"/>
                <w:szCs w:val="24"/>
              </w:rPr>
              <w:t>/h</w:t>
            </w:r>
            <w:r>
              <w:rPr>
                <w:rFonts w:hint="eastAsia" w:ascii="Times New Roman" w:hAnsi="Times New Roman" w:cs="Times New Roman"/>
                <w:color w:val="auto"/>
                <w:sz w:val="24"/>
                <w:szCs w:val="24"/>
              </w:rPr>
              <w:t>，</w:t>
            </w:r>
            <w:r>
              <w:rPr>
                <w:rFonts w:ascii="Times New Roman" w:hAnsi="Times New Roman" w:cs="Times New Roman"/>
                <w:color w:val="auto"/>
                <w:sz w:val="24"/>
                <w:szCs w:val="24"/>
              </w:rPr>
              <w:t>设计</w:t>
            </w:r>
            <w:r>
              <w:rPr>
                <w:rFonts w:hint="eastAsia" w:ascii="Times New Roman" w:hAnsi="Times New Roman" w:cs="Times New Roman"/>
                <w:color w:val="auto"/>
                <w:sz w:val="24"/>
                <w:szCs w:val="24"/>
              </w:rPr>
              <w:t>风机总</w:t>
            </w:r>
            <w:r>
              <w:rPr>
                <w:rFonts w:ascii="Times New Roman" w:hAnsi="Times New Roman" w:cs="Times New Roman"/>
                <w:color w:val="auto"/>
                <w:sz w:val="24"/>
                <w:szCs w:val="24"/>
              </w:rPr>
              <w:t>风量为</w:t>
            </w:r>
            <w:r>
              <w:rPr>
                <w:rFonts w:hint="eastAsia" w:ascii="Times New Roman" w:hAnsi="Times New Roman" w:cs="Times New Roman"/>
                <w:color w:val="auto"/>
                <w:sz w:val="24"/>
                <w:szCs w:val="24"/>
              </w:rPr>
              <w:t>200</w:t>
            </w:r>
            <w:r>
              <w:rPr>
                <w:rFonts w:ascii="Times New Roman" w:hAnsi="Times New Roman" w:cs="Times New Roman"/>
                <w:color w:val="auto"/>
                <w:sz w:val="24"/>
                <w:szCs w:val="24"/>
              </w:rPr>
              <w:t>000m</w:t>
            </w:r>
            <w:r>
              <w:rPr>
                <w:rFonts w:ascii="Times New Roman" w:hAnsi="Times New Roman" w:cs="Times New Roman"/>
                <w:color w:val="auto"/>
                <w:sz w:val="24"/>
                <w:szCs w:val="24"/>
                <w:vertAlign w:val="superscript"/>
              </w:rPr>
              <w:t>3</w:t>
            </w:r>
            <w:r>
              <w:rPr>
                <w:rFonts w:ascii="Times New Roman" w:hAnsi="Times New Roman" w:cs="Times New Roman"/>
                <w:color w:val="auto"/>
                <w:sz w:val="24"/>
                <w:szCs w:val="24"/>
              </w:rPr>
              <w:t>/h。</w:t>
            </w:r>
            <w:r>
              <w:rPr>
                <w:rFonts w:hint="eastAsia" w:ascii="Times New Roman"/>
                <w:color w:val="auto"/>
                <w:sz w:val="24"/>
                <w:szCs w:val="22"/>
              </w:rPr>
              <w:t>破碎、剪切</w:t>
            </w:r>
            <w:r>
              <w:rPr>
                <w:rFonts w:ascii="Times New Roman" w:hAnsi="Times New Roman" w:cs="Times New Roman"/>
                <w:color w:val="auto"/>
                <w:sz w:val="24"/>
                <w:szCs w:val="24"/>
                <w:lang w:bidi="ar"/>
              </w:rPr>
              <w:t>工作制度为3</w:t>
            </w:r>
            <w:r>
              <w:rPr>
                <w:rFonts w:hint="eastAsia" w:ascii="Times New Roman" w:hAnsi="Times New Roman" w:cs="Times New Roman"/>
                <w:color w:val="auto"/>
                <w:sz w:val="24"/>
                <w:szCs w:val="24"/>
                <w:lang w:bidi="ar"/>
              </w:rPr>
              <w:t>0</w:t>
            </w:r>
            <w:r>
              <w:rPr>
                <w:rFonts w:ascii="Times New Roman" w:hAnsi="Times New Roman" w:cs="Times New Roman"/>
                <w:color w:val="auto"/>
                <w:sz w:val="24"/>
                <w:szCs w:val="24"/>
                <w:lang w:bidi="ar"/>
              </w:rPr>
              <w:t>0d/a×24h/d=7</w:t>
            </w:r>
            <w:r>
              <w:rPr>
                <w:rFonts w:hint="eastAsia" w:ascii="Times New Roman" w:hAnsi="Times New Roman" w:cs="Times New Roman"/>
                <w:color w:val="auto"/>
                <w:sz w:val="24"/>
                <w:szCs w:val="24"/>
                <w:lang w:bidi="ar"/>
              </w:rPr>
              <w:t>20</w:t>
            </w:r>
            <w:r>
              <w:rPr>
                <w:rFonts w:ascii="Times New Roman" w:hAnsi="Times New Roman" w:cs="Times New Roman"/>
                <w:color w:val="auto"/>
                <w:sz w:val="24"/>
                <w:szCs w:val="24"/>
                <w:lang w:bidi="ar"/>
              </w:rPr>
              <w:t>0h/a</w:t>
            </w:r>
            <w:r>
              <w:rPr>
                <w:rFonts w:ascii="Times New Roman" w:hAnsi="Times New Roman" w:cs="Times New Roman"/>
                <w:color w:val="auto"/>
                <w:spacing w:val="4"/>
                <w:sz w:val="24"/>
                <w:szCs w:val="24"/>
                <w:lang w:bidi="ar"/>
              </w:rPr>
              <w:t>。</w:t>
            </w:r>
          </w:p>
          <w:p w14:paraId="43D67648">
            <w:pPr>
              <w:pStyle w:val="13"/>
              <w:tabs>
                <w:tab w:val="left" w:pos="6930"/>
              </w:tabs>
              <w:spacing w:line="480" w:lineRule="exact"/>
              <w:ind w:firstLine="480" w:firstLineChars="200"/>
              <w:rPr>
                <w:rFonts w:ascii="Times New Roman" w:hAnsi="Times New Roman" w:cs="Times New Roman"/>
                <w:color w:val="auto"/>
                <w:sz w:val="24"/>
              </w:rPr>
            </w:pPr>
            <w:r>
              <w:rPr>
                <w:rFonts w:ascii="Times New Roman" w:hAnsi="Times New Roman" w:cs="Times New Roman"/>
                <w:color w:val="auto"/>
                <w:sz w:val="24"/>
              </w:rPr>
              <w:t>经计算，</w:t>
            </w:r>
            <w:r>
              <w:rPr>
                <w:rFonts w:ascii="Times New Roman" w:hAnsi="Times New Roman" w:cs="Times New Roman"/>
                <w:color w:val="auto"/>
                <w:sz w:val="24"/>
                <w:szCs w:val="24"/>
              </w:rPr>
              <w:t>除尘器入口粉尘浓度为</w:t>
            </w:r>
            <w:r>
              <w:rPr>
                <w:rFonts w:hint="eastAsia" w:ascii="Times New Roman" w:hAnsi="Times New Roman" w:cs="Times New Roman"/>
                <w:color w:val="auto"/>
                <w:sz w:val="24"/>
                <w:szCs w:val="24"/>
              </w:rPr>
              <w:t>158.29</w:t>
            </w:r>
            <w:r>
              <w:rPr>
                <w:rFonts w:ascii="Times New Roman" w:hAnsi="Times New Roman" w:cs="Times New Roman"/>
                <w:color w:val="auto"/>
                <w:sz w:val="24"/>
                <w:szCs w:val="24"/>
              </w:rPr>
              <w:t>mg/m</w:t>
            </w:r>
            <w:r>
              <w:rPr>
                <w:rFonts w:ascii="Times New Roman" w:hAnsi="Times New Roman" w:cs="Times New Roman"/>
                <w:color w:val="auto"/>
                <w:sz w:val="24"/>
                <w:szCs w:val="24"/>
                <w:vertAlign w:val="superscript"/>
              </w:rPr>
              <w:t>3</w:t>
            </w:r>
            <w:r>
              <w:rPr>
                <w:rFonts w:ascii="Times New Roman" w:hAnsi="Times New Roman" w:cs="Times New Roman"/>
                <w:color w:val="auto"/>
                <w:sz w:val="24"/>
                <w:szCs w:val="24"/>
              </w:rPr>
              <w:t>、粉尘产生速率为</w:t>
            </w:r>
            <w:r>
              <w:rPr>
                <w:rFonts w:hint="eastAsia" w:ascii="Times New Roman" w:hAnsi="Times New Roman" w:cs="Times New Roman"/>
                <w:color w:val="auto"/>
                <w:sz w:val="24"/>
                <w:szCs w:val="24"/>
              </w:rPr>
              <w:t>31.66</w:t>
            </w:r>
            <w:r>
              <w:rPr>
                <w:rFonts w:ascii="Times New Roman" w:hAnsi="Times New Roman" w:cs="Times New Roman"/>
                <w:color w:val="auto"/>
                <w:sz w:val="24"/>
                <w:szCs w:val="24"/>
              </w:rPr>
              <w:t>kg/h，经处理后粉尘排放浓度</w:t>
            </w:r>
            <w:r>
              <w:rPr>
                <w:rFonts w:hint="eastAsia" w:ascii="Times New Roman" w:hAnsi="Times New Roman" w:cs="Times New Roman"/>
                <w:color w:val="auto"/>
                <w:sz w:val="24"/>
                <w:szCs w:val="24"/>
              </w:rPr>
              <w:t>1</w:t>
            </w:r>
            <w:r>
              <w:rPr>
                <w:rFonts w:hint="eastAsia" w:ascii="Times New Roman" w:hAnsi="Times New Roman" w:cs="Times New Roman"/>
                <w:color w:val="auto"/>
                <w:sz w:val="24"/>
                <w:szCs w:val="24"/>
                <w:lang w:val="en-US" w:eastAsia="zh-CN"/>
              </w:rPr>
              <w:t>.58</w:t>
            </w:r>
            <w:r>
              <w:rPr>
                <w:rFonts w:ascii="Times New Roman" w:hAnsi="Times New Roman" w:cs="Times New Roman"/>
                <w:color w:val="auto"/>
                <w:sz w:val="24"/>
                <w:szCs w:val="24"/>
              </w:rPr>
              <w:t>mg/m</w:t>
            </w:r>
            <w:r>
              <w:rPr>
                <w:rFonts w:ascii="Times New Roman" w:hAnsi="Times New Roman" w:cs="Times New Roman"/>
                <w:color w:val="auto"/>
                <w:sz w:val="24"/>
                <w:szCs w:val="24"/>
                <w:vertAlign w:val="superscript"/>
              </w:rPr>
              <w:t>3</w:t>
            </w:r>
            <w:r>
              <w:rPr>
                <w:rFonts w:ascii="Times New Roman" w:hAnsi="Times New Roman" w:cs="Times New Roman"/>
                <w:color w:val="auto"/>
                <w:sz w:val="24"/>
                <w:szCs w:val="24"/>
              </w:rPr>
              <w:t>、排放速率</w:t>
            </w:r>
            <w:r>
              <w:rPr>
                <w:rFonts w:hint="eastAsia" w:ascii="Times New Roman" w:hAnsi="Times New Roman" w:cs="Times New Roman"/>
                <w:color w:val="auto"/>
                <w:sz w:val="24"/>
                <w:szCs w:val="24"/>
                <w:lang w:val="en-US" w:eastAsia="zh-CN"/>
              </w:rPr>
              <w:t>0.32</w:t>
            </w:r>
            <w:r>
              <w:rPr>
                <w:rFonts w:ascii="Times New Roman" w:hAnsi="Times New Roman" w:cs="Times New Roman"/>
                <w:color w:val="auto"/>
                <w:sz w:val="24"/>
                <w:szCs w:val="24"/>
              </w:rPr>
              <w:t>kg/h，排放量为</w:t>
            </w:r>
            <w:r>
              <w:rPr>
                <w:rFonts w:hint="eastAsia" w:ascii="Times New Roman" w:hAnsi="Times New Roman" w:cs="Times New Roman"/>
                <w:color w:val="auto"/>
                <w:sz w:val="24"/>
                <w:szCs w:val="24"/>
                <w:lang w:val="en-US" w:eastAsia="zh-CN"/>
              </w:rPr>
              <w:t>2.28</w:t>
            </w:r>
            <w:r>
              <w:rPr>
                <w:rFonts w:ascii="Times New Roman" w:hAnsi="Times New Roman" w:cs="Times New Roman"/>
                <w:color w:val="auto"/>
                <w:sz w:val="24"/>
                <w:szCs w:val="24"/>
              </w:rPr>
              <w:t>t/a，</w:t>
            </w:r>
            <w:r>
              <w:rPr>
                <w:rFonts w:ascii="Times New Roman" w:hAnsi="Times New Roman" w:cs="Times New Roman"/>
                <w:color w:val="auto"/>
                <w:sz w:val="24"/>
              </w:rPr>
              <w:t>满足</w:t>
            </w:r>
            <w:r>
              <w:rPr>
                <w:rFonts w:hint="eastAsia" w:ascii="Times New Roman" w:hAnsi="Times New Roman" w:cs="Times New Roman"/>
                <w:color w:val="auto"/>
                <w:sz w:val="24"/>
              </w:rPr>
              <w:t>《大气污染物综合排放标准》（GB16297-1996）表2中颗粒物二级排放浓度限值。</w:t>
            </w:r>
          </w:p>
          <w:p w14:paraId="06874FB5">
            <w:pPr>
              <w:pStyle w:val="100"/>
              <w:spacing w:line="480" w:lineRule="exact"/>
              <w:ind w:firstLine="480"/>
              <w:rPr>
                <w:color w:val="auto"/>
              </w:rPr>
            </w:pPr>
            <w:r>
              <w:rPr>
                <w:rFonts w:hint="eastAsia"/>
                <w:color w:val="auto"/>
                <w:szCs w:val="22"/>
              </w:rPr>
              <w:t>废钢破碎、剪切</w:t>
            </w:r>
            <w:r>
              <w:rPr>
                <w:rFonts w:hint="eastAsia"/>
                <w:color w:val="auto"/>
              </w:rPr>
              <w:t>过程中</w:t>
            </w:r>
            <w:r>
              <w:rPr>
                <w:color w:val="auto"/>
              </w:rPr>
              <w:t>集气罩未捕集的粉尘量为</w:t>
            </w:r>
            <w:r>
              <w:rPr>
                <w:rFonts w:hint="eastAsia"/>
                <w:color w:val="auto"/>
              </w:rPr>
              <w:t>25.33</w:t>
            </w:r>
            <w:r>
              <w:rPr>
                <w:color w:val="auto"/>
              </w:rPr>
              <w:t>t/a，以无组织形式逸散。根据《排放源统计调查产排污核算方法和系数手册》，本项目采用全封闭彩钢结构棚阻隔（控制效率90%），</w:t>
            </w:r>
            <w:r>
              <w:rPr>
                <w:rFonts w:hint="eastAsia"/>
                <w:color w:val="auto"/>
                <w:szCs w:val="22"/>
              </w:rPr>
              <w:t>废钢破碎、剪切</w:t>
            </w:r>
            <w:r>
              <w:rPr>
                <w:rFonts w:hint="eastAsia"/>
                <w:color w:val="auto"/>
              </w:rPr>
              <w:t>过程</w:t>
            </w:r>
            <w:r>
              <w:rPr>
                <w:color w:val="auto"/>
              </w:rPr>
              <w:t>中无组织粉尘最终逸散量</w:t>
            </w:r>
            <w:r>
              <w:rPr>
                <w:rFonts w:hint="eastAsia"/>
                <w:color w:val="auto"/>
              </w:rPr>
              <w:t>为2.53</w:t>
            </w:r>
            <w:r>
              <w:rPr>
                <w:color w:val="auto"/>
              </w:rPr>
              <w:t>t/a</w:t>
            </w:r>
            <w:r>
              <w:rPr>
                <w:rFonts w:hint="eastAsia"/>
                <w:color w:val="auto"/>
              </w:rPr>
              <w:t>。</w:t>
            </w:r>
            <w:r>
              <w:rPr>
                <w:color w:val="auto"/>
              </w:rPr>
              <w:t>通过采取以上措施，无组织粉尘排放量较少。</w:t>
            </w:r>
          </w:p>
          <w:p w14:paraId="2BE90FA2">
            <w:pPr>
              <w:pStyle w:val="13"/>
              <w:tabs>
                <w:tab w:val="left" w:pos="6930"/>
              </w:tabs>
              <w:spacing w:line="500" w:lineRule="exact"/>
              <w:ind w:firstLine="480" w:firstLineChars="200"/>
              <w:rPr>
                <w:rFonts w:ascii="Times New Roman" w:hAnsi="Times New Roman" w:cs="Times New Roman"/>
                <w:color w:val="auto"/>
                <w:sz w:val="24"/>
              </w:rPr>
            </w:pPr>
            <w:r>
              <w:rPr>
                <w:rFonts w:hint="eastAsia" w:ascii="Times New Roman" w:hAnsi="Times New Roman" w:cs="Times New Roman"/>
                <w:color w:val="auto"/>
                <w:sz w:val="24"/>
              </w:rPr>
              <w:t>（2）</w:t>
            </w:r>
            <w:r>
              <w:rPr>
                <w:rFonts w:hint="eastAsia" w:cs="Times New Roman"/>
                <w:color w:val="auto"/>
                <w:sz w:val="24"/>
                <w:szCs w:val="24"/>
              </w:rPr>
              <w:t>焊接烟尘</w:t>
            </w:r>
          </w:p>
          <w:p w14:paraId="0EF6CC71">
            <w:pPr>
              <w:spacing w:line="500" w:lineRule="exact"/>
              <w:ind w:firstLine="480"/>
              <w:jc w:val="left"/>
              <w:rPr>
                <w:color w:val="auto"/>
                <w:lang w:bidi="ar"/>
              </w:rPr>
            </w:pPr>
            <w:r>
              <w:rPr>
                <w:color w:val="auto"/>
              </w:rPr>
              <w:t>本项目</w:t>
            </w:r>
            <w:r>
              <w:rPr>
                <w:rFonts w:hint="eastAsia"/>
                <w:color w:val="auto"/>
              </w:rPr>
              <w:t>汽车维修车间设有</w:t>
            </w:r>
            <w:r>
              <w:rPr>
                <w:color w:val="auto"/>
              </w:rPr>
              <w:t>2台直流手工电焊机、2台二氧化碳气体保护焊机</w:t>
            </w:r>
            <w:r>
              <w:rPr>
                <w:rFonts w:hint="eastAsia"/>
                <w:color w:val="auto"/>
              </w:rPr>
              <w:t>，</w:t>
            </w:r>
            <w:r>
              <w:rPr>
                <w:color w:val="auto"/>
              </w:rPr>
              <w:t>焊接</w:t>
            </w:r>
            <w:r>
              <w:rPr>
                <w:rFonts w:hint="eastAsia"/>
                <w:color w:val="auto"/>
              </w:rPr>
              <w:t>过程</w:t>
            </w:r>
            <w:r>
              <w:rPr>
                <w:color w:val="auto"/>
              </w:rPr>
              <w:t>会产生</w:t>
            </w:r>
            <w:r>
              <w:rPr>
                <w:rFonts w:hint="eastAsia"/>
                <w:color w:val="auto"/>
              </w:rPr>
              <w:t>焊接</w:t>
            </w:r>
            <w:r>
              <w:rPr>
                <w:color w:val="auto"/>
              </w:rPr>
              <w:t>烟尘</w:t>
            </w:r>
            <w:r>
              <w:rPr>
                <w:rFonts w:hint="eastAsia"/>
                <w:color w:val="auto"/>
              </w:rPr>
              <w:t>，主要成分为金属氧化物</w:t>
            </w:r>
            <w:r>
              <w:rPr>
                <w:color w:val="auto"/>
              </w:rPr>
              <w:t>。</w:t>
            </w:r>
            <w:r>
              <w:rPr>
                <w:rFonts w:hint="eastAsia"/>
                <w:color w:val="auto"/>
                <w:szCs w:val="22"/>
              </w:rPr>
              <w:t>根据《排放源统计调查产排污核算方法和系数手册》“机械行业系数手册-</w:t>
            </w:r>
            <w:r>
              <w:rPr>
                <w:bCs/>
                <w:color w:val="auto"/>
              </w:rPr>
              <w:t>09焊接核算环节产污系数表</w:t>
            </w:r>
            <w:r>
              <w:rPr>
                <w:rFonts w:hint="eastAsia"/>
                <w:color w:val="auto"/>
                <w:szCs w:val="22"/>
              </w:rPr>
              <w:t>”中手工电弧焊产污系数为20.2千克/吨-原料、实芯焊丝</w:t>
            </w:r>
            <w:r>
              <w:rPr>
                <w:rFonts w:ascii="宋体" w:hAnsi="宋体" w:cs="宋体"/>
                <w:color w:val="auto"/>
              </w:rPr>
              <w:t>二氧化碳保护焊</w:t>
            </w:r>
            <w:r>
              <w:rPr>
                <w:rFonts w:hint="eastAsia"/>
                <w:color w:val="auto"/>
                <w:szCs w:val="22"/>
              </w:rPr>
              <w:t>产污系数为9.19千克/吨-原料。</w:t>
            </w:r>
            <w:r>
              <w:rPr>
                <w:color w:val="auto"/>
                <w:lang w:bidi="ar"/>
              </w:rPr>
              <w:t>本项目</w:t>
            </w:r>
            <w:r>
              <w:rPr>
                <w:rFonts w:hint="eastAsia"/>
                <w:color w:val="auto"/>
                <w:lang w:bidi="ar"/>
              </w:rPr>
              <w:t>焊条用量为</w:t>
            </w:r>
            <w:r>
              <w:rPr>
                <w:color w:val="auto"/>
              </w:rPr>
              <w:t>1.0t/a</w:t>
            </w:r>
            <w:r>
              <w:rPr>
                <w:rFonts w:hint="eastAsia"/>
                <w:color w:val="auto"/>
              </w:rPr>
              <w:t>、</w:t>
            </w:r>
            <w:r>
              <w:rPr>
                <w:color w:val="auto"/>
              </w:rPr>
              <w:t>焊丝用量为</w:t>
            </w:r>
            <w:r>
              <w:rPr>
                <w:rFonts w:hint="eastAsia"/>
                <w:color w:val="auto"/>
              </w:rPr>
              <w:t>2</w:t>
            </w:r>
            <w:r>
              <w:rPr>
                <w:color w:val="auto"/>
              </w:rPr>
              <w:t>.0t/a。</w:t>
            </w:r>
            <w:r>
              <w:rPr>
                <w:rFonts w:hint="eastAsia"/>
                <w:color w:val="auto"/>
              </w:rPr>
              <w:t>经计算，</w:t>
            </w:r>
            <w:r>
              <w:rPr>
                <w:rFonts w:hint="eastAsia"/>
                <w:color w:val="auto"/>
                <w:szCs w:val="22"/>
              </w:rPr>
              <w:t>手工电弧焊</w:t>
            </w:r>
            <w:r>
              <w:rPr>
                <w:rFonts w:hint="eastAsia"/>
                <w:color w:val="auto"/>
              </w:rPr>
              <w:t>焊接烟尘产生量为0.02t/a、</w:t>
            </w:r>
            <w:r>
              <w:rPr>
                <w:color w:val="auto"/>
              </w:rPr>
              <w:t>CO</w:t>
            </w:r>
            <w:r>
              <w:rPr>
                <w:color w:val="auto"/>
                <w:vertAlign w:val="subscript"/>
              </w:rPr>
              <w:t>2</w:t>
            </w:r>
            <w:r>
              <w:rPr>
                <w:color w:val="auto"/>
              </w:rPr>
              <w:t>保护焊</w:t>
            </w:r>
            <w:r>
              <w:rPr>
                <w:rFonts w:hint="eastAsia"/>
                <w:color w:val="auto"/>
              </w:rPr>
              <w:t>焊接烟尘产生量为0.018t/a，焊接烟尘合计产生量为0.038 t/a。</w:t>
            </w:r>
            <w:r>
              <w:rPr>
                <w:color w:val="auto"/>
              </w:rPr>
              <w:t>焊接工序每天工作4h，年工作</w:t>
            </w:r>
            <w:r>
              <w:rPr>
                <w:rFonts w:hint="eastAsia"/>
                <w:color w:val="auto"/>
              </w:rPr>
              <w:t>251</w:t>
            </w:r>
            <w:r>
              <w:rPr>
                <w:color w:val="auto"/>
              </w:rPr>
              <w:t>d。</w:t>
            </w:r>
          </w:p>
          <w:p w14:paraId="5DAFA5C0">
            <w:pPr>
              <w:spacing w:line="500" w:lineRule="exact"/>
              <w:ind w:firstLine="480"/>
              <w:jc w:val="left"/>
              <w:rPr>
                <w:color w:val="auto"/>
                <w:lang w:bidi="ar"/>
              </w:rPr>
            </w:pPr>
            <w:r>
              <w:rPr>
                <w:rFonts w:hint="eastAsia"/>
                <w:color w:val="auto"/>
                <w:szCs w:val="22"/>
              </w:rPr>
              <w:t>每台焊机设1套移动式烟尘净化器（共4套），焊接粉尘由移动式烟尘净化器（收集效率以90%计，处理效率以90%计）收集处理后在厂房内无组织排放，因此焊接烟尘排放量为0.007t/a、0.007kg/h。</w:t>
            </w:r>
          </w:p>
          <w:p w14:paraId="41AFA505">
            <w:pPr>
              <w:spacing w:line="500" w:lineRule="exact"/>
              <w:ind w:firstLine="480" w:firstLineChars="200"/>
              <w:rPr>
                <w:rFonts w:hint="default" w:ascii="Times New Roman" w:hAnsi="Times New Roman" w:cs="Times New Roman"/>
                <w:color w:val="auto"/>
                <w:lang w:eastAsia="zh-CN"/>
              </w:rPr>
            </w:pPr>
            <w:r>
              <w:rPr>
                <w:rFonts w:hint="default" w:ascii="Times New Roman" w:hAnsi="Times New Roman" w:cs="Times New Roman"/>
                <w:bCs/>
                <w:color w:val="auto"/>
                <w:lang w:val="en-US" w:eastAsia="zh-CN"/>
              </w:rPr>
              <w:t>本项目焊接烟尘</w:t>
            </w:r>
            <w:r>
              <w:rPr>
                <w:rFonts w:hint="default" w:ascii="Times New Roman" w:hAnsi="Times New Roman" w:cs="Times New Roman"/>
                <w:color w:val="auto"/>
              </w:rPr>
              <w:t>产生量</w:t>
            </w:r>
            <w:r>
              <w:rPr>
                <w:rFonts w:hint="default" w:ascii="Times New Roman" w:hAnsi="Times New Roman" w:cs="Times New Roman"/>
                <w:color w:val="auto"/>
                <w:lang w:val="en-US" w:eastAsia="zh-CN"/>
              </w:rPr>
              <w:t>仅</w:t>
            </w:r>
            <w:r>
              <w:rPr>
                <w:rFonts w:hint="default" w:ascii="Times New Roman" w:hAnsi="Times New Roman" w:cs="Times New Roman"/>
                <w:color w:val="auto"/>
              </w:rPr>
              <w:t>0.038 t/a</w:t>
            </w:r>
            <w:r>
              <w:rPr>
                <w:rFonts w:hint="default" w:ascii="Times New Roman" w:hAnsi="Times New Roman" w:cs="Times New Roman"/>
                <w:color w:val="auto"/>
                <w:lang w:eastAsia="zh-CN"/>
              </w:rPr>
              <w:t>，折算为日均产尘量约0.00015t/d，产尘规模极小，属于低强度无组织污染源，</w:t>
            </w:r>
            <w:r>
              <w:rPr>
                <w:rFonts w:hint="default" w:ascii="Times New Roman" w:hAnsi="Times New Roman" w:cs="Times New Roman"/>
                <w:color w:val="auto"/>
                <w:lang w:val="en-US" w:eastAsia="zh-CN"/>
              </w:rPr>
              <w:t>且</w:t>
            </w:r>
            <w:r>
              <w:rPr>
                <w:rFonts w:hint="default" w:ascii="Times New Roman" w:hAnsi="Times New Roman" w:cs="Times New Roman"/>
                <w:color w:val="auto"/>
                <w:lang w:eastAsia="zh-CN"/>
              </w:rPr>
              <w:t>焊接工位配套移动式焊烟净化器，设备对焊接烟尘的收集效率≥9</w:t>
            </w:r>
            <w:r>
              <w:rPr>
                <w:rFonts w:hint="default" w:ascii="Times New Roman" w:hAnsi="Times New Roman" w:cs="Times New Roman"/>
                <w:color w:val="auto"/>
                <w:lang w:val="en-US" w:eastAsia="zh-CN"/>
              </w:rPr>
              <w:t>0</w:t>
            </w:r>
            <w:r>
              <w:rPr>
                <w:rFonts w:hint="default" w:ascii="Times New Roman" w:hAnsi="Times New Roman" w:cs="Times New Roman"/>
                <w:color w:val="auto"/>
                <w:lang w:eastAsia="zh-CN"/>
              </w:rPr>
              <w:t>%、净化效率≥9</w:t>
            </w:r>
            <w:r>
              <w:rPr>
                <w:rFonts w:hint="default" w:ascii="Times New Roman" w:hAnsi="Times New Roman" w:cs="Times New Roman"/>
                <w:color w:val="auto"/>
                <w:lang w:val="en-US" w:eastAsia="zh-CN"/>
              </w:rPr>
              <w:t>0</w:t>
            </w:r>
            <w:r>
              <w:rPr>
                <w:rFonts w:hint="default" w:ascii="Times New Roman" w:hAnsi="Times New Roman" w:cs="Times New Roman"/>
                <w:color w:val="auto"/>
                <w:lang w:eastAsia="zh-CN"/>
              </w:rPr>
              <w:t>%，可大幅削减烟尘排放负荷，经处理后外排烟尘量极少，从源头上降低了无组织排放超标风险，确保厂界污染物浓度满足</w:t>
            </w:r>
            <w:r>
              <w:rPr>
                <w:rFonts w:hint="default" w:ascii="Times New Roman" w:hAnsi="Times New Roman" w:cs="Times New Roman"/>
                <w:color w:val="auto"/>
                <w:lang w:val="zh-CN" w:eastAsia="zh-CN"/>
              </w:rPr>
              <w:t>《大气污染物综合排放标准》（GB16297-1996）表</w:t>
            </w:r>
            <w:r>
              <w:rPr>
                <w:rFonts w:hint="default" w:ascii="Times New Roman" w:hAnsi="Times New Roman" w:cs="Times New Roman"/>
                <w:color w:val="auto"/>
                <w:lang w:eastAsia="zh-CN"/>
              </w:rPr>
              <w:t>2中</w:t>
            </w:r>
            <w:r>
              <w:rPr>
                <w:rFonts w:hint="default" w:ascii="Times New Roman" w:hAnsi="Times New Roman" w:cs="Times New Roman"/>
                <w:color w:val="auto"/>
                <w:lang w:val="zh-CN" w:eastAsia="zh-CN"/>
              </w:rPr>
              <w:t>无组织浓度限值</w:t>
            </w:r>
            <w:r>
              <w:rPr>
                <w:rFonts w:hint="default" w:ascii="Times New Roman" w:hAnsi="Times New Roman" w:cs="Times New Roman"/>
                <w:color w:val="auto"/>
                <w:lang w:eastAsia="zh-CN"/>
              </w:rPr>
              <w:t>要求。</w:t>
            </w:r>
          </w:p>
          <w:p w14:paraId="4ED77BBE">
            <w:pPr>
              <w:spacing w:line="500" w:lineRule="exact"/>
              <w:ind w:firstLine="480" w:firstLineChars="200"/>
              <w:rPr>
                <w:bCs/>
                <w:color w:val="auto"/>
              </w:rPr>
            </w:pPr>
            <w:r>
              <w:rPr>
                <w:bCs/>
                <w:color w:val="auto"/>
              </w:rPr>
              <w:t>（</w:t>
            </w:r>
            <w:r>
              <w:rPr>
                <w:rFonts w:hint="eastAsia"/>
                <w:bCs/>
                <w:color w:val="auto"/>
              </w:rPr>
              <w:t>3</w:t>
            </w:r>
            <w:r>
              <w:rPr>
                <w:bCs/>
                <w:color w:val="auto"/>
              </w:rPr>
              <w:t>）</w:t>
            </w:r>
            <w:r>
              <w:rPr>
                <w:rFonts w:hint="eastAsia"/>
                <w:color w:val="auto"/>
              </w:rPr>
              <w:t>破损铅蓄电瓶挥发的酸雾废气</w:t>
            </w:r>
          </w:p>
          <w:p w14:paraId="7EE5AC3F">
            <w:pPr>
              <w:spacing w:line="500" w:lineRule="exact"/>
              <w:ind w:firstLine="480" w:firstLineChars="200"/>
              <w:rPr>
                <w:color w:val="auto"/>
              </w:rPr>
            </w:pPr>
            <w:r>
              <w:rPr>
                <w:rFonts w:hint="eastAsia"/>
                <w:color w:val="auto"/>
              </w:rPr>
              <w:t>汽车维修过程中，废铅蓄电池本身在常规储存状态下，不会产生废气。非正常工况下，若废铅蓄电池出现破损、电解液泄漏，危废暂存库设有防渗塑料桶用来盛装电解液，并加盖密闭存储，可以有效减少挥发的酸雾废气</w:t>
            </w:r>
            <w:r>
              <w:rPr>
                <w:color w:val="auto"/>
              </w:rPr>
              <w:t>。</w:t>
            </w:r>
          </w:p>
          <w:p w14:paraId="4A1A9F4E">
            <w:pPr>
              <w:adjustRightInd w:val="0"/>
              <w:snapToGrid w:val="0"/>
              <w:spacing w:line="500" w:lineRule="exact"/>
              <w:ind w:firstLine="480" w:firstLineChars="200"/>
              <w:rPr>
                <w:color w:val="auto"/>
              </w:rPr>
            </w:pPr>
            <w:r>
              <w:rPr>
                <w:rFonts w:hint="eastAsia"/>
                <w:color w:val="auto"/>
              </w:rPr>
              <w:t>（4）废矿物油贮存、装卸及汽车维修过程产生的有机废气</w:t>
            </w:r>
          </w:p>
          <w:p w14:paraId="58C9636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color w:val="auto"/>
              </w:rPr>
            </w:pPr>
            <w:r>
              <w:rPr>
                <w:rFonts w:hint="eastAsia"/>
                <w:color w:val="auto"/>
              </w:rPr>
              <w:t>废矿物油在贮存、装卸过程中产生少量非甲烷总烃，根据《散装液态石油产品损耗》（G</w:t>
            </w:r>
            <w:r>
              <w:rPr>
                <w:color w:val="auto"/>
              </w:rPr>
              <w:t>B</w:t>
            </w:r>
            <w:r>
              <w:rPr>
                <w:rFonts w:hint="eastAsia"/>
                <w:color w:val="auto"/>
              </w:rPr>
              <w:t>/T</w:t>
            </w:r>
            <w:r>
              <w:rPr>
                <w:color w:val="auto"/>
              </w:rPr>
              <w:t>11085-89</w:t>
            </w:r>
            <w:r>
              <w:rPr>
                <w:rFonts w:hint="eastAsia"/>
                <w:color w:val="auto"/>
              </w:rPr>
              <w:t>），春冬季贮存损耗率为0.03%，夏秋季贮存损耗率为0.09%，本项目废矿物油最大储存量约</w:t>
            </w:r>
            <w:r>
              <w:rPr>
                <w:rFonts w:hint="eastAsia"/>
                <w:color w:val="auto"/>
                <w:lang w:val="en-US" w:eastAsia="zh-CN"/>
              </w:rPr>
              <w:t>0.8</w:t>
            </w:r>
            <w:r>
              <w:rPr>
                <w:rFonts w:hint="eastAsia"/>
                <w:color w:val="auto"/>
              </w:rPr>
              <w:t>t，则春冬季非甲烷总烃的逸出量为0.00</w:t>
            </w:r>
            <w:r>
              <w:rPr>
                <w:rFonts w:hint="eastAsia"/>
                <w:color w:val="auto"/>
                <w:lang w:val="en-US" w:eastAsia="zh-CN"/>
              </w:rPr>
              <w:t>024</w:t>
            </w:r>
            <w:r>
              <w:rPr>
                <w:rFonts w:hint="eastAsia"/>
                <w:color w:val="auto"/>
              </w:rPr>
              <w:t>t、0.000</w:t>
            </w:r>
            <w:r>
              <w:rPr>
                <w:rFonts w:hint="eastAsia"/>
                <w:color w:val="auto"/>
                <w:lang w:val="en-US" w:eastAsia="zh-CN"/>
              </w:rPr>
              <w:t>12</w:t>
            </w:r>
            <w:r>
              <w:rPr>
                <w:rFonts w:hint="eastAsia"/>
                <w:color w:val="auto"/>
              </w:rPr>
              <w:t>kg/h；夏秋季非甲烷总烃的逸出量为0.00</w:t>
            </w:r>
            <w:r>
              <w:rPr>
                <w:rFonts w:hint="eastAsia"/>
                <w:color w:val="auto"/>
                <w:lang w:val="en-US" w:eastAsia="zh-CN"/>
              </w:rPr>
              <w:t>072</w:t>
            </w:r>
            <w:r>
              <w:rPr>
                <w:rFonts w:hint="eastAsia"/>
                <w:color w:val="auto"/>
              </w:rPr>
              <w:t>t、0.00</w:t>
            </w:r>
            <w:r>
              <w:rPr>
                <w:rFonts w:hint="eastAsia"/>
                <w:color w:val="auto"/>
                <w:lang w:val="en-US" w:eastAsia="zh-CN"/>
              </w:rPr>
              <w:t>036</w:t>
            </w:r>
            <w:r>
              <w:rPr>
                <w:rFonts w:hint="eastAsia"/>
                <w:color w:val="auto"/>
              </w:rPr>
              <w:t>kg/h，非甲烷总烃逸出量合计为0.0</w:t>
            </w:r>
            <w:r>
              <w:rPr>
                <w:rFonts w:hint="eastAsia"/>
                <w:color w:val="auto"/>
                <w:lang w:val="en-US" w:eastAsia="zh-CN"/>
              </w:rPr>
              <w:t>01</w:t>
            </w:r>
            <w:r>
              <w:rPr>
                <w:rFonts w:hint="eastAsia"/>
                <w:color w:val="auto"/>
              </w:rPr>
              <w:t>t/a。废矿物油贮存在加盖密封铁皮桶内，废气经储库顶部通排风系统向周围环境散逸。</w:t>
            </w:r>
          </w:p>
          <w:p w14:paraId="1839A7D4">
            <w:pPr>
              <w:snapToGrid w:val="0"/>
              <w:spacing w:line="480" w:lineRule="exact"/>
              <w:ind w:firstLine="480" w:firstLineChars="200"/>
              <w:rPr>
                <w:color w:val="auto"/>
              </w:rPr>
            </w:pPr>
            <w:r>
              <w:rPr>
                <w:rFonts w:hint="eastAsia"/>
                <w:color w:val="auto"/>
              </w:rPr>
              <w:t>汽车维修过程产生的废矿物油及时储存于加盖密封铁桶内，并转运至危废库，有机废气产生量较少，可忽略不计。</w:t>
            </w:r>
          </w:p>
          <w:p w14:paraId="1D8BA683">
            <w:pPr>
              <w:snapToGrid w:val="0"/>
              <w:spacing w:line="480" w:lineRule="exact"/>
              <w:ind w:firstLine="480" w:firstLineChars="200"/>
              <w:rPr>
                <w:color w:val="auto"/>
              </w:rPr>
            </w:pPr>
            <w:r>
              <w:rPr>
                <w:color w:val="auto"/>
              </w:rPr>
              <w:t>根据《挥发性有机物无组织排放控制标准》（GB37822-2019）要求“收集的废气中NMHC初始排放速率≥3kg/h时，应配置VOCs处理设施，处理效率不应低于80%”，本项目所排放的非甲烷总烃排放速率远远小于3kg/h，因此，本项目的废气不设置VOCs处理设施。所以本项目设置排风扇，废气向外无组织排出，</w:t>
            </w:r>
            <w:r>
              <w:rPr>
                <w:rFonts w:hint="eastAsia"/>
                <w:color w:val="auto"/>
              </w:rPr>
              <w:t>危废暂存库外</w:t>
            </w:r>
            <w:r>
              <w:rPr>
                <w:color w:val="auto"/>
              </w:rPr>
              <w:t>无组织排放的</w:t>
            </w:r>
            <w:r>
              <w:rPr>
                <w:rFonts w:hint="eastAsia"/>
                <w:color w:val="auto"/>
              </w:rPr>
              <w:t>非甲烷总烃可满足</w:t>
            </w:r>
            <w:r>
              <w:rPr>
                <w:color w:val="auto"/>
              </w:rPr>
              <w:t>《挥发性有机物无组织排放控制标准》（GB37822-2019）</w:t>
            </w:r>
            <w:r>
              <w:rPr>
                <w:rFonts w:hint="eastAsia"/>
                <w:color w:val="auto"/>
              </w:rPr>
              <w:t>标准限值，</w:t>
            </w:r>
            <w:r>
              <w:rPr>
                <w:color w:val="auto"/>
              </w:rPr>
              <w:t>厂界无组织排放的非甲烷总烃可满足《大气污染物综合排放标准》（GB16297-1996）表2排放限值要求。</w:t>
            </w:r>
          </w:p>
          <w:p w14:paraId="6B5CE973">
            <w:pPr>
              <w:pStyle w:val="23"/>
              <w:spacing w:before="0" w:after="0" w:line="500" w:lineRule="exact"/>
              <w:ind w:firstLine="480" w:firstLineChars="200"/>
              <w:rPr>
                <w:color w:val="auto"/>
                <w:sz w:val="24"/>
                <w:szCs w:val="24"/>
              </w:rPr>
            </w:pPr>
            <w:r>
              <w:rPr>
                <w:rFonts w:hint="eastAsia"/>
                <w:color w:val="auto"/>
                <w:sz w:val="24"/>
                <w:szCs w:val="24"/>
              </w:rPr>
              <w:t>（5）运输扬尘</w:t>
            </w:r>
          </w:p>
          <w:p w14:paraId="5324ABF7">
            <w:pPr>
              <w:pStyle w:val="23"/>
              <w:spacing w:before="0" w:after="0" w:line="500" w:lineRule="exact"/>
              <w:ind w:firstLine="480" w:firstLineChars="200"/>
              <w:rPr>
                <w:color w:val="auto"/>
                <w:sz w:val="24"/>
                <w:szCs w:val="24"/>
              </w:rPr>
            </w:pPr>
            <w:r>
              <w:rPr>
                <w:color w:val="auto"/>
                <w:sz w:val="24"/>
                <w:szCs w:val="24"/>
              </w:rPr>
              <w:t>项目建成运行后，</w:t>
            </w:r>
            <w:r>
              <w:rPr>
                <w:rFonts w:hint="eastAsia"/>
                <w:color w:val="auto"/>
                <w:sz w:val="24"/>
                <w:szCs w:val="24"/>
              </w:rPr>
              <w:t>原料</w:t>
            </w:r>
            <w:r>
              <w:rPr>
                <w:color w:val="auto"/>
                <w:sz w:val="24"/>
                <w:szCs w:val="24"/>
              </w:rPr>
              <w:t>由汽车运入，</w:t>
            </w:r>
            <w:r>
              <w:rPr>
                <w:rFonts w:hint="eastAsia"/>
                <w:color w:val="auto"/>
                <w:sz w:val="24"/>
                <w:szCs w:val="24"/>
              </w:rPr>
              <w:t>产品由汽车运出。</w:t>
            </w:r>
            <w:r>
              <w:rPr>
                <w:color w:val="auto"/>
                <w:sz w:val="24"/>
                <w:szCs w:val="24"/>
              </w:rPr>
              <w:t>每年运</w:t>
            </w:r>
            <w:r>
              <w:rPr>
                <w:rFonts w:hint="eastAsia"/>
                <w:color w:val="auto"/>
                <w:sz w:val="24"/>
                <w:szCs w:val="24"/>
              </w:rPr>
              <w:t>输</w:t>
            </w:r>
            <w:r>
              <w:rPr>
                <w:color w:val="auto"/>
                <w:sz w:val="24"/>
                <w:szCs w:val="24"/>
              </w:rPr>
              <w:t>总量为</w:t>
            </w:r>
            <w:r>
              <w:rPr>
                <w:rFonts w:hint="eastAsia"/>
                <w:color w:val="auto"/>
                <w:sz w:val="24"/>
                <w:szCs w:val="24"/>
              </w:rPr>
              <w:t>205</w:t>
            </w:r>
            <w:r>
              <w:rPr>
                <w:color w:val="auto"/>
                <w:sz w:val="24"/>
                <w:szCs w:val="24"/>
              </w:rPr>
              <w:t>万吨</w:t>
            </w:r>
            <w:r>
              <w:rPr>
                <w:rFonts w:hint="eastAsia"/>
                <w:color w:val="auto"/>
                <w:sz w:val="24"/>
                <w:szCs w:val="24"/>
              </w:rPr>
              <w:t>，</w:t>
            </w:r>
            <w:r>
              <w:rPr>
                <w:color w:val="auto"/>
                <w:sz w:val="24"/>
                <w:szCs w:val="24"/>
              </w:rPr>
              <w:t xml:space="preserve">由于汽车运输量很大，引起道路扬尘量增加，影响到沿途所经地的环境空气质量。工程交通运输起尘采用以下公式进行计算： </w:t>
            </w:r>
          </w:p>
          <w:p w14:paraId="548A0BF7">
            <w:pPr>
              <w:adjustRightInd w:val="0"/>
              <w:snapToGrid w:val="0"/>
              <w:spacing w:line="500" w:lineRule="exact"/>
              <w:ind w:firstLine="480" w:firstLineChars="200"/>
              <w:jc w:val="left"/>
              <w:rPr>
                <w:color w:val="auto"/>
                <w:lang w:val="zh-CN"/>
              </w:rPr>
            </w:pPr>
            <w:r>
              <w:rPr>
                <w:color w:val="auto"/>
                <w:lang w:val="zh-CN"/>
              </w:rPr>
              <w:t>Q</w:t>
            </w:r>
            <w:r>
              <w:rPr>
                <w:color w:val="auto"/>
                <w:vertAlign w:val="subscript"/>
                <w:lang w:val="zh-CN"/>
              </w:rPr>
              <w:t>P</w:t>
            </w:r>
            <w:r>
              <w:rPr>
                <w:color w:val="auto"/>
                <w:lang w:val="zh-CN"/>
              </w:rPr>
              <w:t>=0.123×（V/5）×（M/6.8）</w:t>
            </w:r>
            <w:r>
              <w:rPr>
                <w:color w:val="auto"/>
                <w:vertAlign w:val="superscript"/>
                <w:lang w:val="zh-CN"/>
              </w:rPr>
              <w:t>0.85</w:t>
            </w:r>
            <w:r>
              <w:rPr>
                <w:color w:val="auto"/>
                <w:lang w:val="zh-CN"/>
              </w:rPr>
              <w:t>×（P/0.5）</w:t>
            </w:r>
            <w:r>
              <w:rPr>
                <w:color w:val="auto"/>
                <w:vertAlign w:val="superscript"/>
                <w:lang w:val="zh-CN"/>
              </w:rPr>
              <w:t>0.72</w:t>
            </w:r>
          </w:p>
          <w:p w14:paraId="01C184A5">
            <w:pPr>
              <w:pStyle w:val="23"/>
              <w:spacing w:before="0" w:after="0" w:line="500" w:lineRule="exact"/>
              <w:ind w:firstLine="480" w:firstLineChars="200"/>
              <w:rPr>
                <w:color w:val="auto"/>
                <w:sz w:val="24"/>
                <w:szCs w:val="24"/>
                <w:lang w:val="zh-CN"/>
              </w:rPr>
            </w:pPr>
            <w:r>
              <w:rPr>
                <w:color w:val="auto"/>
                <w:sz w:val="24"/>
                <w:szCs w:val="24"/>
                <w:lang w:val="zh-CN"/>
              </w:rPr>
              <w:t>Q′</w:t>
            </w:r>
            <w:r>
              <w:rPr>
                <w:color w:val="auto"/>
                <w:sz w:val="24"/>
                <w:szCs w:val="24"/>
                <w:vertAlign w:val="subscript"/>
                <w:lang w:val="zh-CN"/>
              </w:rPr>
              <w:t>P</w:t>
            </w:r>
            <w:r>
              <w:rPr>
                <w:color w:val="auto"/>
                <w:sz w:val="24"/>
                <w:szCs w:val="24"/>
                <w:lang w:val="zh-CN"/>
              </w:rPr>
              <w:t>=Q</w:t>
            </w:r>
            <w:r>
              <w:rPr>
                <w:color w:val="auto"/>
                <w:sz w:val="24"/>
                <w:szCs w:val="24"/>
                <w:vertAlign w:val="subscript"/>
                <w:lang w:val="zh-CN"/>
              </w:rPr>
              <w:t>P</w:t>
            </w:r>
            <w:r>
              <w:rPr>
                <w:color w:val="auto"/>
                <w:sz w:val="24"/>
                <w:szCs w:val="24"/>
                <w:lang w:val="zh-CN"/>
              </w:rPr>
              <w:t>×L×Q/M</w:t>
            </w:r>
          </w:p>
          <w:p w14:paraId="6EB2C7A9">
            <w:pPr>
              <w:adjustRightInd w:val="0"/>
              <w:snapToGrid w:val="0"/>
              <w:spacing w:line="500" w:lineRule="exact"/>
              <w:ind w:firstLine="480" w:firstLineChars="200"/>
              <w:jc w:val="left"/>
              <w:rPr>
                <w:color w:val="auto"/>
                <w:lang w:val="zh-CN"/>
              </w:rPr>
            </w:pPr>
            <w:r>
              <w:rPr>
                <w:color w:val="auto"/>
              </w:rPr>
              <w:t>式中：</w:t>
            </w:r>
            <w:r>
              <w:rPr>
                <w:color w:val="auto"/>
                <w:lang w:val="zh-CN"/>
              </w:rPr>
              <w:t>Q</w:t>
            </w:r>
            <w:r>
              <w:rPr>
                <w:color w:val="auto"/>
                <w:vertAlign w:val="subscript"/>
                <w:lang w:val="zh-CN"/>
              </w:rPr>
              <w:t>P</w:t>
            </w:r>
            <w:r>
              <w:rPr>
                <w:color w:val="auto"/>
                <w:lang w:val="zh-CN"/>
              </w:rPr>
              <w:t>——交通运输起尘量，kg/km.每车；</w:t>
            </w:r>
          </w:p>
          <w:p w14:paraId="14788DF1">
            <w:pPr>
              <w:adjustRightInd w:val="0"/>
              <w:snapToGrid w:val="0"/>
              <w:spacing w:line="500" w:lineRule="exact"/>
              <w:ind w:firstLine="1200" w:firstLineChars="500"/>
              <w:jc w:val="left"/>
              <w:rPr>
                <w:color w:val="auto"/>
                <w:lang w:val="zh-CN"/>
              </w:rPr>
            </w:pPr>
            <w:r>
              <w:rPr>
                <w:color w:val="auto"/>
                <w:lang w:val="zh-CN"/>
              </w:rPr>
              <w:t>Q′</w:t>
            </w:r>
            <w:r>
              <w:rPr>
                <w:color w:val="auto"/>
                <w:vertAlign w:val="subscript"/>
                <w:lang w:val="zh-CN"/>
              </w:rPr>
              <w:t>P</w:t>
            </w:r>
            <w:r>
              <w:rPr>
                <w:color w:val="auto"/>
                <w:lang w:val="zh-CN"/>
              </w:rPr>
              <w:t>——运输途中起尘量，kg/a；</w:t>
            </w:r>
          </w:p>
          <w:p w14:paraId="30D639A3">
            <w:pPr>
              <w:pStyle w:val="23"/>
              <w:spacing w:before="0" w:after="0" w:line="500" w:lineRule="exact"/>
              <w:ind w:right="0" w:firstLine="1200" w:firstLineChars="500"/>
              <w:rPr>
                <w:color w:val="auto"/>
                <w:sz w:val="24"/>
                <w:szCs w:val="24"/>
              </w:rPr>
            </w:pPr>
            <w:r>
              <w:rPr>
                <w:color w:val="auto"/>
                <w:sz w:val="24"/>
                <w:szCs w:val="24"/>
              </w:rPr>
              <w:t>V——车辆行驶速度，km/h（以</w:t>
            </w:r>
            <w:r>
              <w:rPr>
                <w:rFonts w:hint="eastAsia"/>
                <w:color w:val="auto"/>
                <w:sz w:val="24"/>
                <w:szCs w:val="24"/>
              </w:rPr>
              <w:t>15</w:t>
            </w:r>
            <w:r>
              <w:rPr>
                <w:color w:val="auto"/>
                <w:sz w:val="24"/>
                <w:szCs w:val="24"/>
              </w:rPr>
              <w:t>km/h计）；</w:t>
            </w:r>
          </w:p>
          <w:p w14:paraId="5096C414">
            <w:pPr>
              <w:pStyle w:val="23"/>
              <w:spacing w:before="0" w:after="0" w:line="500" w:lineRule="exact"/>
              <w:ind w:right="0" w:firstLine="1200" w:firstLineChars="500"/>
              <w:rPr>
                <w:color w:val="auto"/>
                <w:sz w:val="24"/>
                <w:szCs w:val="24"/>
              </w:rPr>
            </w:pPr>
            <w:r>
              <w:rPr>
                <w:color w:val="auto"/>
                <w:sz w:val="24"/>
                <w:szCs w:val="24"/>
              </w:rPr>
              <w:t>P——路面状况，以每平方米路面灰尘覆盖率表示，</w:t>
            </w:r>
            <w:r>
              <w:rPr>
                <w:rFonts w:hint="eastAsia"/>
                <w:color w:val="auto"/>
                <w:sz w:val="24"/>
                <w:szCs w:val="24"/>
              </w:rPr>
              <w:t>kg</w:t>
            </w:r>
            <w:r>
              <w:rPr>
                <w:color w:val="auto"/>
                <w:sz w:val="24"/>
                <w:szCs w:val="24"/>
              </w:rPr>
              <w:t>/m</w:t>
            </w:r>
            <w:r>
              <w:rPr>
                <w:color w:val="auto"/>
                <w:sz w:val="24"/>
                <w:szCs w:val="24"/>
                <w:vertAlign w:val="superscript"/>
              </w:rPr>
              <w:t>2</w:t>
            </w:r>
            <w:r>
              <w:rPr>
                <w:color w:val="auto"/>
                <w:sz w:val="24"/>
                <w:szCs w:val="24"/>
              </w:rPr>
              <w:t>（以0.2kg/m</w:t>
            </w:r>
            <w:r>
              <w:rPr>
                <w:color w:val="auto"/>
                <w:sz w:val="24"/>
                <w:szCs w:val="24"/>
                <w:vertAlign w:val="superscript"/>
              </w:rPr>
              <w:t>2</w:t>
            </w:r>
            <w:r>
              <w:rPr>
                <w:color w:val="auto"/>
                <w:sz w:val="24"/>
                <w:szCs w:val="24"/>
              </w:rPr>
              <w:t>计）；</w:t>
            </w:r>
          </w:p>
          <w:p w14:paraId="61AB2A8F">
            <w:pPr>
              <w:pStyle w:val="23"/>
              <w:spacing w:before="0" w:after="0" w:line="480" w:lineRule="exact"/>
              <w:ind w:right="0" w:firstLine="1200" w:firstLineChars="500"/>
              <w:rPr>
                <w:color w:val="auto"/>
                <w:sz w:val="24"/>
                <w:szCs w:val="24"/>
              </w:rPr>
            </w:pPr>
            <w:r>
              <w:rPr>
                <w:color w:val="auto"/>
                <w:sz w:val="24"/>
                <w:szCs w:val="24"/>
              </w:rPr>
              <w:t>M——车辆载重，t/辆（约</w:t>
            </w:r>
            <w:r>
              <w:rPr>
                <w:rFonts w:hint="eastAsia"/>
                <w:color w:val="auto"/>
                <w:sz w:val="24"/>
                <w:szCs w:val="24"/>
              </w:rPr>
              <w:t>4</w:t>
            </w:r>
            <w:r>
              <w:rPr>
                <w:color w:val="auto"/>
                <w:sz w:val="24"/>
                <w:szCs w:val="24"/>
              </w:rPr>
              <w:t>0t</w:t>
            </w:r>
            <w:r>
              <w:rPr>
                <w:rFonts w:hint="eastAsia"/>
                <w:color w:val="auto"/>
                <w:sz w:val="24"/>
                <w:szCs w:val="24"/>
              </w:rPr>
              <w:t>/辆</w:t>
            </w:r>
            <w:r>
              <w:rPr>
                <w:color w:val="auto"/>
                <w:sz w:val="24"/>
                <w:szCs w:val="24"/>
              </w:rPr>
              <w:t>）；</w:t>
            </w:r>
          </w:p>
          <w:p w14:paraId="786D5BD6">
            <w:pPr>
              <w:pStyle w:val="23"/>
              <w:spacing w:before="0" w:after="0" w:line="480" w:lineRule="exact"/>
              <w:ind w:right="0" w:firstLine="1200" w:firstLineChars="500"/>
              <w:rPr>
                <w:color w:val="auto"/>
                <w:sz w:val="24"/>
                <w:szCs w:val="24"/>
              </w:rPr>
            </w:pPr>
            <w:r>
              <w:rPr>
                <w:color w:val="auto"/>
                <w:sz w:val="24"/>
                <w:szCs w:val="24"/>
              </w:rPr>
              <w:t>L——运输距离，km（0.</w:t>
            </w:r>
            <w:r>
              <w:rPr>
                <w:rFonts w:hint="eastAsia"/>
                <w:color w:val="auto"/>
                <w:sz w:val="24"/>
                <w:szCs w:val="24"/>
              </w:rPr>
              <w:t>3</w:t>
            </w:r>
            <w:r>
              <w:rPr>
                <w:color w:val="auto"/>
                <w:sz w:val="24"/>
                <w:szCs w:val="24"/>
              </w:rPr>
              <w:t>km）；</w:t>
            </w:r>
          </w:p>
          <w:p w14:paraId="1BCE2BD6">
            <w:pPr>
              <w:pStyle w:val="23"/>
              <w:spacing w:before="0" w:after="0" w:line="480" w:lineRule="exact"/>
              <w:ind w:right="0" w:firstLine="1200" w:firstLineChars="500"/>
              <w:rPr>
                <w:color w:val="auto"/>
                <w:sz w:val="24"/>
                <w:szCs w:val="24"/>
              </w:rPr>
            </w:pPr>
            <w:r>
              <w:rPr>
                <w:color w:val="auto"/>
                <w:sz w:val="24"/>
                <w:szCs w:val="24"/>
              </w:rPr>
              <w:t>Q——运输量，t/a（本工程约</w:t>
            </w:r>
            <w:r>
              <w:rPr>
                <w:rFonts w:hint="eastAsia"/>
                <w:color w:val="auto"/>
                <w:sz w:val="24"/>
                <w:szCs w:val="24"/>
              </w:rPr>
              <w:t>205</w:t>
            </w:r>
            <w:r>
              <w:rPr>
                <w:color w:val="auto"/>
                <w:sz w:val="24"/>
                <w:szCs w:val="24"/>
              </w:rPr>
              <w:t>万t/a）。</w:t>
            </w:r>
          </w:p>
          <w:p w14:paraId="0F00AE92">
            <w:pPr>
              <w:pStyle w:val="23"/>
              <w:spacing w:before="0" w:after="0" w:line="480" w:lineRule="exact"/>
              <w:ind w:firstLine="480" w:firstLineChars="200"/>
              <w:rPr>
                <w:color w:val="auto"/>
                <w:sz w:val="24"/>
                <w:szCs w:val="24"/>
              </w:rPr>
            </w:pPr>
            <w:r>
              <w:rPr>
                <w:color w:val="auto"/>
                <w:sz w:val="24"/>
                <w:szCs w:val="24"/>
              </w:rPr>
              <w:t>经计算，运输期间的扬尘污染与汽车行驶速度、道路表面粉状物料含量密切相关，</w:t>
            </w:r>
            <w:r>
              <w:rPr>
                <w:rFonts w:hint="eastAsia"/>
                <w:color w:val="auto"/>
                <w:sz w:val="24"/>
                <w:szCs w:val="24"/>
              </w:rPr>
              <w:t>经计算，项目运输粉尘产生量为13.23t/a。</w:t>
            </w:r>
          </w:p>
          <w:p w14:paraId="14570663">
            <w:pPr>
              <w:pStyle w:val="23"/>
              <w:spacing w:before="0" w:after="0" w:line="480" w:lineRule="exact"/>
              <w:ind w:firstLine="480" w:firstLineChars="200"/>
              <w:rPr>
                <w:color w:val="auto"/>
                <w:sz w:val="24"/>
                <w:szCs w:val="24"/>
              </w:rPr>
            </w:pPr>
            <w:r>
              <w:rPr>
                <w:color w:val="auto"/>
                <w:sz w:val="24"/>
                <w:szCs w:val="24"/>
              </w:rPr>
              <w:t>为减小对周边大气环境的影响，项目运输采取以下措施：</w:t>
            </w:r>
          </w:p>
          <w:p w14:paraId="1DCFA06F">
            <w:pPr>
              <w:pStyle w:val="23"/>
              <w:spacing w:before="0" w:after="0" w:line="500" w:lineRule="exact"/>
              <w:ind w:firstLine="480" w:firstLineChars="200"/>
              <w:rPr>
                <w:color w:val="auto"/>
                <w:sz w:val="24"/>
                <w:szCs w:val="24"/>
              </w:rPr>
            </w:pPr>
            <w:r>
              <w:rPr>
                <w:color w:val="auto"/>
                <w:sz w:val="24"/>
                <w:szCs w:val="24"/>
              </w:rPr>
              <w:t>①厂区至公路连接道路混凝土硬化，设洒水车洒水抑尘，定期维护管理；</w:t>
            </w:r>
          </w:p>
          <w:p w14:paraId="130159D0">
            <w:pPr>
              <w:pStyle w:val="23"/>
              <w:spacing w:before="0" w:after="0" w:line="500" w:lineRule="exact"/>
              <w:ind w:firstLine="480" w:firstLineChars="200"/>
              <w:rPr>
                <w:color w:val="auto"/>
                <w:sz w:val="24"/>
                <w:szCs w:val="24"/>
              </w:rPr>
            </w:pPr>
            <w:r>
              <w:rPr>
                <w:color w:val="auto"/>
                <w:sz w:val="24"/>
                <w:szCs w:val="24"/>
              </w:rPr>
              <w:t>②加强物料的运输及装卸管理。为减少运输扬尘，不得使用拖拉机和农用汽车运输，物料运输车辆采用加盖篷布货运汽车运输；</w:t>
            </w:r>
          </w:p>
          <w:p w14:paraId="6DE5597F">
            <w:pPr>
              <w:pStyle w:val="23"/>
              <w:spacing w:before="0" w:after="0" w:line="500" w:lineRule="exact"/>
              <w:ind w:firstLine="480" w:firstLineChars="200"/>
              <w:rPr>
                <w:color w:val="auto"/>
                <w:sz w:val="24"/>
                <w:szCs w:val="24"/>
              </w:rPr>
            </w:pPr>
            <w:r>
              <w:rPr>
                <w:color w:val="auto"/>
                <w:sz w:val="24"/>
                <w:szCs w:val="24"/>
              </w:rPr>
              <w:t>③汽车在厂区内行驶速度应小于10km/h；运输物料的汽车不应超载（或物料装得过满）；</w:t>
            </w:r>
          </w:p>
          <w:p w14:paraId="5976841E">
            <w:pPr>
              <w:pStyle w:val="23"/>
              <w:spacing w:before="0" w:after="0" w:line="500" w:lineRule="exact"/>
              <w:ind w:firstLine="480" w:firstLineChars="200"/>
              <w:rPr>
                <w:color w:val="auto"/>
                <w:sz w:val="24"/>
                <w:szCs w:val="24"/>
              </w:rPr>
            </w:pPr>
            <w:r>
              <w:rPr>
                <w:color w:val="auto"/>
                <w:sz w:val="24"/>
                <w:szCs w:val="24"/>
              </w:rPr>
              <w:t>④物料存放在相应的储存场所，厂区内主要运输道路两侧适当的位置建议设置洒水抑尘设备，以方便随时对道路的洒水，清扫路面，最大限度减少物料运输产生的交通扬尘。</w:t>
            </w:r>
          </w:p>
          <w:p w14:paraId="7CA96E29">
            <w:pPr>
              <w:adjustRightInd w:val="0"/>
              <w:snapToGrid w:val="0"/>
              <w:spacing w:line="500" w:lineRule="exact"/>
              <w:ind w:firstLine="480" w:firstLineChars="200"/>
              <w:rPr>
                <w:color w:val="auto"/>
              </w:rPr>
            </w:pPr>
            <w:r>
              <w:rPr>
                <w:color w:val="auto"/>
              </w:rPr>
              <w:t>运输车辆遮盖苫布，进场道路利用洒水车定期洒水。结合上述措施能够有效控制粉尘的污染，降尘率约90%，排放量约</w:t>
            </w:r>
            <w:r>
              <w:rPr>
                <w:rFonts w:hint="eastAsia"/>
                <w:color w:val="auto"/>
              </w:rPr>
              <w:t>1.32</w:t>
            </w:r>
            <w:r>
              <w:rPr>
                <w:color w:val="auto"/>
              </w:rPr>
              <w:t>t/a。</w:t>
            </w:r>
          </w:p>
          <w:p w14:paraId="79132273">
            <w:pPr>
              <w:adjustRightInd w:val="0"/>
              <w:snapToGrid w:val="0"/>
              <w:spacing w:line="480" w:lineRule="exact"/>
              <w:ind w:firstLine="480" w:firstLineChars="200"/>
              <w:rPr>
                <w:color w:val="auto"/>
              </w:rPr>
            </w:pPr>
            <w:r>
              <w:rPr>
                <w:color w:val="auto"/>
              </w:rPr>
              <w:t>项目有组织</w:t>
            </w:r>
            <w:r>
              <w:rPr>
                <w:rFonts w:hint="eastAsia"/>
                <w:color w:val="auto"/>
              </w:rPr>
              <w:t>、无组织</w:t>
            </w:r>
            <w:r>
              <w:rPr>
                <w:color w:val="auto"/>
              </w:rPr>
              <w:t>废气排放源强见下表。</w:t>
            </w:r>
          </w:p>
          <w:p w14:paraId="01AD1BA0">
            <w:pPr>
              <w:pStyle w:val="97"/>
              <w:ind w:firstLine="1687" w:firstLineChars="700"/>
              <w:rPr>
                <w:rFonts w:eastAsia="宋体"/>
                <w:b/>
                <w:color w:val="auto"/>
                <w:spacing w:val="0"/>
                <w:sz w:val="24"/>
              </w:rPr>
            </w:pPr>
            <w:r>
              <w:rPr>
                <w:rFonts w:eastAsia="宋体"/>
                <w:b/>
                <w:color w:val="auto"/>
                <w:spacing w:val="0"/>
                <w:sz w:val="24"/>
              </w:rPr>
              <w:t>表</w:t>
            </w:r>
            <w:r>
              <w:rPr>
                <w:rFonts w:hint="eastAsia" w:eastAsia="宋体"/>
                <w:b/>
                <w:color w:val="auto"/>
                <w:spacing w:val="0"/>
                <w:sz w:val="24"/>
              </w:rPr>
              <w:t>4-1</w:t>
            </w:r>
            <w:r>
              <w:rPr>
                <w:rFonts w:eastAsia="宋体"/>
                <w:b/>
                <w:color w:val="auto"/>
                <w:spacing w:val="0"/>
                <w:sz w:val="24"/>
              </w:rPr>
              <w:t xml:space="preserve">   项目有组织废气产生及排放状况一览表</w:t>
            </w:r>
          </w:p>
          <w:tbl>
            <w:tblPr>
              <w:tblStyle w:val="25"/>
              <w:tblW w:w="498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798"/>
              <w:gridCol w:w="593"/>
              <w:gridCol w:w="793"/>
              <w:gridCol w:w="883"/>
              <w:gridCol w:w="912"/>
              <w:gridCol w:w="1279"/>
              <w:gridCol w:w="846"/>
              <w:gridCol w:w="806"/>
              <w:gridCol w:w="561"/>
              <w:gridCol w:w="874"/>
            </w:tblGrid>
            <w:tr w14:paraId="4D5AF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9" w:hRule="atLeast"/>
                <w:jc w:val="center"/>
              </w:trPr>
              <w:tc>
                <w:tcPr>
                  <w:tcW w:w="478" w:type="pct"/>
                  <w:vMerge w:val="restart"/>
                  <w:tcBorders>
                    <w:tl2br w:val="nil"/>
                    <w:tr2bl w:val="nil"/>
                  </w:tcBorders>
                  <w:vAlign w:val="center"/>
                </w:tcPr>
                <w:p w14:paraId="18A4CA15">
                  <w:pPr>
                    <w:pStyle w:val="96"/>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textAlignment w:val="auto"/>
                    <w:rPr>
                      <w:rFonts w:cs="Times New Roman"/>
                      <w:color w:val="auto"/>
                    </w:rPr>
                  </w:pPr>
                  <w:r>
                    <w:rPr>
                      <w:rFonts w:cs="Times New Roman"/>
                      <w:color w:val="auto"/>
                    </w:rPr>
                    <w:t>排气筒</w:t>
                  </w:r>
                </w:p>
                <w:p w14:paraId="7CFE63A6">
                  <w:pPr>
                    <w:pStyle w:val="96"/>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textAlignment w:val="auto"/>
                    <w:rPr>
                      <w:rFonts w:cs="Times New Roman"/>
                      <w:color w:val="auto"/>
                    </w:rPr>
                  </w:pPr>
                  <w:r>
                    <w:rPr>
                      <w:rFonts w:cs="Times New Roman"/>
                      <w:color w:val="auto"/>
                    </w:rPr>
                    <w:t>编号</w:t>
                  </w:r>
                </w:p>
              </w:tc>
              <w:tc>
                <w:tcPr>
                  <w:tcW w:w="355" w:type="pct"/>
                  <w:vMerge w:val="restart"/>
                  <w:tcBorders>
                    <w:tl2br w:val="nil"/>
                    <w:tr2bl w:val="nil"/>
                  </w:tcBorders>
                  <w:vAlign w:val="center"/>
                </w:tcPr>
                <w:p w14:paraId="7A1E71A6">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污染物名称</w:t>
                  </w:r>
                </w:p>
              </w:tc>
              <w:tc>
                <w:tcPr>
                  <w:tcW w:w="1004" w:type="pct"/>
                  <w:gridSpan w:val="2"/>
                  <w:tcBorders>
                    <w:tl2br w:val="nil"/>
                    <w:tr2bl w:val="nil"/>
                  </w:tcBorders>
                  <w:vAlign w:val="center"/>
                </w:tcPr>
                <w:p w14:paraId="73DF2874">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产生情况</w:t>
                  </w:r>
                </w:p>
              </w:tc>
              <w:tc>
                <w:tcPr>
                  <w:tcW w:w="546" w:type="pct"/>
                  <w:vMerge w:val="restart"/>
                  <w:tcBorders>
                    <w:tl2br w:val="nil"/>
                    <w:tr2bl w:val="nil"/>
                  </w:tcBorders>
                  <w:vAlign w:val="center"/>
                </w:tcPr>
                <w:p w14:paraId="505B07B2">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排气量</w:t>
                  </w:r>
                  <w:r>
                    <w:rPr>
                      <w:rFonts w:hint="eastAsia" w:cs="Times New Roman"/>
                      <w:color w:val="auto"/>
                    </w:rPr>
                    <w:t>N</w:t>
                  </w:r>
                  <w:r>
                    <w:rPr>
                      <w:rFonts w:cs="Times New Roman"/>
                      <w:color w:val="auto"/>
                      <w:lang w:val="zh-CN"/>
                    </w:rPr>
                    <w:t>m</w:t>
                  </w:r>
                  <w:r>
                    <w:rPr>
                      <w:rFonts w:cs="Times New Roman"/>
                      <w:color w:val="auto"/>
                      <w:vertAlign w:val="superscript"/>
                      <w:lang w:val="zh-CN"/>
                    </w:rPr>
                    <w:t>3</w:t>
                  </w:r>
                  <w:r>
                    <w:rPr>
                      <w:rFonts w:cs="Times New Roman"/>
                      <w:color w:val="auto"/>
                      <w:lang w:val="zh-CN"/>
                    </w:rPr>
                    <w:t>/h</w:t>
                  </w:r>
                </w:p>
              </w:tc>
              <w:tc>
                <w:tcPr>
                  <w:tcW w:w="766" w:type="pct"/>
                  <w:vMerge w:val="restart"/>
                  <w:tcBorders>
                    <w:tl2br w:val="nil"/>
                    <w:tr2bl w:val="nil"/>
                  </w:tcBorders>
                  <w:vAlign w:val="center"/>
                </w:tcPr>
                <w:p w14:paraId="72B77BF3">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治理措施</w:t>
                  </w:r>
                </w:p>
              </w:tc>
              <w:tc>
                <w:tcPr>
                  <w:tcW w:w="507" w:type="pct"/>
                  <w:vMerge w:val="restart"/>
                  <w:tcBorders>
                    <w:tl2br w:val="nil"/>
                    <w:tr2bl w:val="nil"/>
                  </w:tcBorders>
                  <w:vAlign w:val="center"/>
                </w:tcPr>
                <w:p w14:paraId="69FF123D">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去除率%</w:t>
                  </w:r>
                </w:p>
              </w:tc>
              <w:tc>
                <w:tcPr>
                  <w:tcW w:w="1342" w:type="pct"/>
                  <w:gridSpan w:val="3"/>
                  <w:tcBorders>
                    <w:tl2br w:val="nil"/>
                    <w:tr2bl w:val="nil"/>
                  </w:tcBorders>
                  <w:vAlign w:val="center"/>
                </w:tcPr>
                <w:p w14:paraId="2DF89B17">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排放状况</w:t>
                  </w:r>
                </w:p>
              </w:tc>
            </w:tr>
            <w:tr w14:paraId="5ED5C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9" w:hRule="atLeast"/>
                <w:jc w:val="center"/>
              </w:trPr>
              <w:tc>
                <w:tcPr>
                  <w:tcW w:w="478" w:type="pct"/>
                  <w:vMerge w:val="continue"/>
                  <w:tcBorders>
                    <w:tl2br w:val="nil"/>
                    <w:tr2bl w:val="nil"/>
                  </w:tcBorders>
                  <w:vAlign w:val="center"/>
                </w:tcPr>
                <w:p w14:paraId="63EE6E7D">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p>
              </w:tc>
              <w:tc>
                <w:tcPr>
                  <w:tcW w:w="355" w:type="pct"/>
                  <w:vMerge w:val="continue"/>
                  <w:tcBorders>
                    <w:tl2br w:val="nil"/>
                    <w:tr2bl w:val="nil"/>
                  </w:tcBorders>
                  <w:vAlign w:val="center"/>
                </w:tcPr>
                <w:p w14:paraId="4E613148">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p>
              </w:tc>
              <w:tc>
                <w:tcPr>
                  <w:tcW w:w="475" w:type="pct"/>
                  <w:tcBorders>
                    <w:tl2br w:val="nil"/>
                    <w:tr2bl w:val="nil"/>
                  </w:tcBorders>
                  <w:vAlign w:val="center"/>
                </w:tcPr>
                <w:p w14:paraId="52DB8C8E">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速率</w:t>
                  </w:r>
                </w:p>
                <w:p w14:paraId="5EFCDE35">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kg/h</w:t>
                  </w:r>
                </w:p>
              </w:tc>
              <w:tc>
                <w:tcPr>
                  <w:tcW w:w="529" w:type="pct"/>
                  <w:tcBorders>
                    <w:tl2br w:val="nil"/>
                    <w:tr2bl w:val="nil"/>
                  </w:tcBorders>
                  <w:vAlign w:val="center"/>
                </w:tcPr>
                <w:p w14:paraId="60084DBB">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产生量</w:t>
                  </w:r>
                </w:p>
                <w:p w14:paraId="019CB121">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t/a</w:t>
                  </w:r>
                </w:p>
              </w:tc>
              <w:tc>
                <w:tcPr>
                  <w:tcW w:w="546" w:type="pct"/>
                  <w:vMerge w:val="continue"/>
                  <w:tcBorders>
                    <w:tl2br w:val="nil"/>
                    <w:tr2bl w:val="nil"/>
                  </w:tcBorders>
                  <w:vAlign w:val="center"/>
                </w:tcPr>
                <w:p w14:paraId="526B6112">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p>
              </w:tc>
              <w:tc>
                <w:tcPr>
                  <w:tcW w:w="766" w:type="pct"/>
                  <w:vMerge w:val="continue"/>
                  <w:tcBorders>
                    <w:tl2br w:val="nil"/>
                    <w:tr2bl w:val="nil"/>
                  </w:tcBorders>
                  <w:vAlign w:val="center"/>
                </w:tcPr>
                <w:p w14:paraId="58594D05">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p>
              </w:tc>
              <w:tc>
                <w:tcPr>
                  <w:tcW w:w="507" w:type="pct"/>
                  <w:vMerge w:val="continue"/>
                  <w:tcBorders>
                    <w:tl2br w:val="nil"/>
                    <w:tr2bl w:val="nil"/>
                  </w:tcBorders>
                  <w:vAlign w:val="center"/>
                </w:tcPr>
                <w:p w14:paraId="0C684613">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p>
              </w:tc>
              <w:tc>
                <w:tcPr>
                  <w:tcW w:w="483" w:type="pct"/>
                  <w:tcBorders>
                    <w:tl2br w:val="nil"/>
                    <w:tr2bl w:val="nil"/>
                  </w:tcBorders>
                  <w:vAlign w:val="center"/>
                </w:tcPr>
                <w:p w14:paraId="51D36B41">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浓度</w:t>
                  </w:r>
                </w:p>
                <w:p w14:paraId="2E2C4D2B">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lang w:val="zh-CN"/>
                    </w:rPr>
                    <w:t>mg/</w:t>
                  </w:r>
                  <w:r>
                    <w:rPr>
                      <w:rFonts w:hint="eastAsia" w:cs="Times New Roman"/>
                      <w:color w:val="auto"/>
                    </w:rPr>
                    <w:t>N</w:t>
                  </w:r>
                  <w:r>
                    <w:rPr>
                      <w:rFonts w:cs="Times New Roman"/>
                      <w:color w:val="auto"/>
                    </w:rPr>
                    <w:t>m</w:t>
                  </w:r>
                  <w:r>
                    <w:rPr>
                      <w:rFonts w:cs="Times New Roman"/>
                      <w:color w:val="auto"/>
                      <w:vertAlign w:val="superscript"/>
                    </w:rPr>
                    <w:t>3</w:t>
                  </w:r>
                </w:p>
              </w:tc>
              <w:tc>
                <w:tcPr>
                  <w:tcW w:w="336" w:type="pct"/>
                  <w:tcBorders>
                    <w:tl2br w:val="nil"/>
                    <w:tr2bl w:val="nil"/>
                  </w:tcBorders>
                  <w:vAlign w:val="center"/>
                </w:tcPr>
                <w:p w14:paraId="55A36775">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速率</w:t>
                  </w:r>
                </w:p>
                <w:p w14:paraId="7B9C5D8B">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kg/h</w:t>
                  </w:r>
                </w:p>
              </w:tc>
              <w:tc>
                <w:tcPr>
                  <w:tcW w:w="522" w:type="pct"/>
                  <w:tcBorders>
                    <w:tl2br w:val="nil"/>
                    <w:tr2bl w:val="nil"/>
                  </w:tcBorders>
                  <w:vAlign w:val="center"/>
                </w:tcPr>
                <w:p w14:paraId="1EA39634">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排放量 t/a</w:t>
                  </w:r>
                </w:p>
              </w:tc>
            </w:tr>
            <w:tr w14:paraId="63350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9" w:hRule="atLeast"/>
                <w:jc w:val="center"/>
              </w:trPr>
              <w:tc>
                <w:tcPr>
                  <w:tcW w:w="478" w:type="pct"/>
                  <w:tcBorders>
                    <w:tl2br w:val="nil"/>
                    <w:tr2bl w:val="nil"/>
                  </w:tcBorders>
                  <w:vAlign w:val="center"/>
                </w:tcPr>
                <w:p w14:paraId="632CB657">
                  <w:pPr>
                    <w:pStyle w:val="96"/>
                    <w:keepNext w:val="0"/>
                    <w:keepLines w:val="0"/>
                    <w:pageBreakBefore w:val="0"/>
                    <w:widowControl w:val="0"/>
                    <w:kinsoku/>
                    <w:wordWrap/>
                    <w:overflowPunct/>
                    <w:topLinePunct w:val="0"/>
                    <w:autoSpaceDE/>
                    <w:autoSpaceDN/>
                    <w:bidi w:val="0"/>
                    <w:adjustRightInd w:val="0"/>
                    <w:snapToGrid w:val="0"/>
                    <w:spacing w:line="360" w:lineRule="exact"/>
                    <w:ind w:left="-120" w:leftChars="-50" w:right="-120" w:rightChars="-50"/>
                    <w:textAlignment w:val="auto"/>
                    <w:rPr>
                      <w:rFonts w:cs="Times New Roman"/>
                      <w:color w:val="auto"/>
                    </w:rPr>
                  </w:pPr>
                  <w:r>
                    <w:rPr>
                      <w:rFonts w:cs="Times New Roman"/>
                      <w:color w:val="auto"/>
                    </w:rPr>
                    <w:t>DA001</w:t>
                  </w:r>
                </w:p>
              </w:tc>
              <w:tc>
                <w:tcPr>
                  <w:tcW w:w="355" w:type="pct"/>
                  <w:tcBorders>
                    <w:tl2br w:val="nil"/>
                    <w:tr2bl w:val="nil"/>
                  </w:tcBorders>
                  <w:vAlign w:val="center"/>
                </w:tcPr>
                <w:p w14:paraId="705962BE">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cs="Times New Roman"/>
                      <w:color w:val="auto"/>
                    </w:rPr>
                    <w:t>颗粒物</w:t>
                  </w:r>
                </w:p>
              </w:tc>
              <w:tc>
                <w:tcPr>
                  <w:tcW w:w="475" w:type="pct"/>
                  <w:tcBorders>
                    <w:tl2br w:val="nil"/>
                    <w:tr2bl w:val="nil"/>
                  </w:tcBorders>
                  <w:vAlign w:val="center"/>
                </w:tcPr>
                <w:p w14:paraId="02BF25D9">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hint="eastAsia" w:cs="Times New Roman"/>
                      <w:color w:val="auto"/>
                    </w:rPr>
                    <w:t>31.66</w:t>
                  </w:r>
                </w:p>
              </w:tc>
              <w:tc>
                <w:tcPr>
                  <w:tcW w:w="529" w:type="pct"/>
                  <w:tcBorders>
                    <w:tl2br w:val="nil"/>
                    <w:tr2bl w:val="nil"/>
                  </w:tcBorders>
                  <w:vAlign w:val="center"/>
                </w:tcPr>
                <w:p w14:paraId="70D40401">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hint="eastAsia" w:cs="Times New Roman"/>
                      <w:color w:val="auto"/>
                    </w:rPr>
                    <w:t>227.93</w:t>
                  </w:r>
                </w:p>
              </w:tc>
              <w:tc>
                <w:tcPr>
                  <w:tcW w:w="546" w:type="pct"/>
                  <w:tcBorders>
                    <w:tl2br w:val="nil"/>
                    <w:tr2bl w:val="nil"/>
                  </w:tcBorders>
                  <w:vAlign w:val="center"/>
                </w:tcPr>
                <w:p w14:paraId="1EBB3A1F">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hint="eastAsia" w:cs="Times New Roman"/>
                      <w:color w:val="auto"/>
                    </w:rPr>
                    <w:t>200</w:t>
                  </w:r>
                  <w:r>
                    <w:rPr>
                      <w:rFonts w:cs="Times New Roman"/>
                      <w:color w:val="auto"/>
                    </w:rPr>
                    <w:t>00</w:t>
                  </w:r>
                  <w:r>
                    <w:rPr>
                      <w:rFonts w:hint="eastAsia" w:cs="Times New Roman"/>
                      <w:color w:val="auto"/>
                    </w:rPr>
                    <w:t>0</w:t>
                  </w:r>
                </w:p>
              </w:tc>
              <w:tc>
                <w:tcPr>
                  <w:tcW w:w="766" w:type="pct"/>
                  <w:tcBorders>
                    <w:tl2br w:val="nil"/>
                    <w:tr2bl w:val="nil"/>
                  </w:tcBorders>
                  <w:vAlign w:val="center"/>
                </w:tcPr>
                <w:p w14:paraId="0EB69E04">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hint="eastAsia" w:cs="Times New Roman"/>
                      <w:color w:val="auto"/>
                    </w:rPr>
                    <w:t>集气罩＋布袋除尘器+</w:t>
                  </w:r>
                  <w:r>
                    <w:rPr>
                      <w:rFonts w:hint="eastAsia" w:cs="Times New Roman"/>
                      <w:color w:val="0000FF"/>
                      <w:lang w:val="en-US" w:eastAsia="zh-CN"/>
                    </w:rPr>
                    <w:t>30</w:t>
                  </w:r>
                  <w:commentRangeStart w:id="34"/>
                  <w:r>
                    <w:rPr>
                      <w:rFonts w:hint="eastAsia" w:cs="Times New Roman"/>
                      <w:color w:val="0000FF"/>
                    </w:rPr>
                    <w:t>m</w:t>
                  </w:r>
                  <w:commentRangeEnd w:id="34"/>
                  <w:r>
                    <w:rPr>
                      <w:color w:val="auto"/>
                    </w:rPr>
                    <w:commentReference w:id="34"/>
                  </w:r>
                  <w:r>
                    <w:rPr>
                      <w:rFonts w:hint="eastAsia" w:cs="Times New Roman"/>
                      <w:color w:val="auto"/>
                    </w:rPr>
                    <w:t>高排气筒</w:t>
                  </w:r>
                </w:p>
              </w:tc>
              <w:tc>
                <w:tcPr>
                  <w:tcW w:w="507" w:type="pct"/>
                  <w:tcBorders>
                    <w:tl2br w:val="nil"/>
                    <w:tr2bl w:val="nil"/>
                  </w:tcBorders>
                  <w:vAlign w:val="center"/>
                </w:tcPr>
                <w:p w14:paraId="4FE7E474">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cs="Times New Roman"/>
                      <w:color w:val="auto"/>
                    </w:rPr>
                  </w:pPr>
                  <w:r>
                    <w:rPr>
                      <w:rFonts w:hint="eastAsia"/>
                      <w:color w:val="auto"/>
                      <w:kern w:val="0"/>
                    </w:rPr>
                    <w:t>≥99%</w:t>
                  </w:r>
                </w:p>
              </w:tc>
              <w:tc>
                <w:tcPr>
                  <w:tcW w:w="483" w:type="pct"/>
                  <w:tcBorders>
                    <w:tl2br w:val="nil"/>
                    <w:tr2bl w:val="nil"/>
                  </w:tcBorders>
                  <w:vAlign w:val="center"/>
                </w:tcPr>
                <w:p w14:paraId="7F201552">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eastAsia="宋体" w:cs="Times New Roman"/>
                      <w:color w:val="auto"/>
                      <w:lang w:val="en-US" w:eastAsia="zh-CN"/>
                    </w:rPr>
                  </w:pPr>
                  <w:r>
                    <w:rPr>
                      <w:rFonts w:hint="eastAsia" w:cs="Times New Roman"/>
                      <w:color w:val="auto"/>
                      <w:lang w:val="en-US" w:eastAsia="zh-CN"/>
                    </w:rPr>
                    <w:t>1.58</w:t>
                  </w:r>
                </w:p>
              </w:tc>
              <w:tc>
                <w:tcPr>
                  <w:tcW w:w="336" w:type="pct"/>
                  <w:tcBorders>
                    <w:tl2br w:val="nil"/>
                    <w:tr2bl w:val="nil"/>
                  </w:tcBorders>
                  <w:vAlign w:val="center"/>
                </w:tcPr>
                <w:p w14:paraId="357622C7">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eastAsia="宋体" w:cs="Times New Roman"/>
                      <w:color w:val="auto"/>
                      <w:lang w:val="en-US" w:eastAsia="zh-CN"/>
                    </w:rPr>
                  </w:pPr>
                  <w:r>
                    <w:rPr>
                      <w:rFonts w:hint="eastAsia" w:cs="Times New Roman"/>
                      <w:color w:val="auto"/>
                      <w:lang w:val="en-US" w:eastAsia="zh-CN"/>
                    </w:rPr>
                    <w:t>0.32</w:t>
                  </w:r>
                </w:p>
              </w:tc>
              <w:tc>
                <w:tcPr>
                  <w:tcW w:w="522" w:type="pct"/>
                  <w:tcBorders>
                    <w:tl2br w:val="nil"/>
                    <w:tr2bl w:val="nil"/>
                  </w:tcBorders>
                  <w:vAlign w:val="center"/>
                </w:tcPr>
                <w:p w14:paraId="76C41F25">
                  <w:pPr>
                    <w:pStyle w:val="96"/>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default" w:eastAsia="宋体" w:cs="Times New Roman"/>
                      <w:color w:val="auto"/>
                      <w:lang w:val="en-US" w:eastAsia="zh-CN"/>
                    </w:rPr>
                  </w:pPr>
                  <w:r>
                    <w:rPr>
                      <w:rFonts w:hint="eastAsia" w:cs="Times New Roman"/>
                      <w:color w:val="auto"/>
                      <w:lang w:val="en-US" w:eastAsia="zh-CN"/>
                    </w:rPr>
                    <w:t>2.28</w:t>
                  </w:r>
                </w:p>
              </w:tc>
            </w:tr>
          </w:tbl>
          <w:p w14:paraId="34CB4A2E">
            <w:pPr>
              <w:pStyle w:val="97"/>
              <w:ind w:firstLine="1687" w:firstLineChars="700"/>
              <w:rPr>
                <w:rFonts w:eastAsia="宋体"/>
                <w:b/>
                <w:color w:val="auto"/>
                <w:spacing w:val="0"/>
                <w:sz w:val="24"/>
              </w:rPr>
            </w:pPr>
            <w:r>
              <w:rPr>
                <w:rFonts w:eastAsia="宋体"/>
                <w:b/>
                <w:color w:val="auto"/>
                <w:spacing w:val="0"/>
                <w:sz w:val="24"/>
              </w:rPr>
              <w:t>表</w:t>
            </w:r>
            <w:r>
              <w:rPr>
                <w:rFonts w:hint="eastAsia" w:eastAsia="宋体"/>
                <w:b/>
                <w:color w:val="auto"/>
                <w:spacing w:val="0"/>
                <w:sz w:val="24"/>
              </w:rPr>
              <w:t>4-2</w:t>
            </w:r>
            <w:r>
              <w:rPr>
                <w:rFonts w:eastAsia="宋体"/>
                <w:b/>
                <w:color w:val="auto"/>
                <w:spacing w:val="0"/>
                <w:sz w:val="24"/>
              </w:rPr>
              <w:t xml:space="preserve">   项目无组织废气产生及排放状况一览表</w:t>
            </w:r>
          </w:p>
          <w:tbl>
            <w:tblPr>
              <w:tblStyle w:val="25"/>
              <w:tblW w:w="497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1034"/>
              <w:gridCol w:w="1052"/>
              <w:gridCol w:w="1205"/>
              <w:gridCol w:w="1288"/>
              <w:gridCol w:w="2677"/>
              <w:gridCol w:w="1072"/>
            </w:tblGrid>
            <w:tr w14:paraId="292EC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24" w:hRule="atLeast"/>
                <w:jc w:val="center"/>
              </w:trPr>
              <w:tc>
                <w:tcPr>
                  <w:tcW w:w="621" w:type="pct"/>
                  <w:tcBorders>
                    <w:tl2br w:val="nil"/>
                    <w:tr2bl w:val="nil"/>
                  </w:tcBorders>
                  <w:vAlign w:val="center"/>
                </w:tcPr>
                <w:p w14:paraId="4D093DE4">
                  <w:pPr>
                    <w:pStyle w:val="96"/>
                    <w:spacing w:line="320" w:lineRule="exact"/>
                    <w:rPr>
                      <w:rFonts w:cs="Times New Roman"/>
                      <w:color w:val="auto"/>
                    </w:rPr>
                  </w:pPr>
                  <w:r>
                    <w:rPr>
                      <w:rFonts w:cs="Times New Roman"/>
                      <w:color w:val="auto"/>
                    </w:rPr>
                    <w:t>污染源位置</w:t>
                  </w:r>
                </w:p>
              </w:tc>
              <w:tc>
                <w:tcPr>
                  <w:tcW w:w="631" w:type="pct"/>
                  <w:tcBorders>
                    <w:tl2br w:val="nil"/>
                    <w:tr2bl w:val="nil"/>
                  </w:tcBorders>
                  <w:vAlign w:val="center"/>
                </w:tcPr>
                <w:p w14:paraId="3354780E">
                  <w:pPr>
                    <w:pStyle w:val="96"/>
                    <w:spacing w:line="320" w:lineRule="exact"/>
                    <w:rPr>
                      <w:rFonts w:cs="Times New Roman"/>
                      <w:color w:val="auto"/>
                    </w:rPr>
                  </w:pPr>
                  <w:r>
                    <w:rPr>
                      <w:rFonts w:cs="Times New Roman"/>
                      <w:color w:val="auto"/>
                    </w:rPr>
                    <w:t>产生工段</w:t>
                  </w:r>
                </w:p>
              </w:tc>
              <w:tc>
                <w:tcPr>
                  <w:tcW w:w="723" w:type="pct"/>
                  <w:tcBorders>
                    <w:tl2br w:val="nil"/>
                    <w:tr2bl w:val="nil"/>
                  </w:tcBorders>
                  <w:vAlign w:val="center"/>
                </w:tcPr>
                <w:p w14:paraId="422F2E88">
                  <w:pPr>
                    <w:pStyle w:val="96"/>
                    <w:spacing w:line="320" w:lineRule="exact"/>
                    <w:rPr>
                      <w:rFonts w:cs="Times New Roman"/>
                      <w:color w:val="auto"/>
                    </w:rPr>
                  </w:pPr>
                  <w:r>
                    <w:rPr>
                      <w:rFonts w:cs="Times New Roman"/>
                      <w:color w:val="auto"/>
                    </w:rPr>
                    <w:t>污染物</w:t>
                  </w:r>
                </w:p>
              </w:tc>
              <w:tc>
                <w:tcPr>
                  <w:tcW w:w="773" w:type="pct"/>
                  <w:tcBorders>
                    <w:tl2br w:val="nil"/>
                    <w:tr2bl w:val="nil"/>
                  </w:tcBorders>
                  <w:vAlign w:val="center"/>
                </w:tcPr>
                <w:p w14:paraId="60DEB4C1">
                  <w:pPr>
                    <w:pStyle w:val="96"/>
                    <w:spacing w:line="320" w:lineRule="exact"/>
                    <w:rPr>
                      <w:rFonts w:cs="Times New Roman"/>
                      <w:color w:val="auto"/>
                    </w:rPr>
                  </w:pPr>
                  <w:r>
                    <w:rPr>
                      <w:rFonts w:cs="Times New Roman"/>
                      <w:color w:val="auto"/>
                    </w:rPr>
                    <w:t>产生量</w:t>
                  </w:r>
                </w:p>
                <w:p w14:paraId="7A039B91">
                  <w:pPr>
                    <w:pStyle w:val="96"/>
                    <w:spacing w:line="320" w:lineRule="exact"/>
                    <w:rPr>
                      <w:rFonts w:cs="Times New Roman"/>
                      <w:color w:val="auto"/>
                    </w:rPr>
                  </w:pPr>
                  <w:r>
                    <w:rPr>
                      <w:rFonts w:cs="Times New Roman"/>
                      <w:color w:val="auto"/>
                    </w:rPr>
                    <w:t>t/a</w:t>
                  </w:r>
                </w:p>
              </w:tc>
              <w:tc>
                <w:tcPr>
                  <w:tcW w:w="1606" w:type="pct"/>
                  <w:tcBorders>
                    <w:tl2br w:val="nil"/>
                    <w:tr2bl w:val="nil"/>
                  </w:tcBorders>
                  <w:vAlign w:val="center"/>
                </w:tcPr>
                <w:p w14:paraId="36BF258E">
                  <w:pPr>
                    <w:pStyle w:val="96"/>
                    <w:spacing w:line="320" w:lineRule="exact"/>
                    <w:rPr>
                      <w:rFonts w:cs="Times New Roman"/>
                      <w:color w:val="auto"/>
                    </w:rPr>
                  </w:pPr>
                  <w:r>
                    <w:rPr>
                      <w:rFonts w:cs="Times New Roman"/>
                      <w:color w:val="auto"/>
                    </w:rPr>
                    <w:t>治理措施</w:t>
                  </w:r>
                </w:p>
              </w:tc>
              <w:tc>
                <w:tcPr>
                  <w:tcW w:w="643" w:type="pct"/>
                  <w:tcBorders>
                    <w:tl2br w:val="nil"/>
                    <w:tr2bl w:val="nil"/>
                  </w:tcBorders>
                  <w:vAlign w:val="center"/>
                </w:tcPr>
                <w:p w14:paraId="0EDFB7DD">
                  <w:pPr>
                    <w:pStyle w:val="96"/>
                    <w:spacing w:line="320" w:lineRule="exact"/>
                    <w:rPr>
                      <w:rFonts w:cs="Times New Roman"/>
                      <w:color w:val="auto"/>
                    </w:rPr>
                  </w:pPr>
                  <w:r>
                    <w:rPr>
                      <w:rFonts w:cs="Times New Roman"/>
                      <w:color w:val="auto"/>
                    </w:rPr>
                    <w:t>排放量</w:t>
                  </w:r>
                </w:p>
                <w:p w14:paraId="731FE69C">
                  <w:pPr>
                    <w:pStyle w:val="96"/>
                    <w:spacing w:line="320" w:lineRule="exact"/>
                    <w:rPr>
                      <w:rFonts w:cs="Times New Roman"/>
                      <w:color w:val="auto"/>
                    </w:rPr>
                  </w:pPr>
                  <w:r>
                    <w:rPr>
                      <w:rFonts w:cs="Times New Roman"/>
                      <w:color w:val="auto"/>
                    </w:rPr>
                    <w:t>t/a</w:t>
                  </w:r>
                </w:p>
              </w:tc>
            </w:tr>
            <w:tr w14:paraId="63658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25" w:hRule="atLeast"/>
                <w:jc w:val="center"/>
              </w:trPr>
              <w:tc>
                <w:tcPr>
                  <w:tcW w:w="621" w:type="pct"/>
                  <w:tcBorders>
                    <w:tl2br w:val="nil"/>
                    <w:tr2bl w:val="nil"/>
                  </w:tcBorders>
                  <w:vAlign w:val="center"/>
                </w:tcPr>
                <w:p w14:paraId="528F001C">
                  <w:pPr>
                    <w:pStyle w:val="96"/>
                    <w:spacing w:line="320" w:lineRule="exact"/>
                    <w:rPr>
                      <w:rFonts w:cs="Times New Roman"/>
                      <w:color w:val="auto"/>
                    </w:rPr>
                  </w:pPr>
                  <w:r>
                    <w:rPr>
                      <w:rFonts w:hint="eastAsia" w:cs="Times New Roman"/>
                      <w:color w:val="auto"/>
                    </w:rPr>
                    <w:t>破碎车间</w:t>
                  </w:r>
                </w:p>
              </w:tc>
              <w:tc>
                <w:tcPr>
                  <w:tcW w:w="631" w:type="pct"/>
                  <w:tcBorders>
                    <w:tl2br w:val="nil"/>
                    <w:tr2bl w:val="nil"/>
                  </w:tcBorders>
                  <w:vAlign w:val="center"/>
                </w:tcPr>
                <w:p w14:paraId="0251A8F5">
                  <w:pPr>
                    <w:pStyle w:val="96"/>
                    <w:spacing w:line="320" w:lineRule="exact"/>
                    <w:rPr>
                      <w:rFonts w:cs="Times New Roman"/>
                      <w:color w:val="auto"/>
                    </w:rPr>
                  </w:pPr>
                  <w:r>
                    <w:rPr>
                      <w:rFonts w:cs="Times New Roman"/>
                      <w:color w:val="auto"/>
                    </w:rPr>
                    <w:t>破碎、剪切</w:t>
                  </w:r>
                  <w:r>
                    <w:rPr>
                      <w:rFonts w:hint="eastAsia" w:cs="Times New Roman"/>
                      <w:color w:val="auto"/>
                    </w:rPr>
                    <w:t>无组织</w:t>
                  </w:r>
                </w:p>
              </w:tc>
              <w:tc>
                <w:tcPr>
                  <w:tcW w:w="723" w:type="pct"/>
                  <w:tcBorders>
                    <w:tl2br w:val="nil"/>
                    <w:tr2bl w:val="nil"/>
                  </w:tcBorders>
                  <w:vAlign w:val="center"/>
                </w:tcPr>
                <w:p w14:paraId="7DA8A68E">
                  <w:pPr>
                    <w:pStyle w:val="96"/>
                    <w:spacing w:line="320" w:lineRule="exact"/>
                    <w:rPr>
                      <w:rFonts w:cs="Times New Roman"/>
                      <w:color w:val="auto"/>
                    </w:rPr>
                  </w:pPr>
                  <w:r>
                    <w:rPr>
                      <w:rFonts w:hint="eastAsia" w:cs="Times New Roman"/>
                      <w:color w:val="auto"/>
                    </w:rPr>
                    <w:t>粉尘</w:t>
                  </w:r>
                </w:p>
              </w:tc>
              <w:tc>
                <w:tcPr>
                  <w:tcW w:w="773" w:type="pct"/>
                  <w:tcBorders>
                    <w:tl2br w:val="nil"/>
                    <w:tr2bl w:val="nil"/>
                  </w:tcBorders>
                  <w:vAlign w:val="center"/>
                </w:tcPr>
                <w:p w14:paraId="6BFF73BE">
                  <w:pPr>
                    <w:pStyle w:val="96"/>
                    <w:spacing w:line="320" w:lineRule="exact"/>
                    <w:rPr>
                      <w:rFonts w:cs="Times New Roman"/>
                      <w:color w:val="auto"/>
                    </w:rPr>
                  </w:pPr>
                  <w:r>
                    <w:rPr>
                      <w:rFonts w:hint="eastAsia" w:cs="Times New Roman"/>
                      <w:color w:val="auto"/>
                    </w:rPr>
                    <w:t>25.33</w:t>
                  </w:r>
                </w:p>
              </w:tc>
              <w:tc>
                <w:tcPr>
                  <w:tcW w:w="1606" w:type="pct"/>
                  <w:tcBorders>
                    <w:tl2br w:val="nil"/>
                    <w:tr2bl w:val="nil"/>
                  </w:tcBorders>
                  <w:vAlign w:val="center"/>
                </w:tcPr>
                <w:p w14:paraId="0C39A0C4">
                  <w:pPr>
                    <w:pStyle w:val="96"/>
                    <w:spacing w:line="320" w:lineRule="exact"/>
                    <w:rPr>
                      <w:rFonts w:cs="Times New Roman"/>
                      <w:color w:val="auto"/>
                    </w:rPr>
                  </w:pPr>
                  <w:r>
                    <w:rPr>
                      <w:rFonts w:cs="Times New Roman"/>
                      <w:color w:val="auto"/>
                    </w:rPr>
                    <w:t>全封闭</w:t>
                  </w:r>
                  <w:r>
                    <w:rPr>
                      <w:rFonts w:hint="eastAsia" w:cs="Times New Roman"/>
                      <w:color w:val="auto"/>
                    </w:rPr>
                    <w:t>车间</w:t>
                  </w:r>
                </w:p>
              </w:tc>
              <w:tc>
                <w:tcPr>
                  <w:tcW w:w="643" w:type="pct"/>
                  <w:tcBorders>
                    <w:tl2br w:val="nil"/>
                    <w:tr2bl w:val="nil"/>
                  </w:tcBorders>
                  <w:vAlign w:val="center"/>
                </w:tcPr>
                <w:p w14:paraId="6BA3621F">
                  <w:pPr>
                    <w:pStyle w:val="96"/>
                    <w:spacing w:line="320" w:lineRule="exact"/>
                    <w:rPr>
                      <w:rFonts w:cs="Times New Roman"/>
                      <w:color w:val="auto"/>
                    </w:rPr>
                  </w:pPr>
                  <w:r>
                    <w:rPr>
                      <w:rFonts w:hint="eastAsia" w:cs="Times New Roman"/>
                      <w:color w:val="auto"/>
                    </w:rPr>
                    <w:t>2.53</w:t>
                  </w:r>
                </w:p>
              </w:tc>
            </w:tr>
            <w:tr w14:paraId="6620C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25" w:hRule="atLeast"/>
                <w:jc w:val="center"/>
              </w:trPr>
              <w:tc>
                <w:tcPr>
                  <w:tcW w:w="621" w:type="pct"/>
                  <w:tcBorders>
                    <w:tl2br w:val="nil"/>
                    <w:tr2bl w:val="nil"/>
                  </w:tcBorders>
                  <w:vAlign w:val="center"/>
                </w:tcPr>
                <w:p w14:paraId="14E08483">
                  <w:pPr>
                    <w:pStyle w:val="96"/>
                    <w:spacing w:line="320" w:lineRule="exact"/>
                    <w:rPr>
                      <w:rFonts w:cs="Times New Roman"/>
                      <w:color w:val="auto"/>
                    </w:rPr>
                  </w:pPr>
                  <w:r>
                    <w:rPr>
                      <w:rFonts w:hint="eastAsia" w:cs="Times New Roman"/>
                      <w:color w:val="auto"/>
                    </w:rPr>
                    <w:t>维修车间</w:t>
                  </w:r>
                </w:p>
              </w:tc>
              <w:tc>
                <w:tcPr>
                  <w:tcW w:w="631" w:type="pct"/>
                  <w:tcBorders>
                    <w:tl2br w:val="nil"/>
                    <w:tr2bl w:val="nil"/>
                  </w:tcBorders>
                  <w:vAlign w:val="center"/>
                </w:tcPr>
                <w:p w14:paraId="3A39EFFF">
                  <w:pPr>
                    <w:pStyle w:val="96"/>
                    <w:spacing w:line="320" w:lineRule="exact"/>
                    <w:rPr>
                      <w:rFonts w:cs="Times New Roman"/>
                      <w:color w:val="auto"/>
                    </w:rPr>
                  </w:pPr>
                  <w:r>
                    <w:rPr>
                      <w:rFonts w:hint="eastAsia" w:cs="Times New Roman"/>
                      <w:color w:val="auto"/>
                    </w:rPr>
                    <w:t>焊接</w:t>
                  </w:r>
                </w:p>
              </w:tc>
              <w:tc>
                <w:tcPr>
                  <w:tcW w:w="723" w:type="pct"/>
                  <w:tcBorders>
                    <w:tl2br w:val="nil"/>
                    <w:tr2bl w:val="nil"/>
                  </w:tcBorders>
                  <w:vAlign w:val="center"/>
                </w:tcPr>
                <w:p w14:paraId="52E3DA53">
                  <w:pPr>
                    <w:pStyle w:val="96"/>
                    <w:spacing w:line="320" w:lineRule="exact"/>
                    <w:rPr>
                      <w:rFonts w:cs="Times New Roman"/>
                      <w:color w:val="auto"/>
                    </w:rPr>
                  </w:pPr>
                  <w:r>
                    <w:rPr>
                      <w:rFonts w:hint="eastAsia" w:cs="Times New Roman"/>
                      <w:color w:val="auto"/>
                    </w:rPr>
                    <w:t>烟尘</w:t>
                  </w:r>
                </w:p>
              </w:tc>
              <w:tc>
                <w:tcPr>
                  <w:tcW w:w="773" w:type="pct"/>
                  <w:tcBorders>
                    <w:tl2br w:val="nil"/>
                    <w:tr2bl w:val="nil"/>
                  </w:tcBorders>
                  <w:vAlign w:val="center"/>
                </w:tcPr>
                <w:p w14:paraId="706D3F79">
                  <w:pPr>
                    <w:pStyle w:val="96"/>
                    <w:spacing w:line="320" w:lineRule="exact"/>
                    <w:rPr>
                      <w:rFonts w:cs="Times New Roman"/>
                      <w:color w:val="auto"/>
                    </w:rPr>
                  </w:pPr>
                  <w:r>
                    <w:rPr>
                      <w:rFonts w:hint="eastAsia" w:cs="Times New Roman"/>
                      <w:color w:val="auto"/>
                    </w:rPr>
                    <w:t>0.038</w:t>
                  </w:r>
                </w:p>
              </w:tc>
              <w:tc>
                <w:tcPr>
                  <w:tcW w:w="1606" w:type="pct"/>
                  <w:tcBorders>
                    <w:tl2br w:val="nil"/>
                    <w:tr2bl w:val="nil"/>
                  </w:tcBorders>
                  <w:vAlign w:val="center"/>
                </w:tcPr>
                <w:p w14:paraId="098CFC98">
                  <w:pPr>
                    <w:pStyle w:val="96"/>
                    <w:spacing w:line="320" w:lineRule="exact"/>
                    <w:rPr>
                      <w:rFonts w:cs="Times New Roman"/>
                      <w:color w:val="auto"/>
                    </w:rPr>
                  </w:pPr>
                  <w:r>
                    <w:rPr>
                      <w:rFonts w:cs="Times New Roman"/>
                      <w:color w:val="auto"/>
                    </w:rPr>
                    <w:t>移动式烟尘净化器</w:t>
                  </w:r>
                </w:p>
              </w:tc>
              <w:tc>
                <w:tcPr>
                  <w:tcW w:w="643" w:type="pct"/>
                  <w:tcBorders>
                    <w:tl2br w:val="nil"/>
                    <w:tr2bl w:val="nil"/>
                  </w:tcBorders>
                  <w:vAlign w:val="center"/>
                </w:tcPr>
                <w:p w14:paraId="2D2B3237">
                  <w:pPr>
                    <w:pStyle w:val="96"/>
                    <w:spacing w:line="320" w:lineRule="exact"/>
                    <w:rPr>
                      <w:rFonts w:cs="Times New Roman"/>
                      <w:color w:val="auto"/>
                    </w:rPr>
                  </w:pPr>
                  <w:r>
                    <w:rPr>
                      <w:rFonts w:hint="eastAsia" w:cs="Times New Roman"/>
                      <w:color w:val="auto"/>
                    </w:rPr>
                    <w:t>0.007</w:t>
                  </w:r>
                </w:p>
              </w:tc>
            </w:tr>
            <w:tr w14:paraId="21D8B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25" w:hRule="atLeast"/>
                <w:jc w:val="center"/>
              </w:trPr>
              <w:tc>
                <w:tcPr>
                  <w:tcW w:w="621" w:type="pct"/>
                  <w:tcBorders>
                    <w:tl2br w:val="nil"/>
                    <w:tr2bl w:val="nil"/>
                  </w:tcBorders>
                  <w:vAlign w:val="center"/>
                </w:tcPr>
                <w:p w14:paraId="7FF320FF">
                  <w:pPr>
                    <w:pStyle w:val="96"/>
                    <w:spacing w:line="320" w:lineRule="exact"/>
                    <w:rPr>
                      <w:rFonts w:cs="Times New Roman"/>
                      <w:color w:val="auto"/>
                    </w:rPr>
                  </w:pPr>
                  <w:r>
                    <w:rPr>
                      <w:rFonts w:hint="eastAsia" w:cs="Times New Roman"/>
                      <w:color w:val="auto"/>
                    </w:rPr>
                    <w:t>危废暂存库</w:t>
                  </w:r>
                </w:p>
              </w:tc>
              <w:tc>
                <w:tcPr>
                  <w:tcW w:w="631" w:type="pct"/>
                  <w:tcBorders>
                    <w:tl2br w:val="nil"/>
                    <w:tr2bl w:val="nil"/>
                  </w:tcBorders>
                  <w:vAlign w:val="center"/>
                </w:tcPr>
                <w:p w14:paraId="4E0C7A66">
                  <w:pPr>
                    <w:pStyle w:val="96"/>
                    <w:spacing w:line="320" w:lineRule="exact"/>
                    <w:rPr>
                      <w:rFonts w:cs="Times New Roman"/>
                      <w:color w:val="auto"/>
                      <w:szCs w:val="24"/>
                    </w:rPr>
                  </w:pPr>
                  <w:r>
                    <w:rPr>
                      <w:rFonts w:cs="Times New Roman"/>
                      <w:color w:val="auto"/>
                    </w:rPr>
                    <w:t>废矿物油贮存</w:t>
                  </w:r>
                </w:p>
              </w:tc>
              <w:tc>
                <w:tcPr>
                  <w:tcW w:w="723" w:type="pct"/>
                  <w:tcBorders>
                    <w:tl2br w:val="nil"/>
                    <w:tr2bl w:val="nil"/>
                  </w:tcBorders>
                  <w:vAlign w:val="center"/>
                </w:tcPr>
                <w:p w14:paraId="24F83167">
                  <w:pPr>
                    <w:pStyle w:val="96"/>
                    <w:spacing w:line="320" w:lineRule="exact"/>
                    <w:rPr>
                      <w:rFonts w:cs="Times New Roman"/>
                      <w:color w:val="auto"/>
                      <w:szCs w:val="24"/>
                    </w:rPr>
                  </w:pPr>
                  <w:r>
                    <w:rPr>
                      <w:rFonts w:hint="eastAsia" w:cs="Times New Roman"/>
                      <w:color w:val="auto"/>
                    </w:rPr>
                    <w:t>非甲烷总烃</w:t>
                  </w:r>
                </w:p>
              </w:tc>
              <w:tc>
                <w:tcPr>
                  <w:tcW w:w="773" w:type="pct"/>
                  <w:tcBorders>
                    <w:tl2br w:val="nil"/>
                    <w:tr2bl w:val="nil"/>
                  </w:tcBorders>
                  <w:vAlign w:val="center"/>
                </w:tcPr>
                <w:p w14:paraId="0F6E3560">
                  <w:pPr>
                    <w:pStyle w:val="96"/>
                    <w:spacing w:line="320" w:lineRule="exact"/>
                    <w:rPr>
                      <w:rFonts w:hint="default" w:eastAsia="宋体" w:cs="Times New Roman"/>
                      <w:color w:val="auto"/>
                      <w:szCs w:val="24"/>
                      <w:lang w:val="en-US" w:eastAsia="zh-CN"/>
                    </w:rPr>
                  </w:pPr>
                  <w:r>
                    <w:rPr>
                      <w:rFonts w:hint="eastAsia" w:cs="Times New Roman"/>
                      <w:color w:val="auto"/>
                    </w:rPr>
                    <w:t>0.0</w:t>
                  </w:r>
                  <w:r>
                    <w:rPr>
                      <w:rFonts w:hint="eastAsia" w:cs="Times New Roman"/>
                      <w:color w:val="auto"/>
                      <w:lang w:val="en-US" w:eastAsia="zh-CN"/>
                    </w:rPr>
                    <w:t>01</w:t>
                  </w:r>
                </w:p>
              </w:tc>
              <w:tc>
                <w:tcPr>
                  <w:tcW w:w="1606" w:type="pct"/>
                  <w:tcBorders>
                    <w:tl2br w:val="nil"/>
                    <w:tr2bl w:val="nil"/>
                  </w:tcBorders>
                  <w:vAlign w:val="center"/>
                </w:tcPr>
                <w:p w14:paraId="774790D4">
                  <w:pPr>
                    <w:pStyle w:val="96"/>
                    <w:spacing w:line="320" w:lineRule="exact"/>
                    <w:rPr>
                      <w:rFonts w:cs="Times New Roman"/>
                      <w:color w:val="auto"/>
                      <w:szCs w:val="24"/>
                    </w:rPr>
                  </w:pPr>
                  <w:r>
                    <w:rPr>
                      <w:rFonts w:cs="Times New Roman"/>
                      <w:color w:val="auto"/>
                    </w:rPr>
                    <w:t>废机油贮存在加盖密封的铁皮桶</w:t>
                  </w:r>
                  <w:r>
                    <w:rPr>
                      <w:rFonts w:hint="eastAsia" w:cs="Times New Roman"/>
                      <w:color w:val="auto"/>
                    </w:rPr>
                    <w:t>，加强通风</w:t>
                  </w:r>
                </w:p>
              </w:tc>
              <w:tc>
                <w:tcPr>
                  <w:tcW w:w="643" w:type="pct"/>
                  <w:tcBorders>
                    <w:tl2br w:val="nil"/>
                    <w:tr2bl w:val="nil"/>
                  </w:tcBorders>
                  <w:vAlign w:val="center"/>
                </w:tcPr>
                <w:p w14:paraId="611D1165">
                  <w:pPr>
                    <w:pStyle w:val="96"/>
                    <w:spacing w:line="320" w:lineRule="exact"/>
                    <w:rPr>
                      <w:rFonts w:hint="default" w:eastAsia="宋体" w:cs="Times New Roman"/>
                      <w:color w:val="auto"/>
                      <w:szCs w:val="24"/>
                      <w:lang w:val="en-US" w:eastAsia="zh-CN"/>
                    </w:rPr>
                  </w:pPr>
                  <w:r>
                    <w:rPr>
                      <w:rFonts w:hint="eastAsia" w:cs="Times New Roman"/>
                      <w:color w:val="auto"/>
                    </w:rPr>
                    <w:t>0.0</w:t>
                  </w:r>
                  <w:r>
                    <w:rPr>
                      <w:rFonts w:hint="eastAsia" w:cs="Times New Roman"/>
                      <w:color w:val="auto"/>
                      <w:lang w:val="en-US" w:eastAsia="zh-CN"/>
                    </w:rPr>
                    <w:t>01</w:t>
                  </w:r>
                </w:p>
              </w:tc>
            </w:tr>
          </w:tbl>
          <w:p w14:paraId="165097D6">
            <w:pPr>
              <w:spacing w:line="480" w:lineRule="exact"/>
              <w:ind w:firstLine="482" w:firstLineChars="200"/>
              <w:rPr>
                <w:b/>
                <w:bCs/>
                <w:color w:val="auto"/>
              </w:rPr>
            </w:pPr>
            <w:r>
              <w:rPr>
                <w:rFonts w:hint="eastAsia"/>
                <w:b/>
                <w:bCs/>
                <w:color w:val="auto"/>
              </w:rPr>
              <w:t>1.2排放口基本信息</w:t>
            </w:r>
          </w:p>
          <w:p w14:paraId="55B5125A">
            <w:pPr>
              <w:adjustRightInd w:val="0"/>
              <w:snapToGrid w:val="0"/>
              <w:spacing w:line="480" w:lineRule="exact"/>
              <w:ind w:firstLine="480" w:firstLineChars="200"/>
              <w:rPr>
                <w:color w:val="auto"/>
              </w:rPr>
            </w:pPr>
            <w:r>
              <w:rPr>
                <w:rFonts w:hint="eastAsia"/>
                <w:color w:val="auto"/>
              </w:rPr>
              <w:t>排放口基本信息见下表。</w:t>
            </w:r>
          </w:p>
          <w:p w14:paraId="5911F46B">
            <w:pPr>
              <w:spacing w:line="480" w:lineRule="exact"/>
              <w:jc w:val="center"/>
              <w:rPr>
                <w:b/>
                <w:bCs/>
                <w:color w:val="auto"/>
              </w:rPr>
            </w:pPr>
            <w:r>
              <w:rPr>
                <w:b/>
                <w:bCs/>
                <w:color w:val="auto"/>
              </w:rPr>
              <w:t>表</w:t>
            </w:r>
            <w:r>
              <w:rPr>
                <w:rFonts w:hint="eastAsia"/>
                <w:b/>
                <w:bCs/>
                <w:color w:val="auto"/>
              </w:rPr>
              <w:t xml:space="preserve">4-3  </w:t>
            </w:r>
            <w:r>
              <w:rPr>
                <w:b/>
                <w:bCs/>
                <w:color w:val="auto"/>
              </w:rPr>
              <w:t xml:space="preserve">  </w:t>
            </w:r>
            <w:r>
              <w:rPr>
                <w:rFonts w:hint="eastAsia"/>
                <w:b/>
                <w:bCs/>
                <w:color w:val="auto"/>
              </w:rPr>
              <w:t>排放口基本情况一览表</w:t>
            </w:r>
          </w:p>
          <w:tbl>
            <w:tblPr>
              <w:tblStyle w:val="26"/>
              <w:tblW w:w="4994"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18"/>
              <w:gridCol w:w="1335"/>
              <w:gridCol w:w="1283"/>
              <w:gridCol w:w="1172"/>
              <w:gridCol w:w="866"/>
              <w:gridCol w:w="1045"/>
              <w:gridCol w:w="918"/>
              <w:gridCol w:w="919"/>
            </w:tblGrid>
            <w:tr w14:paraId="782B1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489" w:type="pct"/>
                  <w:vMerge w:val="restart"/>
                  <w:tcBorders>
                    <w:tl2br w:val="nil"/>
                    <w:tr2bl w:val="nil"/>
                  </w:tcBorders>
                  <w:vAlign w:val="center"/>
                </w:tcPr>
                <w:p w14:paraId="34DFC01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 w:val="21"/>
                      <w:szCs w:val="21"/>
                    </w:rPr>
                  </w:pPr>
                  <w:r>
                    <w:rPr>
                      <w:b/>
                      <w:bCs/>
                      <w:color w:val="auto"/>
                      <w:sz w:val="21"/>
                      <w:szCs w:val="21"/>
                    </w:rPr>
                    <w:t>编号</w:t>
                  </w:r>
                </w:p>
              </w:tc>
              <w:tc>
                <w:tcPr>
                  <w:tcW w:w="798" w:type="pct"/>
                  <w:vMerge w:val="restart"/>
                  <w:tcBorders>
                    <w:tl2br w:val="nil"/>
                    <w:tr2bl w:val="nil"/>
                  </w:tcBorders>
                  <w:vAlign w:val="center"/>
                </w:tcPr>
                <w:p w14:paraId="049AB10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 w:val="21"/>
                      <w:szCs w:val="21"/>
                    </w:rPr>
                  </w:pPr>
                  <w:r>
                    <w:rPr>
                      <w:b/>
                      <w:bCs/>
                      <w:color w:val="auto"/>
                      <w:sz w:val="21"/>
                      <w:szCs w:val="21"/>
                    </w:rPr>
                    <w:t>名称</w:t>
                  </w:r>
                </w:p>
              </w:tc>
              <w:tc>
                <w:tcPr>
                  <w:tcW w:w="1469" w:type="pct"/>
                  <w:gridSpan w:val="2"/>
                  <w:tcBorders>
                    <w:tl2br w:val="nil"/>
                    <w:tr2bl w:val="nil"/>
                  </w:tcBorders>
                  <w:vAlign w:val="center"/>
                </w:tcPr>
                <w:p w14:paraId="25E3EE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 w:val="21"/>
                      <w:szCs w:val="21"/>
                    </w:rPr>
                  </w:pPr>
                  <w:r>
                    <w:rPr>
                      <w:b/>
                      <w:bCs/>
                      <w:color w:val="auto"/>
                      <w:sz w:val="21"/>
                      <w:szCs w:val="21"/>
                    </w:rPr>
                    <w:t>排气筒底部中心坐标（°）</w:t>
                  </w:r>
                </w:p>
              </w:tc>
              <w:tc>
                <w:tcPr>
                  <w:tcW w:w="518" w:type="pct"/>
                  <w:vMerge w:val="restart"/>
                  <w:tcBorders>
                    <w:tl2br w:val="nil"/>
                    <w:tr2bl w:val="nil"/>
                  </w:tcBorders>
                  <w:vAlign w:val="center"/>
                </w:tcPr>
                <w:p w14:paraId="2651075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 w:val="21"/>
                      <w:szCs w:val="21"/>
                    </w:rPr>
                  </w:pPr>
                  <w:r>
                    <w:rPr>
                      <w:b/>
                      <w:bCs/>
                      <w:color w:val="auto"/>
                      <w:sz w:val="21"/>
                      <w:szCs w:val="21"/>
                    </w:rPr>
                    <w:t>排气筒高度（m）</w:t>
                  </w:r>
                </w:p>
              </w:tc>
              <w:tc>
                <w:tcPr>
                  <w:tcW w:w="625" w:type="pct"/>
                  <w:vMerge w:val="restart"/>
                  <w:tcBorders>
                    <w:tl2br w:val="nil"/>
                    <w:tr2bl w:val="nil"/>
                  </w:tcBorders>
                  <w:vAlign w:val="center"/>
                </w:tcPr>
                <w:p w14:paraId="1867EC7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 w:val="21"/>
                      <w:szCs w:val="21"/>
                    </w:rPr>
                  </w:pPr>
                  <w:r>
                    <w:rPr>
                      <w:b/>
                      <w:bCs/>
                      <w:color w:val="auto"/>
                      <w:sz w:val="21"/>
                      <w:szCs w:val="21"/>
                    </w:rPr>
                    <w:t>排气筒出口内径</w:t>
                  </w:r>
                  <w:r>
                    <w:rPr>
                      <w:rFonts w:hint="eastAsia"/>
                      <w:b/>
                      <w:bCs/>
                      <w:color w:val="auto"/>
                      <w:sz w:val="21"/>
                      <w:szCs w:val="21"/>
                    </w:rPr>
                    <w:t>(</w:t>
                  </w:r>
                  <w:r>
                    <w:rPr>
                      <w:b/>
                      <w:bCs/>
                      <w:color w:val="auto"/>
                      <w:sz w:val="21"/>
                      <w:szCs w:val="21"/>
                    </w:rPr>
                    <w:t>m</w:t>
                  </w:r>
                  <w:r>
                    <w:rPr>
                      <w:rFonts w:hint="eastAsia"/>
                      <w:b/>
                      <w:bCs/>
                      <w:color w:val="auto"/>
                      <w:sz w:val="21"/>
                      <w:szCs w:val="21"/>
                    </w:rPr>
                    <w:t>)</w:t>
                  </w:r>
                </w:p>
              </w:tc>
              <w:tc>
                <w:tcPr>
                  <w:tcW w:w="549" w:type="pct"/>
                  <w:vMerge w:val="restart"/>
                  <w:tcBorders>
                    <w:tl2br w:val="nil"/>
                    <w:tr2bl w:val="nil"/>
                  </w:tcBorders>
                  <w:vAlign w:val="center"/>
                </w:tcPr>
                <w:p w14:paraId="335B3F2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 w:val="21"/>
                      <w:szCs w:val="21"/>
                    </w:rPr>
                  </w:pPr>
                  <w:r>
                    <w:rPr>
                      <w:b/>
                      <w:bCs/>
                      <w:color w:val="auto"/>
                      <w:sz w:val="21"/>
                      <w:szCs w:val="21"/>
                    </w:rPr>
                    <w:t>烟气温度（℃）</w:t>
                  </w:r>
                </w:p>
              </w:tc>
              <w:tc>
                <w:tcPr>
                  <w:tcW w:w="549" w:type="pct"/>
                  <w:vMerge w:val="restart"/>
                  <w:tcBorders>
                    <w:tl2br w:val="nil"/>
                    <w:tr2bl w:val="nil"/>
                  </w:tcBorders>
                  <w:vAlign w:val="center"/>
                </w:tcPr>
                <w:p w14:paraId="1211053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 w:val="21"/>
                      <w:szCs w:val="21"/>
                    </w:rPr>
                  </w:pPr>
                  <w:r>
                    <w:rPr>
                      <w:rFonts w:hint="eastAsia"/>
                      <w:b/>
                      <w:bCs/>
                      <w:color w:val="auto"/>
                      <w:sz w:val="21"/>
                      <w:szCs w:val="21"/>
                    </w:rPr>
                    <w:t>烟气排放速率</w:t>
                  </w:r>
                </w:p>
              </w:tc>
            </w:tr>
            <w:tr w14:paraId="7D679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89" w:type="pct"/>
                  <w:vMerge w:val="continue"/>
                  <w:tcBorders>
                    <w:tl2br w:val="nil"/>
                    <w:tr2bl w:val="nil"/>
                  </w:tcBorders>
                  <w:vAlign w:val="center"/>
                </w:tcPr>
                <w:p w14:paraId="2F0435F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 w:val="21"/>
                      <w:szCs w:val="21"/>
                    </w:rPr>
                  </w:pPr>
                </w:p>
              </w:tc>
              <w:tc>
                <w:tcPr>
                  <w:tcW w:w="798" w:type="pct"/>
                  <w:vMerge w:val="continue"/>
                  <w:tcBorders>
                    <w:tl2br w:val="nil"/>
                    <w:tr2bl w:val="nil"/>
                  </w:tcBorders>
                  <w:vAlign w:val="center"/>
                </w:tcPr>
                <w:p w14:paraId="61DCB73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 w:val="21"/>
                      <w:szCs w:val="21"/>
                    </w:rPr>
                  </w:pPr>
                </w:p>
              </w:tc>
              <w:tc>
                <w:tcPr>
                  <w:tcW w:w="767" w:type="pct"/>
                  <w:tcBorders>
                    <w:tl2br w:val="nil"/>
                    <w:tr2bl w:val="nil"/>
                  </w:tcBorders>
                  <w:vAlign w:val="center"/>
                </w:tcPr>
                <w:p w14:paraId="4BA3873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 w:val="21"/>
                      <w:szCs w:val="21"/>
                    </w:rPr>
                  </w:pPr>
                  <w:r>
                    <w:rPr>
                      <w:b/>
                      <w:bCs/>
                      <w:color w:val="auto"/>
                      <w:sz w:val="21"/>
                      <w:szCs w:val="21"/>
                    </w:rPr>
                    <w:t>经度</w:t>
                  </w:r>
                </w:p>
              </w:tc>
              <w:tc>
                <w:tcPr>
                  <w:tcW w:w="701" w:type="pct"/>
                  <w:tcBorders>
                    <w:tl2br w:val="nil"/>
                    <w:tr2bl w:val="nil"/>
                  </w:tcBorders>
                  <w:vAlign w:val="center"/>
                </w:tcPr>
                <w:p w14:paraId="08A3EA8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b/>
                      <w:bCs/>
                      <w:color w:val="auto"/>
                      <w:sz w:val="21"/>
                      <w:szCs w:val="21"/>
                    </w:rPr>
                  </w:pPr>
                  <w:r>
                    <w:rPr>
                      <w:b/>
                      <w:bCs/>
                      <w:color w:val="auto"/>
                      <w:sz w:val="21"/>
                      <w:szCs w:val="21"/>
                    </w:rPr>
                    <w:t>纬度</w:t>
                  </w:r>
                </w:p>
              </w:tc>
              <w:tc>
                <w:tcPr>
                  <w:tcW w:w="518" w:type="pct"/>
                  <w:vMerge w:val="continue"/>
                  <w:tcBorders>
                    <w:tl2br w:val="nil"/>
                    <w:tr2bl w:val="nil"/>
                  </w:tcBorders>
                  <w:vAlign w:val="center"/>
                </w:tcPr>
                <w:p w14:paraId="59B214C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 w:val="21"/>
                      <w:szCs w:val="21"/>
                    </w:rPr>
                  </w:pPr>
                </w:p>
              </w:tc>
              <w:tc>
                <w:tcPr>
                  <w:tcW w:w="625" w:type="pct"/>
                  <w:vMerge w:val="continue"/>
                  <w:tcBorders>
                    <w:tl2br w:val="nil"/>
                    <w:tr2bl w:val="nil"/>
                  </w:tcBorders>
                  <w:vAlign w:val="center"/>
                </w:tcPr>
                <w:p w14:paraId="0CE6DB3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 w:val="21"/>
                      <w:szCs w:val="21"/>
                    </w:rPr>
                  </w:pPr>
                </w:p>
              </w:tc>
              <w:tc>
                <w:tcPr>
                  <w:tcW w:w="549" w:type="pct"/>
                  <w:vMerge w:val="continue"/>
                  <w:tcBorders>
                    <w:tl2br w:val="nil"/>
                    <w:tr2bl w:val="nil"/>
                  </w:tcBorders>
                  <w:vAlign w:val="center"/>
                </w:tcPr>
                <w:p w14:paraId="22BBD8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 w:val="21"/>
                      <w:szCs w:val="21"/>
                    </w:rPr>
                  </w:pPr>
                </w:p>
              </w:tc>
              <w:tc>
                <w:tcPr>
                  <w:tcW w:w="549" w:type="pct"/>
                  <w:vMerge w:val="continue"/>
                  <w:tcBorders>
                    <w:tl2br w:val="nil"/>
                    <w:tr2bl w:val="nil"/>
                  </w:tcBorders>
                  <w:vAlign w:val="center"/>
                </w:tcPr>
                <w:p w14:paraId="597AB40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 w:val="21"/>
                      <w:szCs w:val="21"/>
                    </w:rPr>
                  </w:pPr>
                </w:p>
              </w:tc>
            </w:tr>
            <w:tr w14:paraId="3AA27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89" w:type="pct"/>
                  <w:tcBorders>
                    <w:tl2br w:val="nil"/>
                    <w:tr2bl w:val="nil"/>
                  </w:tcBorders>
                  <w:vAlign w:val="center"/>
                </w:tcPr>
                <w:p w14:paraId="6B921CC0">
                  <w:pPr>
                    <w:pStyle w:val="96"/>
                    <w:keepNext w:val="0"/>
                    <w:keepLines w:val="0"/>
                    <w:pageBreakBefore w:val="0"/>
                    <w:widowControl w:val="0"/>
                    <w:kinsoku/>
                    <w:wordWrap/>
                    <w:overflowPunct/>
                    <w:topLinePunct w:val="0"/>
                    <w:autoSpaceDE/>
                    <w:autoSpaceDN/>
                    <w:bidi w:val="0"/>
                    <w:adjustRightInd w:val="0"/>
                    <w:snapToGrid w:val="0"/>
                    <w:spacing w:line="320" w:lineRule="exact"/>
                    <w:ind w:left="-12" w:leftChars="-5" w:right="-12" w:rightChars="-5"/>
                    <w:textAlignment w:val="auto"/>
                    <w:rPr>
                      <w:rFonts w:cs="Times New Roman"/>
                      <w:color w:val="auto"/>
                    </w:rPr>
                  </w:pPr>
                  <w:r>
                    <w:rPr>
                      <w:rFonts w:cs="Times New Roman"/>
                      <w:color w:val="auto"/>
                    </w:rPr>
                    <w:t>DA00</w:t>
                  </w:r>
                  <w:r>
                    <w:rPr>
                      <w:rFonts w:hint="eastAsia" w:cs="Times New Roman"/>
                      <w:color w:val="auto"/>
                    </w:rPr>
                    <w:t>1</w:t>
                  </w:r>
                </w:p>
              </w:tc>
              <w:tc>
                <w:tcPr>
                  <w:tcW w:w="798" w:type="pct"/>
                  <w:tcBorders>
                    <w:tl2br w:val="nil"/>
                    <w:tr2bl w:val="nil"/>
                  </w:tcBorders>
                  <w:vAlign w:val="center"/>
                </w:tcPr>
                <w:p w14:paraId="0FE57C8D">
                  <w:pPr>
                    <w:pStyle w:val="96"/>
                    <w:keepNext w:val="0"/>
                    <w:keepLines w:val="0"/>
                    <w:pageBreakBefore w:val="0"/>
                    <w:widowControl w:val="0"/>
                    <w:kinsoku/>
                    <w:wordWrap/>
                    <w:overflowPunct/>
                    <w:topLinePunct w:val="0"/>
                    <w:autoSpaceDE/>
                    <w:autoSpaceDN/>
                    <w:bidi w:val="0"/>
                    <w:adjustRightInd w:val="0"/>
                    <w:snapToGrid w:val="0"/>
                    <w:spacing w:line="320" w:lineRule="exact"/>
                    <w:ind w:left="-12" w:leftChars="-5" w:right="-12" w:rightChars="-5"/>
                    <w:textAlignment w:val="auto"/>
                    <w:rPr>
                      <w:rFonts w:cs="Times New Roman"/>
                      <w:color w:val="auto"/>
                    </w:rPr>
                  </w:pPr>
                  <w:r>
                    <w:rPr>
                      <w:rFonts w:hint="eastAsia" w:cs="Times New Roman"/>
                      <w:color w:val="auto"/>
                    </w:rPr>
                    <w:t>废钢</w:t>
                  </w:r>
                  <w:r>
                    <w:rPr>
                      <w:rFonts w:cs="Times New Roman"/>
                      <w:color w:val="auto"/>
                    </w:rPr>
                    <w:t>破碎、剪切</w:t>
                  </w:r>
                  <w:r>
                    <w:rPr>
                      <w:rFonts w:hint="eastAsia" w:cs="Times New Roman"/>
                      <w:color w:val="auto"/>
                    </w:rPr>
                    <w:t>工序排气筒</w:t>
                  </w:r>
                </w:p>
              </w:tc>
              <w:tc>
                <w:tcPr>
                  <w:tcW w:w="767" w:type="pct"/>
                  <w:tcBorders>
                    <w:tl2br w:val="nil"/>
                    <w:tr2bl w:val="nil"/>
                  </w:tcBorders>
                  <w:vAlign w:val="center"/>
                </w:tcPr>
                <w:p w14:paraId="10AD448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 w:val="21"/>
                      <w:szCs w:val="21"/>
                    </w:rPr>
                  </w:pPr>
                  <w:r>
                    <w:rPr>
                      <w:rFonts w:hint="eastAsia"/>
                      <w:color w:val="auto"/>
                      <w:sz w:val="21"/>
                      <w:szCs w:val="21"/>
                    </w:rPr>
                    <w:t>106.765942</w:t>
                  </w:r>
                </w:p>
              </w:tc>
              <w:tc>
                <w:tcPr>
                  <w:tcW w:w="701" w:type="pct"/>
                  <w:tcBorders>
                    <w:tl2br w:val="nil"/>
                    <w:tr2bl w:val="nil"/>
                  </w:tcBorders>
                  <w:vAlign w:val="center"/>
                </w:tcPr>
                <w:p w14:paraId="73D5F70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 w:val="21"/>
                      <w:szCs w:val="21"/>
                    </w:rPr>
                  </w:pPr>
                  <w:r>
                    <w:rPr>
                      <w:rFonts w:hint="eastAsia"/>
                      <w:color w:val="auto"/>
                      <w:sz w:val="21"/>
                      <w:szCs w:val="21"/>
                    </w:rPr>
                    <w:t>39.883524</w:t>
                  </w:r>
                </w:p>
              </w:tc>
              <w:tc>
                <w:tcPr>
                  <w:tcW w:w="518" w:type="pct"/>
                  <w:tcBorders>
                    <w:tl2br w:val="nil"/>
                    <w:tr2bl w:val="nil"/>
                  </w:tcBorders>
                  <w:vAlign w:val="center"/>
                </w:tcPr>
                <w:p w14:paraId="1C2C129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 w:val="21"/>
                      <w:szCs w:val="21"/>
                    </w:rPr>
                  </w:pPr>
                  <w:r>
                    <w:rPr>
                      <w:rFonts w:hint="eastAsia"/>
                      <w:color w:val="auto"/>
                      <w:sz w:val="21"/>
                      <w:szCs w:val="21"/>
                    </w:rPr>
                    <w:t>30</w:t>
                  </w:r>
                </w:p>
              </w:tc>
              <w:tc>
                <w:tcPr>
                  <w:tcW w:w="625" w:type="pct"/>
                  <w:tcBorders>
                    <w:tl2br w:val="nil"/>
                    <w:tr2bl w:val="nil"/>
                  </w:tcBorders>
                  <w:vAlign w:val="center"/>
                </w:tcPr>
                <w:p w14:paraId="470443C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 w:val="21"/>
                      <w:szCs w:val="21"/>
                    </w:rPr>
                  </w:pPr>
                  <w:r>
                    <w:rPr>
                      <w:rFonts w:hint="eastAsia"/>
                      <w:color w:val="auto"/>
                      <w:sz w:val="21"/>
                      <w:szCs w:val="21"/>
                    </w:rPr>
                    <w:t>2.0</w:t>
                  </w:r>
                </w:p>
              </w:tc>
              <w:tc>
                <w:tcPr>
                  <w:tcW w:w="549" w:type="pct"/>
                  <w:tcBorders>
                    <w:tl2br w:val="nil"/>
                    <w:tr2bl w:val="nil"/>
                  </w:tcBorders>
                  <w:vAlign w:val="center"/>
                </w:tcPr>
                <w:p w14:paraId="0D47AC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 w:val="21"/>
                      <w:szCs w:val="21"/>
                    </w:rPr>
                  </w:pPr>
                  <w:r>
                    <w:rPr>
                      <w:rFonts w:hint="eastAsia"/>
                      <w:color w:val="auto"/>
                      <w:sz w:val="21"/>
                      <w:szCs w:val="21"/>
                    </w:rPr>
                    <w:t>常温</w:t>
                  </w:r>
                </w:p>
              </w:tc>
              <w:tc>
                <w:tcPr>
                  <w:tcW w:w="549" w:type="pct"/>
                  <w:tcBorders>
                    <w:tl2br w:val="nil"/>
                    <w:tr2bl w:val="nil"/>
                  </w:tcBorders>
                  <w:vAlign w:val="center"/>
                </w:tcPr>
                <w:p w14:paraId="39F12D0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color w:val="auto"/>
                      <w:sz w:val="21"/>
                      <w:szCs w:val="21"/>
                    </w:rPr>
                  </w:pPr>
                  <w:r>
                    <w:rPr>
                      <w:rFonts w:hint="eastAsia"/>
                      <w:color w:val="auto"/>
                      <w:sz w:val="21"/>
                      <w:szCs w:val="21"/>
                    </w:rPr>
                    <w:t>10.72</w:t>
                  </w:r>
                </w:p>
              </w:tc>
            </w:tr>
          </w:tbl>
          <w:p w14:paraId="56B53AA7">
            <w:pPr>
              <w:spacing w:line="480" w:lineRule="exact"/>
              <w:ind w:firstLine="482" w:firstLineChars="200"/>
              <w:rPr>
                <w:b/>
                <w:bCs/>
                <w:color w:val="auto"/>
              </w:rPr>
            </w:pPr>
            <w:r>
              <w:rPr>
                <w:rFonts w:hint="eastAsia"/>
                <w:b/>
                <w:bCs/>
                <w:color w:val="auto"/>
              </w:rPr>
              <w:t>1.3非正常排放情况分析</w:t>
            </w:r>
          </w:p>
          <w:p w14:paraId="2961D6AC">
            <w:pPr>
              <w:spacing w:line="480" w:lineRule="exact"/>
              <w:ind w:firstLine="480" w:firstLineChars="200"/>
              <w:rPr>
                <w:color w:val="auto"/>
              </w:rPr>
            </w:pPr>
            <w:r>
              <w:rPr>
                <w:color w:val="auto"/>
              </w:rPr>
              <w:t>项目非正常工况下废气排放情况详见下表。</w:t>
            </w:r>
          </w:p>
          <w:p w14:paraId="051898D4">
            <w:pPr>
              <w:pStyle w:val="23"/>
              <w:spacing w:before="0" w:after="0" w:line="480" w:lineRule="exact"/>
              <w:ind w:firstLine="0" w:firstLineChars="0"/>
              <w:jc w:val="center"/>
              <w:rPr>
                <w:color w:val="auto"/>
                <w:sz w:val="24"/>
                <w:szCs w:val="24"/>
              </w:rPr>
            </w:pPr>
            <w:r>
              <w:rPr>
                <w:rFonts w:hint="eastAsia"/>
                <w:b/>
                <w:bCs/>
                <w:color w:val="auto"/>
                <w:sz w:val="24"/>
                <w:szCs w:val="24"/>
              </w:rPr>
              <w:t>表4-4  非正常工况环境影响分析</w:t>
            </w:r>
          </w:p>
          <w:tbl>
            <w:tblPr>
              <w:tblStyle w:val="26"/>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7"/>
              <w:gridCol w:w="846"/>
              <w:gridCol w:w="1014"/>
              <w:gridCol w:w="789"/>
              <w:gridCol w:w="939"/>
              <w:gridCol w:w="1513"/>
              <w:gridCol w:w="1667"/>
            </w:tblGrid>
            <w:tr w14:paraId="6D3E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617" w:type="dxa"/>
                  <w:vAlign w:val="center"/>
                </w:tcPr>
                <w:p w14:paraId="72B62A9B">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事故情况</w:t>
                  </w:r>
                </w:p>
              </w:tc>
              <w:tc>
                <w:tcPr>
                  <w:tcW w:w="846" w:type="dxa"/>
                  <w:vAlign w:val="center"/>
                </w:tcPr>
                <w:p w14:paraId="0F5A829C">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频次（次）</w:t>
                  </w:r>
                </w:p>
              </w:tc>
              <w:tc>
                <w:tcPr>
                  <w:tcW w:w="1014" w:type="dxa"/>
                  <w:vAlign w:val="center"/>
                </w:tcPr>
                <w:p w14:paraId="49954D69">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vertAlign w:val="superscript"/>
                    </w:rPr>
                  </w:pPr>
                  <w:r>
                    <w:rPr>
                      <w:rFonts w:hint="eastAsia"/>
                      <w:color w:val="auto"/>
                      <w:sz w:val="21"/>
                      <w:szCs w:val="21"/>
                    </w:rPr>
                    <w:t>排放浓度mg/m</w:t>
                  </w:r>
                  <w:r>
                    <w:rPr>
                      <w:rFonts w:hint="eastAsia"/>
                      <w:color w:val="auto"/>
                      <w:sz w:val="21"/>
                      <w:szCs w:val="21"/>
                      <w:vertAlign w:val="superscript"/>
                    </w:rPr>
                    <w:t>3</w:t>
                  </w:r>
                </w:p>
              </w:tc>
              <w:tc>
                <w:tcPr>
                  <w:tcW w:w="789" w:type="dxa"/>
                  <w:vAlign w:val="center"/>
                </w:tcPr>
                <w:p w14:paraId="0031D880">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持续时间</w:t>
                  </w:r>
                </w:p>
              </w:tc>
              <w:tc>
                <w:tcPr>
                  <w:tcW w:w="939" w:type="dxa"/>
                  <w:vAlign w:val="center"/>
                </w:tcPr>
                <w:p w14:paraId="0E4ACCE7">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排放量</w:t>
                  </w:r>
                </w:p>
              </w:tc>
              <w:tc>
                <w:tcPr>
                  <w:tcW w:w="1513" w:type="dxa"/>
                  <w:vAlign w:val="center"/>
                </w:tcPr>
                <w:p w14:paraId="16222260">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处理措施</w:t>
                  </w:r>
                </w:p>
              </w:tc>
              <w:tc>
                <w:tcPr>
                  <w:tcW w:w="1667" w:type="dxa"/>
                  <w:vAlign w:val="center"/>
                </w:tcPr>
                <w:p w14:paraId="74943A86">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备注</w:t>
                  </w:r>
                </w:p>
              </w:tc>
            </w:tr>
            <w:tr w14:paraId="6862F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dxa"/>
                  <w:vAlign w:val="center"/>
                </w:tcPr>
                <w:p w14:paraId="1E3072C5">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设备检修</w:t>
                  </w:r>
                </w:p>
              </w:tc>
              <w:tc>
                <w:tcPr>
                  <w:tcW w:w="846" w:type="dxa"/>
                  <w:vAlign w:val="center"/>
                </w:tcPr>
                <w:p w14:paraId="7F97CF61">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1</w:t>
                  </w:r>
                </w:p>
              </w:tc>
              <w:tc>
                <w:tcPr>
                  <w:tcW w:w="1014" w:type="dxa"/>
                  <w:vAlign w:val="center"/>
                </w:tcPr>
                <w:p w14:paraId="74C8D72C">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0</w:t>
                  </w:r>
                </w:p>
              </w:tc>
              <w:tc>
                <w:tcPr>
                  <w:tcW w:w="789" w:type="dxa"/>
                  <w:vAlign w:val="center"/>
                </w:tcPr>
                <w:p w14:paraId="6E085743">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0</w:t>
                  </w:r>
                </w:p>
              </w:tc>
              <w:tc>
                <w:tcPr>
                  <w:tcW w:w="939" w:type="dxa"/>
                  <w:vAlign w:val="center"/>
                </w:tcPr>
                <w:p w14:paraId="00F60E78">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0</w:t>
                  </w:r>
                </w:p>
              </w:tc>
              <w:tc>
                <w:tcPr>
                  <w:tcW w:w="1513" w:type="dxa"/>
                  <w:vAlign w:val="center"/>
                </w:tcPr>
                <w:p w14:paraId="529A75FE">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w:t>
                  </w:r>
                </w:p>
              </w:tc>
              <w:tc>
                <w:tcPr>
                  <w:tcW w:w="1667" w:type="dxa"/>
                  <w:vAlign w:val="center"/>
                </w:tcPr>
                <w:p w14:paraId="176E289C">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设备检修时，生产设备提前关停，不运行</w:t>
                  </w:r>
                </w:p>
              </w:tc>
            </w:tr>
            <w:tr w14:paraId="2AFA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dxa"/>
                  <w:vAlign w:val="center"/>
                </w:tcPr>
                <w:p w14:paraId="44167209">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破碎、剪切除尘器运行异常</w:t>
                  </w:r>
                </w:p>
              </w:tc>
              <w:tc>
                <w:tcPr>
                  <w:tcW w:w="846" w:type="dxa"/>
                  <w:vAlign w:val="center"/>
                </w:tcPr>
                <w:p w14:paraId="4D62B459">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1</w:t>
                  </w:r>
                </w:p>
              </w:tc>
              <w:tc>
                <w:tcPr>
                  <w:tcW w:w="1014" w:type="dxa"/>
                  <w:vAlign w:val="center"/>
                </w:tcPr>
                <w:p w14:paraId="056702CB">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158.29</w:t>
                  </w:r>
                </w:p>
              </w:tc>
              <w:tc>
                <w:tcPr>
                  <w:tcW w:w="789" w:type="dxa"/>
                  <w:vAlign w:val="center"/>
                </w:tcPr>
                <w:p w14:paraId="28F597D4">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10min</w:t>
                  </w:r>
                </w:p>
              </w:tc>
              <w:tc>
                <w:tcPr>
                  <w:tcW w:w="939" w:type="dxa"/>
                  <w:vAlign w:val="center"/>
                </w:tcPr>
                <w:p w14:paraId="56E4E5C6">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5.28kg</w:t>
                  </w:r>
                </w:p>
              </w:tc>
              <w:tc>
                <w:tcPr>
                  <w:tcW w:w="1513" w:type="dxa"/>
                  <w:vAlign w:val="center"/>
                </w:tcPr>
                <w:p w14:paraId="40C770AB">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及时检查问题出处，关停生产设备，及时更换破损的布袋除尘器</w:t>
                  </w:r>
                </w:p>
              </w:tc>
              <w:tc>
                <w:tcPr>
                  <w:tcW w:w="1667" w:type="dxa"/>
                  <w:vAlign w:val="center"/>
                </w:tcPr>
                <w:p w14:paraId="056619A0">
                  <w:pPr>
                    <w:pStyle w:val="23"/>
                    <w:keepNext w:val="0"/>
                    <w:keepLines w:val="0"/>
                    <w:pageBreakBefore w:val="0"/>
                    <w:widowControl/>
                    <w:kinsoku/>
                    <w:wordWrap/>
                    <w:overflowPunct/>
                    <w:topLinePunct w:val="0"/>
                    <w:autoSpaceDE/>
                    <w:autoSpaceDN/>
                    <w:bidi w:val="0"/>
                    <w:adjustRightInd/>
                    <w:snapToGrid w:val="0"/>
                    <w:spacing w:before="0" w:after="0" w:line="320" w:lineRule="exact"/>
                    <w:ind w:right="0" w:firstLine="0" w:firstLineChars="0"/>
                    <w:jc w:val="center"/>
                    <w:textAlignment w:val="auto"/>
                    <w:rPr>
                      <w:color w:val="auto"/>
                      <w:sz w:val="21"/>
                      <w:szCs w:val="21"/>
                    </w:rPr>
                  </w:pPr>
                  <w:r>
                    <w:rPr>
                      <w:rFonts w:hint="eastAsia"/>
                      <w:color w:val="auto"/>
                      <w:sz w:val="21"/>
                      <w:szCs w:val="21"/>
                    </w:rPr>
                    <w:t>布袋除尘器破损，去除效率降为0</w:t>
                  </w:r>
                </w:p>
              </w:tc>
            </w:tr>
          </w:tbl>
          <w:p w14:paraId="3B04BEF9">
            <w:pPr>
              <w:spacing w:line="480" w:lineRule="exact"/>
              <w:ind w:firstLine="480"/>
              <w:jc w:val="left"/>
              <w:rPr>
                <w:b/>
                <w:bCs/>
                <w:color w:val="auto"/>
              </w:rPr>
            </w:pPr>
            <w:r>
              <w:rPr>
                <w:rFonts w:hint="eastAsia"/>
                <w:b/>
                <w:bCs/>
                <w:color w:val="auto"/>
                <w:lang w:bidi="ar"/>
              </w:rPr>
              <w:t>1.4</w:t>
            </w:r>
            <w:r>
              <w:rPr>
                <w:b/>
                <w:bCs/>
                <w:color w:val="auto"/>
              </w:rPr>
              <w:t>废气治理措施可行性分析</w:t>
            </w:r>
          </w:p>
          <w:p w14:paraId="3DE11388">
            <w:pPr>
              <w:pStyle w:val="36"/>
              <w:keepNext w:val="0"/>
              <w:keepLines w:val="0"/>
              <w:pageBreakBefore w:val="0"/>
              <w:widowControl/>
              <w:kinsoku/>
              <w:wordWrap/>
              <w:overflowPunct/>
              <w:topLinePunct w:val="0"/>
              <w:autoSpaceDE/>
              <w:autoSpaceDN/>
              <w:bidi w:val="0"/>
              <w:adjustRightInd/>
              <w:snapToGrid w:val="0"/>
              <w:spacing w:before="0" w:after="0" w:line="480" w:lineRule="exact"/>
              <w:ind w:right="0" w:firstLine="480" w:firstLineChars="200"/>
              <w:jc w:val="both"/>
              <w:textAlignment w:val="auto"/>
              <w:rPr>
                <w:bCs/>
                <w:color w:val="auto"/>
                <w:sz w:val="24"/>
                <w:szCs w:val="24"/>
                <w:lang w:bidi="ar"/>
              </w:rPr>
            </w:pPr>
            <w:r>
              <w:rPr>
                <w:rFonts w:hint="eastAsia"/>
                <w:bCs/>
                <w:color w:val="auto"/>
                <w:sz w:val="24"/>
                <w:szCs w:val="24"/>
                <w:lang w:bidi="ar"/>
              </w:rPr>
              <w:t>（1）有组织废气</w:t>
            </w:r>
          </w:p>
          <w:p w14:paraId="06E01C0E">
            <w:pPr>
              <w:pStyle w:val="36"/>
              <w:keepNext w:val="0"/>
              <w:keepLines w:val="0"/>
              <w:pageBreakBefore w:val="0"/>
              <w:widowControl/>
              <w:kinsoku/>
              <w:wordWrap/>
              <w:overflowPunct/>
              <w:topLinePunct w:val="0"/>
              <w:autoSpaceDE/>
              <w:autoSpaceDN/>
              <w:bidi w:val="0"/>
              <w:adjustRightInd/>
              <w:snapToGrid w:val="0"/>
              <w:spacing w:before="0" w:after="0" w:line="480" w:lineRule="exact"/>
              <w:ind w:right="0" w:firstLine="480" w:firstLineChars="200"/>
              <w:jc w:val="both"/>
              <w:textAlignment w:val="auto"/>
              <w:rPr>
                <w:color w:val="auto"/>
                <w:sz w:val="24"/>
                <w:szCs w:val="22"/>
              </w:rPr>
            </w:pPr>
            <w:r>
              <w:rPr>
                <w:rFonts w:hint="eastAsia"/>
                <w:color w:val="auto"/>
                <w:sz w:val="24"/>
                <w:szCs w:val="22"/>
              </w:rPr>
              <w:t>破碎机入料口尺寸（2m×1.5m）、剪断机入料口尺寸（3m×2m），项目拟在破碎机入料口上方设置一个集气罩（2.5m×2m），剪断机剪切口上方设置一个集气罩（3.5m×2.5m），废钢破碎、剪切粉尘经集气罩收集后引入1套布袋除尘器，</w:t>
            </w:r>
            <w:r>
              <w:rPr>
                <w:color w:val="auto"/>
                <w:sz w:val="24"/>
                <w:szCs w:val="24"/>
              </w:rPr>
              <w:t>集气罩粉尘捕集率取90%，除尘器除尘效率≥99%，</w:t>
            </w:r>
            <w:r>
              <w:rPr>
                <w:rFonts w:hint="eastAsia"/>
                <w:color w:val="auto"/>
                <w:sz w:val="24"/>
                <w:szCs w:val="24"/>
              </w:rPr>
              <w:t>废气经</w:t>
            </w:r>
            <w:r>
              <w:rPr>
                <w:rFonts w:hint="eastAsia"/>
                <w:color w:val="auto"/>
                <w:sz w:val="24"/>
                <w:szCs w:val="22"/>
              </w:rPr>
              <w:t>处理后通过30m排气筒排放。</w:t>
            </w:r>
          </w:p>
          <w:p w14:paraId="3166E1BF">
            <w:pPr>
              <w:pStyle w:val="36"/>
              <w:spacing w:before="0" w:after="0" w:line="500" w:lineRule="exact"/>
              <w:ind w:right="0" w:firstLine="480" w:firstLineChars="200"/>
              <w:jc w:val="both"/>
              <w:rPr>
                <w:bCs/>
                <w:color w:val="auto"/>
                <w:sz w:val="24"/>
                <w:szCs w:val="24"/>
                <w:lang w:bidi="ar"/>
              </w:rPr>
            </w:pPr>
            <w:r>
              <w:rPr>
                <w:rFonts w:hint="eastAsia"/>
                <w:bCs/>
                <w:color w:val="auto"/>
                <w:sz w:val="24"/>
                <w:szCs w:val="24"/>
                <w:lang w:bidi="ar"/>
              </w:rPr>
              <w:t>废钢破碎、剪切</w:t>
            </w:r>
            <w:r>
              <w:rPr>
                <w:bCs/>
                <w:color w:val="auto"/>
                <w:sz w:val="24"/>
                <w:szCs w:val="24"/>
                <w:lang w:bidi="ar"/>
              </w:rPr>
              <w:t>产生的</w:t>
            </w:r>
            <w:r>
              <w:rPr>
                <w:rFonts w:hint="eastAsia"/>
                <w:bCs/>
                <w:color w:val="auto"/>
                <w:sz w:val="24"/>
                <w:szCs w:val="24"/>
                <w:lang w:bidi="ar"/>
              </w:rPr>
              <w:t>粉尘</w:t>
            </w:r>
            <w:r>
              <w:rPr>
                <w:bCs/>
                <w:color w:val="auto"/>
                <w:sz w:val="24"/>
                <w:szCs w:val="24"/>
                <w:lang w:bidi="ar"/>
              </w:rPr>
              <w:t>拟采用的废气处理设施采用</w:t>
            </w:r>
            <w:r>
              <w:rPr>
                <w:rStyle w:val="33"/>
                <w:rFonts w:hint="eastAsia"/>
                <w:color w:val="auto"/>
                <w:sz w:val="24"/>
                <w:szCs w:val="24"/>
              </w:rPr>
              <w:t>《</w:t>
            </w:r>
            <w:r>
              <w:rPr>
                <w:bCs/>
                <w:color w:val="auto"/>
                <w:sz w:val="24"/>
                <w:szCs w:val="24"/>
                <w:lang w:bidi="ar"/>
              </w:rPr>
              <w:t>排污许可证申请与核发技术规范</w:t>
            </w:r>
            <w:r>
              <w:rPr>
                <w:rStyle w:val="33"/>
                <w:rFonts w:hint="eastAsia"/>
                <w:color w:val="auto"/>
                <w:sz w:val="24"/>
                <w:szCs w:val="24"/>
              </w:rPr>
              <w:t xml:space="preserve">  废弃资源加工工业》（HJ1034-2019）</w:t>
            </w:r>
            <w:r>
              <w:rPr>
                <w:bCs/>
                <w:color w:val="auto"/>
                <w:sz w:val="24"/>
                <w:szCs w:val="24"/>
                <w:lang w:bidi="ar"/>
              </w:rPr>
              <w:t>中针对</w:t>
            </w:r>
            <w:r>
              <w:rPr>
                <w:rFonts w:hint="eastAsia"/>
                <w:bCs/>
                <w:color w:val="auto"/>
                <w:sz w:val="24"/>
                <w:szCs w:val="24"/>
                <w:lang w:bidi="ar"/>
              </w:rPr>
              <w:t>破碎等生产过程中产生的</w:t>
            </w:r>
            <w:r>
              <w:rPr>
                <w:bCs/>
                <w:color w:val="auto"/>
                <w:sz w:val="24"/>
                <w:szCs w:val="24"/>
                <w:lang w:bidi="ar"/>
              </w:rPr>
              <w:t>粉尘采用的可行性技术：</w:t>
            </w:r>
            <w:r>
              <w:rPr>
                <w:rFonts w:hint="eastAsia"/>
                <w:bCs/>
                <w:color w:val="auto"/>
                <w:sz w:val="24"/>
                <w:szCs w:val="24"/>
                <w:lang w:bidi="ar"/>
              </w:rPr>
              <w:t>布袋</w:t>
            </w:r>
            <w:r>
              <w:rPr>
                <w:bCs/>
                <w:color w:val="auto"/>
                <w:sz w:val="24"/>
                <w:szCs w:val="24"/>
                <w:lang w:bidi="ar"/>
              </w:rPr>
              <w:t>除尘</w:t>
            </w:r>
            <w:r>
              <w:rPr>
                <w:rFonts w:hint="eastAsia"/>
                <w:bCs/>
                <w:color w:val="auto"/>
                <w:sz w:val="24"/>
                <w:szCs w:val="24"/>
                <w:lang w:bidi="ar"/>
              </w:rPr>
              <w:t>器</w:t>
            </w:r>
            <w:r>
              <w:rPr>
                <w:bCs/>
                <w:color w:val="auto"/>
                <w:sz w:val="24"/>
                <w:szCs w:val="24"/>
                <w:lang w:bidi="ar"/>
              </w:rPr>
              <w:t>，</w:t>
            </w:r>
            <w:r>
              <w:rPr>
                <w:rFonts w:hint="eastAsia"/>
                <w:bCs/>
                <w:color w:val="auto"/>
                <w:sz w:val="24"/>
                <w:szCs w:val="24"/>
                <w:lang w:bidi="ar"/>
              </w:rPr>
              <w:t>且</w:t>
            </w:r>
            <w:r>
              <w:rPr>
                <w:rFonts w:hint="eastAsia"/>
                <w:color w:val="auto"/>
                <w:sz w:val="24"/>
                <w:szCs w:val="24"/>
              </w:rPr>
              <w:t>根据《大气环境影响评价实用技术》，袋式除尘器的除尘效率可达99%，</w:t>
            </w:r>
            <w:r>
              <w:rPr>
                <w:bCs/>
                <w:color w:val="auto"/>
                <w:sz w:val="24"/>
                <w:szCs w:val="24"/>
                <w:lang w:bidi="ar"/>
              </w:rPr>
              <w:t>故本项目废气治理措施可行</w:t>
            </w:r>
            <w:r>
              <w:rPr>
                <w:rFonts w:hint="eastAsia"/>
                <w:bCs/>
                <w:color w:val="auto"/>
                <w:sz w:val="24"/>
                <w:szCs w:val="24"/>
                <w:lang w:bidi="ar"/>
              </w:rPr>
              <w:t>。</w:t>
            </w:r>
          </w:p>
          <w:p w14:paraId="1E95C37E">
            <w:pPr>
              <w:pStyle w:val="36"/>
              <w:spacing w:before="0" w:after="0" w:line="500" w:lineRule="exact"/>
              <w:ind w:right="0" w:firstLine="480" w:firstLineChars="200"/>
              <w:jc w:val="both"/>
              <w:rPr>
                <w:bCs/>
                <w:color w:val="auto"/>
                <w:sz w:val="24"/>
                <w:szCs w:val="24"/>
                <w:lang w:bidi="ar"/>
              </w:rPr>
            </w:pPr>
            <w:r>
              <w:rPr>
                <w:rFonts w:hint="eastAsia"/>
                <w:bCs/>
                <w:color w:val="auto"/>
                <w:sz w:val="24"/>
                <w:szCs w:val="24"/>
                <w:lang w:bidi="ar"/>
              </w:rPr>
              <w:t>（2）无组织废气</w:t>
            </w:r>
          </w:p>
          <w:p w14:paraId="69340B8B">
            <w:pPr>
              <w:pStyle w:val="36"/>
              <w:spacing w:before="0" w:after="0" w:line="500" w:lineRule="exact"/>
              <w:ind w:right="0" w:firstLine="480" w:firstLineChars="200"/>
              <w:jc w:val="both"/>
              <w:rPr>
                <w:color w:val="auto"/>
                <w:sz w:val="24"/>
                <w:szCs w:val="24"/>
                <w:lang w:bidi="ar"/>
              </w:rPr>
            </w:pPr>
            <w:r>
              <w:rPr>
                <w:rFonts w:hint="eastAsia"/>
                <w:bCs/>
                <w:color w:val="auto"/>
                <w:sz w:val="24"/>
                <w:szCs w:val="24"/>
                <w:lang w:bidi="ar"/>
              </w:rPr>
              <w:t>无组织粉尘采用车间全封闭等措施；焊接烟尘采用</w:t>
            </w:r>
            <w:r>
              <w:rPr>
                <w:rFonts w:hint="eastAsia"/>
                <w:color w:val="auto"/>
                <w:sz w:val="24"/>
                <w:szCs w:val="22"/>
              </w:rPr>
              <w:t>移动式烟尘净化器</w:t>
            </w:r>
            <w:r>
              <w:rPr>
                <w:rFonts w:hint="eastAsia"/>
                <w:color w:val="auto"/>
                <w:sz w:val="24"/>
                <w:szCs w:val="22"/>
                <w:lang w:eastAsia="zh-CN"/>
              </w:rPr>
              <w:t>，</w:t>
            </w:r>
            <w:r>
              <w:rPr>
                <w:rFonts w:hint="eastAsia"/>
                <w:color w:val="auto"/>
                <w:sz w:val="24"/>
                <w:szCs w:val="22"/>
                <w:lang w:val="en-US" w:eastAsia="zh-CN"/>
              </w:rPr>
              <w:t>除尘方式为过滤式除尘，采用滤筒过滤</w:t>
            </w:r>
            <w:r>
              <w:rPr>
                <w:rFonts w:hint="eastAsia"/>
                <w:color w:val="auto"/>
                <w:sz w:val="24"/>
                <w:szCs w:val="22"/>
              </w:rPr>
              <w:t>；</w:t>
            </w:r>
            <w:r>
              <w:rPr>
                <w:rFonts w:hint="eastAsia"/>
                <w:color w:val="auto"/>
                <w:sz w:val="24"/>
                <w:szCs w:val="22"/>
                <w:lang w:val="en-US" w:eastAsia="zh-CN"/>
              </w:rPr>
              <w:t>废铅蓄电池本身在常规储存状态下，不会产生废气，非正常工况下，若废铅蓄电池出现破损、废电解液泄漏，危废暂存库设有防渗塑料桶用来盛装废电解液，并加盖密闭存储</w:t>
            </w:r>
            <w:r>
              <w:rPr>
                <w:rFonts w:hint="eastAsia"/>
                <w:color w:val="auto"/>
                <w:sz w:val="24"/>
                <w:szCs w:val="22"/>
              </w:rPr>
              <w:t>，废机油贮存在加盖密封的铁皮桶，可减少硫酸雾和有机废气产生</w:t>
            </w:r>
            <w:r>
              <w:rPr>
                <w:rFonts w:hint="eastAsia"/>
                <w:bCs/>
                <w:color w:val="auto"/>
                <w:sz w:val="24"/>
                <w:szCs w:val="24"/>
                <w:lang w:bidi="ar"/>
              </w:rPr>
              <w:t>。</w:t>
            </w:r>
            <w:r>
              <w:rPr>
                <w:bCs/>
                <w:color w:val="auto"/>
                <w:sz w:val="24"/>
                <w:szCs w:val="24"/>
                <w:lang w:bidi="ar"/>
              </w:rPr>
              <w:t>同时通过上述分析可知，本项目废气在认真履行环评要求的前提下，</w:t>
            </w:r>
            <w:r>
              <w:rPr>
                <w:rFonts w:hint="eastAsia"/>
                <w:bCs/>
                <w:color w:val="auto"/>
                <w:sz w:val="24"/>
                <w:szCs w:val="24"/>
                <w:lang w:bidi="ar"/>
              </w:rPr>
              <w:t>废气</w:t>
            </w:r>
            <w:r>
              <w:rPr>
                <w:bCs/>
                <w:color w:val="auto"/>
                <w:sz w:val="24"/>
                <w:szCs w:val="24"/>
                <w:lang w:bidi="ar"/>
              </w:rPr>
              <w:t>可达标排放。故本项目采用的废气治理措施可行。</w:t>
            </w:r>
          </w:p>
          <w:p w14:paraId="09E77913">
            <w:pPr>
              <w:spacing w:line="500" w:lineRule="exact"/>
              <w:ind w:firstLine="482" w:firstLineChars="200"/>
              <w:rPr>
                <w:b/>
                <w:bCs/>
                <w:color w:val="auto"/>
                <w:lang w:bidi="ar"/>
              </w:rPr>
            </w:pPr>
            <w:r>
              <w:rPr>
                <w:rFonts w:hint="eastAsia"/>
                <w:b/>
                <w:bCs/>
                <w:color w:val="auto"/>
                <w:lang w:bidi="ar"/>
              </w:rPr>
              <w:t>1.5废气污染监测计划</w:t>
            </w:r>
          </w:p>
          <w:p w14:paraId="51C217C2">
            <w:pPr>
              <w:pStyle w:val="34"/>
              <w:spacing w:line="500" w:lineRule="exact"/>
              <w:ind w:firstLineChars="200"/>
              <w:rPr>
                <w:rFonts w:ascii="Times New Roman" w:hAnsi="Times New Roman" w:eastAsia="宋体"/>
                <w:color w:val="auto"/>
                <w:szCs w:val="24"/>
                <w:lang w:bidi="ar"/>
              </w:rPr>
            </w:pPr>
            <w:r>
              <w:rPr>
                <w:rFonts w:ascii="Times New Roman" w:hAnsi="Times New Roman" w:eastAsia="宋体"/>
                <w:color w:val="auto"/>
                <w:szCs w:val="24"/>
                <w:lang w:bidi="ar"/>
              </w:rPr>
              <w:t>依据《排污单位自行监测技术指南  总则》（HJ819-2017）和《排污许可证申请与核发技术规范  废弃资源加工工业》（HJ1034-2019），监测要求见下表。</w:t>
            </w:r>
          </w:p>
          <w:p w14:paraId="39303224">
            <w:pPr>
              <w:spacing w:line="500" w:lineRule="exact"/>
              <w:ind w:firstLine="1687" w:firstLineChars="700"/>
              <w:rPr>
                <w:b/>
                <w:bCs/>
                <w:color w:val="auto"/>
              </w:rPr>
            </w:pPr>
            <w:r>
              <w:rPr>
                <w:b/>
                <w:bCs/>
                <w:color w:val="auto"/>
              </w:rPr>
              <w:t>表</w:t>
            </w:r>
            <w:r>
              <w:rPr>
                <w:rFonts w:hint="eastAsia"/>
                <w:b/>
                <w:bCs/>
                <w:color w:val="auto"/>
              </w:rPr>
              <w:t xml:space="preserve">4-5    </w:t>
            </w:r>
            <w:r>
              <w:rPr>
                <w:b/>
                <w:bCs/>
                <w:color w:val="auto"/>
              </w:rPr>
              <w:t>大气环境监测内容一览表</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2"/>
              <w:gridCol w:w="1482"/>
              <w:gridCol w:w="1497"/>
              <w:gridCol w:w="1058"/>
              <w:gridCol w:w="1023"/>
              <w:gridCol w:w="2638"/>
            </w:tblGrid>
            <w:tr w14:paraId="4BEA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72" w:type="dxa"/>
                  <w:vAlign w:val="center"/>
                </w:tcPr>
                <w:p w14:paraId="33095E34">
                  <w:pPr>
                    <w:pStyle w:val="62"/>
                    <w:autoSpaceDE/>
                    <w:autoSpaceDN/>
                    <w:spacing w:line="320" w:lineRule="exact"/>
                    <w:rPr>
                      <w:rFonts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类别</w:t>
                  </w:r>
                </w:p>
              </w:tc>
              <w:tc>
                <w:tcPr>
                  <w:tcW w:w="1482" w:type="dxa"/>
                  <w:vAlign w:val="center"/>
                </w:tcPr>
                <w:p w14:paraId="5F0807E8">
                  <w:pPr>
                    <w:pStyle w:val="62"/>
                    <w:autoSpaceDE/>
                    <w:autoSpaceDN/>
                    <w:spacing w:line="320" w:lineRule="exact"/>
                    <w:rPr>
                      <w:rFonts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监测点位</w:t>
                  </w:r>
                </w:p>
              </w:tc>
              <w:tc>
                <w:tcPr>
                  <w:tcW w:w="1497" w:type="dxa"/>
                  <w:vAlign w:val="center"/>
                </w:tcPr>
                <w:p w14:paraId="5A174116">
                  <w:pPr>
                    <w:pStyle w:val="62"/>
                    <w:autoSpaceDE/>
                    <w:autoSpaceDN/>
                    <w:spacing w:line="320" w:lineRule="exact"/>
                    <w:rPr>
                      <w:rFonts w:ascii="Times New Roman" w:hAnsi="Times New Roman" w:cs="Times New Roman"/>
                      <w:color w:val="auto"/>
                      <w:sz w:val="21"/>
                      <w:szCs w:val="21"/>
                    </w:rPr>
                  </w:pPr>
                  <w:r>
                    <w:rPr>
                      <w:rFonts w:ascii="Times New Roman" w:hAnsi="Times New Roman" w:cs="Times New Roman"/>
                      <w:color w:val="auto"/>
                      <w:sz w:val="21"/>
                      <w:szCs w:val="21"/>
                    </w:rPr>
                    <w:t>监测因子</w:t>
                  </w:r>
                </w:p>
              </w:tc>
              <w:tc>
                <w:tcPr>
                  <w:tcW w:w="1058" w:type="dxa"/>
                  <w:vAlign w:val="center"/>
                </w:tcPr>
                <w:p w14:paraId="43D28824">
                  <w:pPr>
                    <w:pStyle w:val="62"/>
                    <w:autoSpaceDE/>
                    <w:autoSpaceDN/>
                    <w:spacing w:line="320" w:lineRule="exact"/>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排放形式</w:t>
                  </w:r>
                </w:p>
              </w:tc>
              <w:tc>
                <w:tcPr>
                  <w:tcW w:w="1023" w:type="dxa"/>
                  <w:vAlign w:val="center"/>
                </w:tcPr>
                <w:p w14:paraId="0AC855E5">
                  <w:pPr>
                    <w:pStyle w:val="62"/>
                    <w:autoSpaceDE/>
                    <w:autoSpaceDN/>
                    <w:spacing w:line="320" w:lineRule="exact"/>
                    <w:rPr>
                      <w:rFonts w:ascii="Times New Roman" w:hAnsi="Times New Roman" w:cs="Times New Roman"/>
                      <w:color w:val="auto"/>
                      <w:sz w:val="21"/>
                      <w:szCs w:val="21"/>
                    </w:rPr>
                  </w:pPr>
                  <w:r>
                    <w:rPr>
                      <w:rFonts w:ascii="Times New Roman" w:hAnsi="Times New Roman" w:cs="Times New Roman"/>
                      <w:color w:val="auto"/>
                      <w:sz w:val="21"/>
                      <w:szCs w:val="21"/>
                    </w:rPr>
                    <w:t>监测频次</w:t>
                  </w:r>
                </w:p>
              </w:tc>
              <w:tc>
                <w:tcPr>
                  <w:tcW w:w="2638" w:type="dxa"/>
                  <w:vAlign w:val="center"/>
                </w:tcPr>
                <w:p w14:paraId="6B0C2F9B">
                  <w:pPr>
                    <w:pStyle w:val="62"/>
                    <w:autoSpaceDE/>
                    <w:autoSpaceDN/>
                    <w:spacing w:line="320" w:lineRule="exact"/>
                    <w:rPr>
                      <w:rFonts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执行标准</w:t>
                  </w:r>
                </w:p>
              </w:tc>
            </w:tr>
            <w:tr w14:paraId="07EF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72" w:type="dxa"/>
                  <w:vMerge w:val="restart"/>
                  <w:tcBorders>
                    <w:tl2br w:val="nil"/>
                    <w:tr2bl w:val="nil"/>
                  </w:tcBorders>
                  <w:vAlign w:val="center"/>
                </w:tcPr>
                <w:p w14:paraId="2B239416">
                  <w:pPr>
                    <w:pStyle w:val="62"/>
                    <w:autoSpaceDE/>
                    <w:autoSpaceDN/>
                    <w:spacing w:line="320" w:lineRule="exact"/>
                    <w:rPr>
                      <w:rFonts w:ascii="Times New Roman" w:hAnsi="Times New Roman" w:cs="Times New Roman"/>
                      <w:color w:val="auto"/>
                      <w:sz w:val="21"/>
                      <w:szCs w:val="21"/>
                    </w:rPr>
                  </w:pPr>
                  <w:r>
                    <w:rPr>
                      <w:rFonts w:ascii="Times New Roman" w:hAnsi="Times New Roman" w:cs="Times New Roman"/>
                      <w:color w:val="auto"/>
                      <w:sz w:val="21"/>
                      <w:szCs w:val="21"/>
                    </w:rPr>
                    <w:t>废气</w:t>
                  </w:r>
                </w:p>
              </w:tc>
              <w:tc>
                <w:tcPr>
                  <w:tcW w:w="1482" w:type="dxa"/>
                  <w:tcBorders>
                    <w:tl2br w:val="nil"/>
                    <w:tr2bl w:val="nil"/>
                  </w:tcBorders>
                  <w:vAlign w:val="center"/>
                </w:tcPr>
                <w:p w14:paraId="41E92987">
                  <w:pPr>
                    <w:pStyle w:val="96"/>
                    <w:spacing w:line="320" w:lineRule="exact"/>
                    <w:rPr>
                      <w:rFonts w:cs="Times New Roman"/>
                      <w:color w:val="auto"/>
                    </w:rPr>
                  </w:pPr>
                  <w:r>
                    <w:rPr>
                      <w:rFonts w:hint="eastAsia" w:cs="Times New Roman"/>
                      <w:color w:val="auto"/>
                    </w:rPr>
                    <w:t>废钢破碎、剪切粉尘排气筒</w:t>
                  </w:r>
                </w:p>
              </w:tc>
              <w:tc>
                <w:tcPr>
                  <w:tcW w:w="1497" w:type="dxa"/>
                  <w:tcBorders>
                    <w:tl2br w:val="nil"/>
                    <w:tr2bl w:val="nil"/>
                  </w:tcBorders>
                  <w:vAlign w:val="center"/>
                </w:tcPr>
                <w:p w14:paraId="44E5C065">
                  <w:pPr>
                    <w:pStyle w:val="62"/>
                    <w:autoSpaceDE/>
                    <w:autoSpaceDN/>
                    <w:spacing w:line="320" w:lineRule="exact"/>
                    <w:rPr>
                      <w:rFonts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颗粒物</w:t>
                  </w:r>
                </w:p>
              </w:tc>
              <w:tc>
                <w:tcPr>
                  <w:tcW w:w="1058" w:type="dxa"/>
                  <w:tcBorders>
                    <w:tl2br w:val="nil"/>
                    <w:tr2bl w:val="nil"/>
                  </w:tcBorders>
                  <w:vAlign w:val="center"/>
                </w:tcPr>
                <w:p w14:paraId="7924B366">
                  <w:pPr>
                    <w:pStyle w:val="62"/>
                    <w:autoSpaceDE/>
                    <w:autoSpaceDN/>
                    <w:spacing w:line="320" w:lineRule="exact"/>
                    <w:rPr>
                      <w:rFonts w:ascii="Times New Roman" w:hAnsi="Times New Roman" w:cs="Times New Roman"/>
                      <w:color w:val="auto"/>
                      <w:sz w:val="21"/>
                      <w:szCs w:val="21"/>
                      <w:lang w:eastAsia="zh-CN"/>
                    </w:rPr>
                  </w:pPr>
                  <w:r>
                    <w:rPr>
                      <w:rFonts w:hint="eastAsia" w:ascii="Times New Roman" w:hAnsi="Times New Roman" w:cs="Times New Roman"/>
                      <w:color w:val="auto"/>
                      <w:kern w:val="2"/>
                      <w:sz w:val="21"/>
                      <w:szCs w:val="21"/>
                      <w:lang w:eastAsia="zh-CN" w:bidi="zh-CN"/>
                    </w:rPr>
                    <w:t>有组织</w:t>
                  </w:r>
                </w:p>
              </w:tc>
              <w:tc>
                <w:tcPr>
                  <w:tcW w:w="1023" w:type="dxa"/>
                  <w:tcBorders>
                    <w:tl2br w:val="nil"/>
                    <w:tr2bl w:val="nil"/>
                  </w:tcBorders>
                  <w:vAlign w:val="center"/>
                </w:tcPr>
                <w:p w14:paraId="2BB656F0">
                  <w:pPr>
                    <w:pStyle w:val="62"/>
                    <w:autoSpaceDE/>
                    <w:autoSpaceDN/>
                    <w:spacing w:line="320" w:lineRule="exact"/>
                    <w:rPr>
                      <w:rFonts w:ascii="Times New Roman" w:hAnsi="Times New Roman" w:cs="Times New Roman"/>
                      <w:color w:val="auto"/>
                      <w:sz w:val="21"/>
                      <w:szCs w:val="21"/>
                    </w:rPr>
                  </w:pPr>
                  <w:r>
                    <w:rPr>
                      <w:rFonts w:hint="eastAsia" w:ascii="Times New Roman" w:hAnsi="Times New Roman" w:cs="Times New Roman"/>
                      <w:color w:val="auto"/>
                      <w:sz w:val="21"/>
                      <w:szCs w:val="21"/>
                      <w:lang w:eastAsia="zh-CN"/>
                    </w:rPr>
                    <w:t>1</w:t>
                  </w:r>
                  <w:r>
                    <w:rPr>
                      <w:rFonts w:ascii="Times New Roman" w:hAnsi="Times New Roman" w:cs="Times New Roman"/>
                      <w:color w:val="auto"/>
                      <w:sz w:val="21"/>
                      <w:szCs w:val="21"/>
                    </w:rPr>
                    <w:t>次/</w:t>
                  </w:r>
                  <w:r>
                    <w:rPr>
                      <w:rFonts w:hint="eastAsia" w:ascii="Times New Roman" w:hAnsi="Times New Roman" w:cs="Times New Roman"/>
                      <w:color w:val="auto"/>
                      <w:sz w:val="21"/>
                      <w:szCs w:val="21"/>
                      <w:lang w:eastAsia="zh-CN"/>
                    </w:rPr>
                    <w:t>年</w:t>
                  </w:r>
                </w:p>
              </w:tc>
              <w:tc>
                <w:tcPr>
                  <w:tcW w:w="2638" w:type="dxa"/>
                  <w:tcBorders>
                    <w:tl2br w:val="nil"/>
                    <w:tr2bl w:val="nil"/>
                  </w:tcBorders>
                  <w:vAlign w:val="center"/>
                </w:tcPr>
                <w:p w14:paraId="789E24B8">
                  <w:pPr>
                    <w:spacing w:line="320" w:lineRule="exact"/>
                    <w:jc w:val="center"/>
                    <w:rPr>
                      <w:color w:val="auto"/>
                      <w:sz w:val="21"/>
                      <w:szCs w:val="21"/>
                      <w:lang w:bidi="zh-CN"/>
                    </w:rPr>
                  </w:pPr>
                  <w:r>
                    <w:rPr>
                      <w:color w:val="auto"/>
                      <w:sz w:val="21"/>
                      <w:szCs w:val="21"/>
                      <w:lang w:bidi="zh-CN"/>
                    </w:rPr>
                    <w:t>《大气污染物综合排放标准》（GB16297-1996）表2中颗粒物二级排放浓度限值</w:t>
                  </w:r>
                </w:p>
              </w:tc>
            </w:tr>
            <w:tr w14:paraId="46B9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72" w:type="dxa"/>
                  <w:vMerge w:val="continue"/>
                  <w:tcBorders>
                    <w:tl2br w:val="nil"/>
                    <w:tr2bl w:val="nil"/>
                  </w:tcBorders>
                  <w:vAlign w:val="center"/>
                </w:tcPr>
                <w:p w14:paraId="39D258B3">
                  <w:pPr>
                    <w:pStyle w:val="62"/>
                    <w:autoSpaceDE/>
                    <w:autoSpaceDN/>
                    <w:spacing w:line="320" w:lineRule="exact"/>
                    <w:rPr>
                      <w:rFonts w:ascii="Times New Roman" w:hAnsi="Times New Roman" w:cs="Times New Roman"/>
                      <w:color w:val="auto"/>
                      <w:sz w:val="21"/>
                      <w:szCs w:val="21"/>
                      <w:lang w:eastAsia="zh-CN"/>
                    </w:rPr>
                  </w:pPr>
                </w:p>
              </w:tc>
              <w:tc>
                <w:tcPr>
                  <w:tcW w:w="1482" w:type="dxa"/>
                  <w:vAlign w:val="center"/>
                </w:tcPr>
                <w:p w14:paraId="303A8064">
                  <w:pPr>
                    <w:pStyle w:val="62"/>
                    <w:autoSpaceDE/>
                    <w:autoSpaceDN/>
                    <w:spacing w:line="320" w:lineRule="exact"/>
                    <w:rPr>
                      <w:rFonts w:ascii="Times New Roman" w:hAnsi="Times New Roman" w:cs="Times New Roman"/>
                      <w:color w:val="auto"/>
                      <w:kern w:val="2"/>
                      <w:sz w:val="21"/>
                      <w:szCs w:val="21"/>
                      <w:lang w:eastAsia="zh-CN" w:bidi="zh-CN"/>
                    </w:rPr>
                  </w:pPr>
                  <w:r>
                    <w:rPr>
                      <w:rFonts w:hint="eastAsia" w:ascii="Times New Roman" w:hAnsi="Times New Roman" w:cs="Times New Roman"/>
                      <w:color w:val="auto"/>
                      <w:kern w:val="2"/>
                      <w:sz w:val="21"/>
                      <w:szCs w:val="21"/>
                      <w:lang w:eastAsia="zh-CN" w:bidi="zh-CN"/>
                    </w:rPr>
                    <w:t>厂界</w:t>
                  </w:r>
                </w:p>
              </w:tc>
              <w:tc>
                <w:tcPr>
                  <w:tcW w:w="1497" w:type="dxa"/>
                  <w:vAlign w:val="center"/>
                </w:tcPr>
                <w:p w14:paraId="1C096DFE">
                  <w:pPr>
                    <w:pStyle w:val="62"/>
                    <w:autoSpaceDE/>
                    <w:autoSpaceDN/>
                    <w:spacing w:line="320" w:lineRule="exact"/>
                    <w:rPr>
                      <w:rFonts w:ascii="Times New Roman" w:hAnsi="Times New Roman" w:cs="Times New Roman"/>
                      <w:color w:val="auto"/>
                      <w:kern w:val="2"/>
                      <w:sz w:val="21"/>
                      <w:szCs w:val="21"/>
                      <w:lang w:eastAsia="zh-CN" w:bidi="zh-CN"/>
                    </w:rPr>
                  </w:pPr>
                  <w:r>
                    <w:rPr>
                      <w:rFonts w:ascii="Times New Roman" w:hAnsi="Times New Roman" w:cs="Times New Roman"/>
                      <w:color w:val="auto"/>
                      <w:sz w:val="21"/>
                      <w:szCs w:val="21"/>
                      <w:lang w:eastAsia="zh-CN"/>
                    </w:rPr>
                    <w:t>颗粒物</w:t>
                  </w:r>
                  <w:r>
                    <w:rPr>
                      <w:rFonts w:hint="eastAsia" w:ascii="Times New Roman" w:hAnsi="Times New Roman" w:cs="Times New Roman"/>
                      <w:color w:val="auto"/>
                      <w:sz w:val="21"/>
                      <w:szCs w:val="21"/>
                      <w:lang w:eastAsia="zh-CN"/>
                    </w:rPr>
                    <w:t>、硫酸雾、非甲烷总烃</w:t>
                  </w:r>
                </w:p>
              </w:tc>
              <w:tc>
                <w:tcPr>
                  <w:tcW w:w="1058" w:type="dxa"/>
                  <w:vAlign w:val="center"/>
                </w:tcPr>
                <w:p w14:paraId="6FB242C0">
                  <w:pPr>
                    <w:pStyle w:val="62"/>
                    <w:autoSpaceDE/>
                    <w:autoSpaceDN/>
                    <w:spacing w:line="320" w:lineRule="exact"/>
                    <w:rPr>
                      <w:rFonts w:ascii="Times New Roman" w:hAnsi="Times New Roman" w:cs="Times New Roman"/>
                      <w:color w:val="auto"/>
                      <w:kern w:val="2"/>
                      <w:sz w:val="21"/>
                      <w:szCs w:val="21"/>
                      <w:lang w:eastAsia="zh-CN" w:bidi="zh-CN"/>
                    </w:rPr>
                  </w:pPr>
                  <w:r>
                    <w:rPr>
                      <w:rFonts w:hint="eastAsia" w:ascii="Times New Roman" w:hAnsi="Times New Roman" w:cs="Times New Roman"/>
                      <w:color w:val="auto"/>
                      <w:kern w:val="2"/>
                      <w:sz w:val="21"/>
                      <w:szCs w:val="21"/>
                      <w:lang w:eastAsia="zh-CN" w:bidi="zh-CN"/>
                    </w:rPr>
                    <w:t>无</w:t>
                  </w:r>
                  <w:r>
                    <w:rPr>
                      <w:rFonts w:ascii="Times New Roman" w:hAnsi="Times New Roman" w:cs="Times New Roman"/>
                      <w:color w:val="auto"/>
                      <w:kern w:val="2"/>
                      <w:sz w:val="21"/>
                      <w:szCs w:val="21"/>
                      <w:lang w:eastAsia="zh-CN" w:bidi="zh-CN"/>
                    </w:rPr>
                    <w:t>组织</w:t>
                  </w:r>
                </w:p>
              </w:tc>
              <w:tc>
                <w:tcPr>
                  <w:tcW w:w="1023" w:type="dxa"/>
                  <w:vAlign w:val="center"/>
                </w:tcPr>
                <w:p w14:paraId="360BE1A3">
                  <w:pPr>
                    <w:pStyle w:val="62"/>
                    <w:autoSpaceDE/>
                    <w:autoSpaceDN/>
                    <w:spacing w:line="320" w:lineRule="exact"/>
                    <w:rPr>
                      <w:rFonts w:ascii="Times New Roman" w:hAnsi="Times New Roman" w:cs="Times New Roman"/>
                      <w:color w:val="auto"/>
                      <w:kern w:val="2"/>
                      <w:sz w:val="21"/>
                      <w:szCs w:val="21"/>
                      <w:lang w:val="zh-CN" w:eastAsia="zh-CN" w:bidi="zh-CN"/>
                    </w:rPr>
                  </w:pPr>
                  <w:r>
                    <w:rPr>
                      <w:rFonts w:hint="eastAsia" w:ascii="Times New Roman" w:hAnsi="Times New Roman" w:cs="Times New Roman"/>
                      <w:color w:val="auto"/>
                      <w:sz w:val="21"/>
                      <w:szCs w:val="21"/>
                      <w:lang w:eastAsia="zh-CN"/>
                    </w:rPr>
                    <w:t>1</w:t>
                  </w:r>
                  <w:r>
                    <w:rPr>
                      <w:rFonts w:ascii="Times New Roman" w:hAnsi="Times New Roman" w:cs="Times New Roman"/>
                      <w:color w:val="auto"/>
                      <w:sz w:val="21"/>
                      <w:szCs w:val="21"/>
                    </w:rPr>
                    <w:t>次/</w:t>
                  </w:r>
                  <w:r>
                    <w:rPr>
                      <w:rFonts w:hint="eastAsia" w:ascii="Times New Roman" w:hAnsi="Times New Roman" w:cs="Times New Roman"/>
                      <w:color w:val="auto"/>
                      <w:sz w:val="21"/>
                      <w:szCs w:val="21"/>
                      <w:lang w:eastAsia="zh-CN"/>
                    </w:rPr>
                    <w:t>年</w:t>
                  </w:r>
                </w:p>
              </w:tc>
              <w:tc>
                <w:tcPr>
                  <w:tcW w:w="2638" w:type="dxa"/>
                  <w:tcBorders>
                    <w:tl2br w:val="nil"/>
                    <w:tr2bl w:val="nil"/>
                  </w:tcBorders>
                  <w:vAlign w:val="center"/>
                </w:tcPr>
                <w:p w14:paraId="7F3142BC">
                  <w:pPr>
                    <w:spacing w:line="320" w:lineRule="exact"/>
                    <w:jc w:val="center"/>
                    <w:rPr>
                      <w:snapToGrid w:val="0"/>
                      <w:color w:val="auto"/>
                      <w:kern w:val="0"/>
                      <w:sz w:val="21"/>
                      <w:szCs w:val="21"/>
                      <w:lang w:val="zh-CN" w:bidi="zh-CN"/>
                    </w:rPr>
                  </w:pPr>
                  <w:r>
                    <w:rPr>
                      <w:snapToGrid w:val="0"/>
                      <w:color w:val="auto"/>
                      <w:kern w:val="0"/>
                      <w:sz w:val="21"/>
                      <w:szCs w:val="21"/>
                      <w:lang w:val="zh-CN" w:bidi="zh-CN"/>
                    </w:rPr>
                    <w:t>《大气污染物综合排放标准》（GB16297-1996）</w:t>
                  </w:r>
                  <w:r>
                    <w:rPr>
                      <w:rFonts w:hint="eastAsia"/>
                      <w:snapToGrid w:val="0"/>
                      <w:color w:val="auto"/>
                      <w:kern w:val="0"/>
                      <w:sz w:val="21"/>
                      <w:szCs w:val="21"/>
                      <w:lang w:val="zh-CN" w:bidi="zh-CN"/>
                    </w:rPr>
                    <w:t>表</w:t>
                  </w:r>
                  <w:r>
                    <w:rPr>
                      <w:rFonts w:hint="eastAsia"/>
                      <w:snapToGrid w:val="0"/>
                      <w:color w:val="auto"/>
                      <w:kern w:val="0"/>
                      <w:sz w:val="21"/>
                      <w:szCs w:val="21"/>
                      <w:lang w:bidi="zh-CN"/>
                    </w:rPr>
                    <w:t>2中</w:t>
                  </w:r>
                  <w:r>
                    <w:rPr>
                      <w:snapToGrid w:val="0"/>
                      <w:color w:val="auto"/>
                      <w:kern w:val="0"/>
                      <w:sz w:val="21"/>
                      <w:szCs w:val="21"/>
                      <w:lang w:val="zh-CN" w:bidi="zh-CN"/>
                    </w:rPr>
                    <w:t>无组织浓度限值</w:t>
                  </w:r>
                </w:p>
              </w:tc>
            </w:tr>
            <w:tr w14:paraId="4A80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72" w:type="dxa"/>
                  <w:vMerge w:val="continue"/>
                  <w:tcBorders>
                    <w:tl2br w:val="nil"/>
                    <w:tr2bl w:val="nil"/>
                  </w:tcBorders>
                  <w:vAlign w:val="center"/>
                </w:tcPr>
                <w:p w14:paraId="015C9DB7">
                  <w:pPr>
                    <w:pStyle w:val="62"/>
                    <w:autoSpaceDE/>
                    <w:autoSpaceDN/>
                    <w:spacing w:line="320" w:lineRule="exact"/>
                    <w:rPr>
                      <w:rFonts w:ascii="Times New Roman" w:hAnsi="Times New Roman" w:cs="Times New Roman"/>
                      <w:color w:val="auto"/>
                      <w:sz w:val="21"/>
                      <w:szCs w:val="21"/>
                      <w:lang w:eastAsia="zh-CN"/>
                    </w:rPr>
                  </w:pPr>
                </w:p>
              </w:tc>
              <w:tc>
                <w:tcPr>
                  <w:tcW w:w="1482" w:type="dxa"/>
                  <w:vAlign w:val="center"/>
                </w:tcPr>
                <w:p w14:paraId="4543CDE9">
                  <w:pPr>
                    <w:pStyle w:val="62"/>
                    <w:autoSpaceDE/>
                    <w:autoSpaceDN/>
                    <w:spacing w:line="320" w:lineRule="exact"/>
                    <w:rPr>
                      <w:rFonts w:ascii="Times New Roman" w:hAnsi="Times New Roman" w:cs="Times New Roman"/>
                      <w:color w:val="auto"/>
                      <w:kern w:val="2"/>
                      <w:sz w:val="21"/>
                      <w:szCs w:val="21"/>
                      <w:lang w:eastAsia="zh-CN" w:bidi="zh-CN"/>
                    </w:rPr>
                  </w:pPr>
                  <w:r>
                    <w:rPr>
                      <w:rFonts w:hint="eastAsia" w:ascii="Times New Roman" w:hAnsi="Times New Roman" w:cs="Times New Roman"/>
                      <w:color w:val="auto"/>
                      <w:kern w:val="2"/>
                      <w:sz w:val="21"/>
                      <w:szCs w:val="21"/>
                      <w:lang w:eastAsia="zh-CN" w:bidi="zh-CN"/>
                    </w:rPr>
                    <w:t>维修车间、危废暂存库外</w:t>
                  </w:r>
                </w:p>
              </w:tc>
              <w:tc>
                <w:tcPr>
                  <w:tcW w:w="1497" w:type="dxa"/>
                  <w:vAlign w:val="center"/>
                </w:tcPr>
                <w:p w14:paraId="08183A3B">
                  <w:pPr>
                    <w:pStyle w:val="62"/>
                    <w:autoSpaceDE/>
                    <w:autoSpaceDN/>
                    <w:spacing w:line="320" w:lineRule="exact"/>
                    <w:rPr>
                      <w:rFonts w:ascii="Times New Roman" w:hAnsi="Times New Roman" w:cs="Times New Roman"/>
                      <w:color w:val="auto"/>
                      <w:sz w:val="21"/>
                      <w:szCs w:val="21"/>
                      <w:lang w:eastAsia="zh-CN"/>
                    </w:rPr>
                  </w:pPr>
                  <w:r>
                    <w:rPr>
                      <w:rFonts w:hint="eastAsia" w:ascii="Times New Roman" w:hAnsi="Times New Roman" w:cs="Times New Roman"/>
                      <w:color w:val="auto"/>
                      <w:sz w:val="21"/>
                      <w:szCs w:val="21"/>
                      <w:lang w:eastAsia="zh-CN"/>
                    </w:rPr>
                    <w:t>非甲烷总烃</w:t>
                  </w:r>
                </w:p>
              </w:tc>
              <w:tc>
                <w:tcPr>
                  <w:tcW w:w="1058" w:type="dxa"/>
                  <w:vAlign w:val="center"/>
                </w:tcPr>
                <w:p w14:paraId="72D8B8E2">
                  <w:pPr>
                    <w:pStyle w:val="62"/>
                    <w:autoSpaceDE/>
                    <w:autoSpaceDN/>
                    <w:spacing w:line="320" w:lineRule="exact"/>
                    <w:rPr>
                      <w:rFonts w:ascii="Times New Roman" w:hAnsi="Times New Roman" w:cs="Times New Roman"/>
                      <w:color w:val="auto"/>
                      <w:kern w:val="2"/>
                      <w:sz w:val="21"/>
                      <w:szCs w:val="21"/>
                      <w:lang w:eastAsia="zh-CN" w:bidi="zh-CN"/>
                    </w:rPr>
                  </w:pPr>
                  <w:r>
                    <w:rPr>
                      <w:rFonts w:hint="eastAsia" w:ascii="Times New Roman" w:hAnsi="Times New Roman" w:cs="Times New Roman"/>
                      <w:color w:val="auto"/>
                      <w:kern w:val="2"/>
                      <w:sz w:val="21"/>
                      <w:szCs w:val="21"/>
                      <w:lang w:eastAsia="zh-CN" w:bidi="zh-CN"/>
                    </w:rPr>
                    <w:t>无</w:t>
                  </w:r>
                  <w:r>
                    <w:rPr>
                      <w:rFonts w:ascii="Times New Roman" w:hAnsi="Times New Roman" w:cs="Times New Roman"/>
                      <w:color w:val="auto"/>
                      <w:kern w:val="2"/>
                      <w:sz w:val="21"/>
                      <w:szCs w:val="21"/>
                      <w:lang w:eastAsia="zh-CN" w:bidi="zh-CN"/>
                    </w:rPr>
                    <w:t>组织</w:t>
                  </w:r>
                </w:p>
              </w:tc>
              <w:tc>
                <w:tcPr>
                  <w:tcW w:w="1023" w:type="dxa"/>
                  <w:vAlign w:val="center"/>
                </w:tcPr>
                <w:p w14:paraId="4F1C85A3">
                  <w:pPr>
                    <w:pStyle w:val="62"/>
                    <w:autoSpaceDE/>
                    <w:autoSpaceDN/>
                    <w:spacing w:line="320" w:lineRule="exact"/>
                    <w:rPr>
                      <w:rFonts w:ascii="Times New Roman" w:hAnsi="Times New Roman" w:cs="Times New Roman"/>
                      <w:color w:val="auto"/>
                      <w:kern w:val="2"/>
                      <w:sz w:val="21"/>
                      <w:szCs w:val="21"/>
                      <w:lang w:eastAsia="zh-CN" w:bidi="zh-CN"/>
                    </w:rPr>
                  </w:pPr>
                  <w:r>
                    <w:rPr>
                      <w:rFonts w:hint="eastAsia" w:ascii="Times New Roman" w:hAnsi="Times New Roman" w:cs="Times New Roman"/>
                      <w:color w:val="auto"/>
                      <w:sz w:val="21"/>
                      <w:szCs w:val="21"/>
                      <w:lang w:eastAsia="zh-CN"/>
                    </w:rPr>
                    <w:t>1</w:t>
                  </w:r>
                  <w:r>
                    <w:rPr>
                      <w:rFonts w:ascii="Times New Roman" w:hAnsi="Times New Roman" w:cs="Times New Roman"/>
                      <w:color w:val="auto"/>
                      <w:sz w:val="21"/>
                      <w:szCs w:val="21"/>
                    </w:rPr>
                    <w:t>次/</w:t>
                  </w:r>
                  <w:r>
                    <w:rPr>
                      <w:rFonts w:hint="eastAsia" w:ascii="Times New Roman" w:hAnsi="Times New Roman" w:cs="Times New Roman"/>
                      <w:color w:val="auto"/>
                      <w:sz w:val="21"/>
                      <w:szCs w:val="21"/>
                      <w:lang w:eastAsia="zh-CN"/>
                    </w:rPr>
                    <w:t>年</w:t>
                  </w:r>
                </w:p>
              </w:tc>
              <w:tc>
                <w:tcPr>
                  <w:tcW w:w="2638" w:type="dxa"/>
                  <w:tcBorders>
                    <w:tl2br w:val="nil"/>
                    <w:tr2bl w:val="nil"/>
                  </w:tcBorders>
                  <w:vAlign w:val="center"/>
                </w:tcPr>
                <w:p w14:paraId="52E4E894">
                  <w:pPr>
                    <w:spacing w:line="320" w:lineRule="exact"/>
                    <w:jc w:val="center"/>
                    <w:rPr>
                      <w:snapToGrid w:val="0"/>
                      <w:color w:val="auto"/>
                      <w:kern w:val="0"/>
                      <w:sz w:val="21"/>
                      <w:szCs w:val="21"/>
                      <w:lang w:val="zh-CN" w:bidi="zh-CN"/>
                    </w:rPr>
                  </w:pPr>
                  <w:commentRangeStart w:id="35"/>
                  <w:r>
                    <w:rPr>
                      <w:snapToGrid w:val="0"/>
                      <w:color w:val="auto"/>
                      <w:kern w:val="0"/>
                      <w:sz w:val="21"/>
                      <w:szCs w:val="21"/>
                      <w:lang w:val="zh-CN" w:bidi="zh-CN"/>
                    </w:rPr>
                    <w:t>《挥发性有机物无组织排放控制标准》</w:t>
                  </w:r>
                  <w:commentRangeEnd w:id="35"/>
                  <w:r>
                    <w:rPr>
                      <w:color w:val="auto"/>
                    </w:rPr>
                    <w:commentReference w:id="35"/>
                  </w:r>
                  <w:r>
                    <w:rPr>
                      <w:snapToGrid w:val="0"/>
                      <w:color w:val="auto"/>
                      <w:kern w:val="0"/>
                      <w:sz w:val="21"/>
                      <w:szCs w:val="21"/>
                      <w:lang w:val="zh-CN" w:bidi="zh-CN"/>
                    </w:rPr>
                    <w:t>（GB37822-2019）</w:t>
                  </w:r>
                  <w:r>
                    <w:rPr>
                      <w:rFonts w:hint="eastAsia"/>
                      <w:snapToGrid w:val="0"/>
                      <w:color w:val="0000FF"/>
                      <w:kern w:val="0"/>
                      <w:sz w:val="21"/>
                      <w:szCs w:val="21"/>
                      <w:lang w:val="en-US" w:bidi="zh-CN"/>
                    </w:rPr>
                    <w:t>中</w:t>
                  </w:r>
                  <w:r>
                    <w:rPr>
                      <w:rFonts w:hint="eastAsia"/>
                      <w:snapToGrid w:val="0"/>
                      <w:color w:val="0000FF"/>
                      <w:kern w:val="0"/>
                      <w:sz w:val="21"/>
                      <w:szCs w:val="21"/>
                      <w:lang w:val="zh-CN" w:eastAsia="zh-CN" w:bidi="zh-CN"/>
                    </w:rPr>
                    <w:t>表A.1</w:t>
                  </w:r>
                  <w:r>
                    <w:rPr>
                      <w:snapToGrid w:val="0"/>
                      <w:color w:val="auto"/>
                      <w:kern w:val="0"/>
                      <w:sz w:val="21"/>
                      <w:szCs w:val="21"/>
                      <w:lang w:val="zh-CN" w:bidi="zh-CN"/>
                    </w:rPr>
                    <w:t>标准限值</w:t>
                  </w:r>
                </w:p>
              </w:tc>
            </w:tr>
          </w:tbl>
          <w:p w14:paraId="6834A081">
            <w:pPr>
              <w:pStyle w:val="36"/>
              <w:spacing w:before="0" w:after="0" w:line="480" w:lineRule="exact"/>
              <w:ind w:right="0" w:firstLine="482" w:firstLineChars="200"/>
              <w:jc w:val="both"/>
              <w:rPr>
                <w:b/>
                <w:bCs/>
                <w:color w:val="auto"/>
                <w:sz w:val="24"/>
                <w:szCs w:val="24"/>
                <w:lang w:bidi="ar"/>
              </w:rPr>
            </w:pPr>
            <w:r>
              <w:rPr>
                <w:rFonts w:hint="eastAsia"/>
                <w:b/>
                <w:bCs/>
                <w:color w:val="auto"/>
                <w:sz w:val="24"/>
                <w:szCs w:val="24"/>
                <w:lang w:bidi="ar"/>
              </w:rPr>
              <w:t>2、</w:t>
            </w:r>
            <w:commentRangeStart w:id="36"/>
            <w:commentRangeStart w:id="37"/>
            <w:r>
              <w:rPr>
                <w:rFonts w:hint="eastAsia"/>
                <w:b/>
                <w:bCs/>
                <w:color w:val="auto"/>
                <w:sz w:val="24"/>
                <w:szCs w:val="24"/>
                <w:lang w:bidi="ar"/>
              </w:rPr>
              <w:t>水环境影响分析及保护措施</w:t>
            </w:r>
            <w:commentRangeEnd w:id="36"/>
            <w:r>
              <w:rPr>
                <w:color w:val="auto"/>
              </w:rPr>
              <w:commentReference w:id="36"/>
            </w:r>
            <w:commentRangeEnd w:id="37"/>
            <w:r>
              <w:commentReference w:id="37"/>
            </w:r>
          </w:p>
          <w:p w14:paraId="165A7BAE">
            <w:pPr>
              <w:spacing w:line="500" w:lineRule="exact"/>
              <w:ind w:firstLine="482" w:firstLineChars="200"/>
              <w:rPr>
                <w:rFonts w:hint="default" w:eastAsia="宋体"/>
                <w:b/>
                <w:bCs/>
                <w:color w:val="auto"/>
                <w:lang w:val="en-US" w:eastAsia="zh-CN"/>
              </w:rPr>
            </w:pPr>
            <w:r>
              <w:rPr>
                <w:rFonts w:hint="eastAsia"/>
                <w:b/>
                <w:bCs/>
                <w:color w:val="auto"/>
                <w:lang w:val="en-US" w:eastAsia="zh-CN"/>
              </w:rPr>
              <w:t>2.1废水源强及保护措施</w:t>
            </w:r>
          </w:p>
          <w:p w14:paraId="40E2F70E">
            <w:pPr>
              <w:spacing w:line="500" w:lineRule="exact"/>
              <w:ind w:firstLine="480" w:firstLineChars="200"/>
              <w:rPr>
                <w:color w:val="auto"/>
                <w:lang w:bidi="ar"/>
              </w:rPr>
            </w:pPr>
            <w:r>
              <w:rPr>
                <w:color w:val="auto"/>
              </w:rPr>
              <w:t>本项目运营期产生的废水主要为</w:t>
            </w:r>
            <w:r>
              <w:rPr>
                <w:rFonts w:hint="eastAsia"/>
                <w:bCs/>
                <w:color w:val="auto"/>
                <w:lang w:bidi="ar"/>
              </w:rPr>
              <w:t>维修车间清洗废水</w:t>
            </w:r>
            <w:r>
              <w:rPr>
                <w:rFonts w:hint="eastAsia"/>
                <w:color w:val="auto"/>
              </w:rPr>
              <w:t>、</w:t>
            </w:r>
            <w:r>
              <w:rPr>
                <w:color w:val="auto"/>
              </w:rPr>
              <w:t>生活污水</w:t>
            </w:r>
            <w:r>
              <w:rPr>
                <w:rFonts w:hint="eastAsia"/>
                <w:color w:val="auto"/>
              </w:rPr>
              <w:t>和初期雨水</w:t>
            </w:r>
            <w:r>
              <w:rPr>
                <w:color w:val="auto"/>
              </w:rPr>
              <w:t>。</w:t>
            </w:r>
          </w:p>
          <w:p w14:paraId="50566279">
            <w:pPr>
              <w:pStyle w:val="34"/>
              <w:spacing w:line="520" w:lineRule="exact"/>
              <w:ind w:firstLineChars="200"/>
              <w:rPr>
                <w:rFonts w:ascii="Times New Roman" w:hAnsi="Times New Roman" w:eastAsia="宋体"/>
                <w:color w:val="auto"/>
                <w:szCs w:val="24"/>
                <w:lang w:bidi="ar"/>
              </w:rPr>
            </w:pPr>
            <w:r>
              <w:rPr>
                <w:rFonts w:hint="eastAsia" w:ascii="Times New Roman" w:hAnsi="Times New Roman" w:eastAsia="宋体"/>
                <w:color w:val="auto"/>
                <w:szCs w:val="24"/>
                <w:lang w:bidi="ar"/>
              </w:rPr>
              <w:t>（1）维修车间清洗废水</w:t>
            </w:r>
          </w:p>
          <w:p w14:paraId="6EB4B53F">
            <w:pPr>
              <w:pStyle w:val="36"/>
              <w:keepNext w:val="0"/>
              <w:keepLines w:val="0"/>
              <w:pageBreakBefore w:val="0"/>
              <w:kinsoku/>
              <w:wordWrap/>
              <w:overflowPunct/>
              <w:topLinePunct w:val="0"/>
              <w:bidi w:val="0"/>
              <w:spacing w:before="0" w:after="0" w:line="520" w:lineRule="exact"/>
              <w:ind w:right="0" w:firstLine="480" w:firstLineChars="200"/>
              <w:jc w:val="both"/>
              <w:textAlignment w:val="auto"/>
              <w:rPr>
                <w:rFonts w:hint="default" w:ascii="Times New Roman" w:hAnsi="Times New Roman" w:eastAsia="宋体" w:cs="Times New Roman"/>
                <w:color w:val="auto"/>
                <w:sz w:val="24"/>
                <w:szCs w:val="24"/>
                <w:lang w:bidi="ar"/>
              </w:rPr>
            </w:pPr>
            <w:r>
              <w:rPr>
                <w:rFonts w:hint="eastAsia"/>
                <w:bCs/>
                <w:color w:val="auto"/>
                <w:sz w:val="24"/>
                <w:szCs w:val="24"/>
                <w:lang w:bidi="ar"/>
              </w:rPr>
              <w:t>维修车间清洗废水</w:t>
            </w:r>
            <w:r>
              <w:rPr>
                <w:rFonts w:hint="eastAsia"/>
                <w:color w:val="auto"/>
                <w:sz w:val="24"/>
                <w:szCs w:val="24"/>
              </w:rPr>
              <w:t>包括维修件清洗定期排污水及车间地面清洗废水。维修件清洗定期排污水量为0.04m</w:t>
            </w:r>
            <w:r>
              <w:rPr>
                <w:rFonts w:hint="eastAsia"/>
                <w:color w:val="auto"/>
                <w:sz w:val="24"/>
                <w:szCs w:val="24"/>
                <w:vertAlign w:val="superscript"/>
              </w:rPr>
              <w:t>3</w:t>
            </w:r>
            <w:r>
              <w:rPr>
                <w:rFonts w:hint="eastAsia"/>
                <w:color w:val="auto"/>
                <w:sz w:val="24"/>
                <w:szCs w:val="24"/>
              </w:rPr>
              <w:t>/d，车间地面清洗废水产生量按用水量90%计，污水产生量为5.26m</w:t>
            </w:r>
            <w:r>
              <w:rPr>
                <w:rFonts w:hint="eastAsia"/>
                <w:color w:val="auto"/>
                <w:sz w:val="24"/>
                <w:szCs w:val="24"/>
                <w:vertAlign w:val="superscript"/>
              </w:rPr>
              <w:t>3</w:t>
            </w:r>
            <w:r>
              <w:rPr>
                <w:rFonts w:hint="eastAsia"/>
                <w:color w:val="auto"/>
                <w:sz w:val="24"/>
                <w:szCs w:val="24"/>
              </w:rPr>
              <w:t>/d，则清洗废水量合计为5.3m</w:t>
            </w:r>
            <w:r>
              <w:rPr>
                <w:rFonts w:hint="eastAsia"/>
                <w:color w:val="auto"/>
                <w:sz w:val="24"/>
                <w:szCs w:val="24"/>
                <w:vertAlign w:val="superscript"/>
              </w:rPr>
              <w:t>3</w:t>
            </w:r>
            <w:r>
              <w:rPr>
                <w:rFonts w:hint="eastAsia"/>
                <w:color w:val="auto"/>
                <w:sz w:val="24"/>
                <w:szCs w:val="24"/>
              </w:rPr>
              <w:t>/d、1330.3m</w:t>
            </w:r>
            <w:r>
              <w:rPr>
                <w:rFonts w:hint="eastAsia"/>
                <w:color w:val="auto"/>
                <w:sz w:val="24"/>
                <w:szCs w:val="24"/>
                <w:vertAlign w:val="superscript"/>
              </w:rPr>
              <w:t>3</w:t>
            </w:r>
            <w:r>
              <w:rPr>
                <w:rFonts w:hint="eastAsia"/>
                <w:color w:val="auto"/>
                <w:sz w:val="24"/>
                <w:szCs w:val="24"/>
              </w:rPr>
              <w:t>/a。</w:t>
            </w:r>
            <w:r>
              <w:rPr>
                <w:rFonts w:hint="eastAsia"/>
                <w:color w:val="auto"/>
                <w:sz w:val="24"/>
                <w:szCs w:val="24"/>
                <w:lang w:val="en-US" w:eastAsia="zh-CN"/>
              </w:rPr>
              <w:t>清洗时添加碱性清洗剂，根据《汽车修理养护业水污染物排放标准》编制说明（征求意见稿），北京某长汽修理厂原废水污染物浓度为pH：11、COD：1102～1870mg/L、SS：450～868mg/L、石油类320～760mg/L，参照该浓度并结合调研资料，本项目清洗废水</w:t>
            </w:r>
            <w:r>
              <w:rPr>
                <w:rFonts w:hint="eastAsia" w:ascii="Times New Roman" w:hAnsi="Times New Roman" w:eastAsia="宋体"/>
                <w:color w:val="auto"/>
                <w:sz w:val="24"/>
                <w:szCs w:val="24"/>
                <w:lang w:val="en-US" w:eastAsia="zh-CN"/>
              </w:rPr>
              <w:t>主要污染物浓度为</w:t>
            </w:r>
            <w:r>
              <w:rPr>
                <w:rFonts w:hint="eastAsia"/>
                <w:color w:val="auto"/>
                <w:sz w:val="24"/>
                <w:szCs w:val="24"/>
                <w:lang w:val="en-US" w:eastAsia="zh-CN"/>
              </w:rPr>
              <w:t>pH：11、</w:t>
            </w:r>
            <w:r>
              <w:rPr>
                <w:rFonts w:hint="eastAsia" w:ascii="Times New Roman" w:hAnsi="Times New Roman" w:eastAsia="宋体"/>
                <w:color w:val="auto"/>
                <w:sz w:val="24"/>
                <w:szCs w:val="24"/>
                <w:lang w:val="en-US" w:eastAsia="zh-CN"/>
              </w:rPr>
              <w:t>COD：</w:t>
            </w:r>
            <w:r>
              <w:rPr>
                <w:rFonts w:hint="eastAsia"/>
                <w:color w:val="auto"/>
                <w:sz w:val="24"/>
                <w:szCs w:val="24"/>
                <w:lang w:val="en-US" w:eastAsia="zh-CN"/>
              </w:rPr>
              <w:t>15</w:t>
            </w:r>
            <w:r>
              <w:rPr>
                <w:rFonts w:hint="eastAsia" w:ascii="Times New Roman" w:hAnsi="Times New Roman" w:eastAsia="宋体"/>
                <w:color w:val="auto"/>
                <w:sz w:val="24"/>
                <w:szCs w:val="24"/>
                <w:lang w:val="en-US" w:eastAsia="zh-CN"/>
              </w:rPr>
              <w:t>00mg/L、BOD</w:t>
            </w:r>
            <w:r>
              <w:rPr>
                <w:rFonts w:hint="eastAsia" w:ascii="Times New Roman" w:hAnsi="Times New Roman" w:eastAsia="宋体"/>
                <w:color w:val="auto"/>
                <w:sz w:val="24"/>
                <w:szCs w:val="24"/>
                <w:vertAlign w:val="subscript"/>
                <w:lang w:val="en-US" w:eastAsia="zh-CN"/>
              </w:rPr>
              <w:t>5</w:t>
            </w:r>
            <w:r>
              <w:rPr>
                <w:rFonts w:hint="eastAsia" w:ascii="Times New Roman" w:hAnsi="Times New Roman" w:eastAsia="宋体"/>
                <w:color w:val="auto"/>
                <w:sz w:val="24"/>
                <w:szCs w:val="24"/>
                <w:lang w:val="en-US" w:eastAsia="zh-CN"/>
              </w:rPr>
              <w:t>：</w:t>
            </w:r>
            <w:r>
              <w:rPr>
                <w:rFonts w:hint="eastAsia"/>
                <w:color w:val="auto"/>
                <w:sz w:val="24"/>
                <w:szCs w:val="24"/>
                <w:lang w:val="en-US" w:eastAsia="zh-CN"/>
              </w:rPr>
              <w:t>50</w:t>
            </w:r>
            <w:r>
              <w:rPr>
                <w:rFonts w:hint="eastAsia" w:ascii="Times New Roman" w:hAnsi="Times New Roman" w:eastAsia="宋体"/>
                <w:color w:val="auto"/>
                <w:sz w:val="24"/>
                <w:szCs w:val="24"/>
                <w:lang w:val="en-US" w:eastAsia="zh-CN"/>
              </w:rPr>
              <w:t>0mg/L、SS：</w:t>
            </w:r>
            <w:r>
              <w:rPr>
                <w:rFonts w:hint="eastAsia"/>
                <w:color w:val="auto"/>
                <w:sz w:val="24"/>
                <w:szCs w:val="24"/>
                <w:lang w:val="en-US" w:eastAsia="zh-CN"/>
              </w:rPr>
              <w:t>65</w:t>
            </w:r>
            <w:r>
              <w:rPr>
                <w:rFonts w:hint="eastAsia" w:ascii="Times New Roman" w:hAnsi="Times New Roman" w:eastAsia="宋体"/>
                <w:color w:val="auto"/>
                <w:sz w:val="24"/>
                <w:szCs w:val="24"/>
                <w:lang w:val="en-US" w:eastAsia="zh-CN"/>
              </w:rPr>
              <w:t>0mg/L、石油类：</w:t>
            </w:r>
            <w:r>
              <w:rPr>
                <w:rFonts w:hint="eastAsia"/>
                <w:color w:val="auto"/>
                <w:sz w:val="24"/>
                <w:szCs w:val="24"/>
                <w:lang w:val="en-US" w:eastAsia="zh-CN"/>
              </w:rPr>
              <w:t>55</w:t>
            </w:r>
            <w:r>
              <w:rPr>
                <w:rFonts w:hint="eastAsia" w:ascii="Times New Roman" w:hAnsi="Times New Roman" w:eastAsia="宋体"/>
                <w:color w:val="auto"/>
                <w:sz w:val="24"/>
                <w:szCs w:val="24"/>
                <w:lang w:val="en-US" w:eastAsia="zh-CN"/>
              </w:rPr>
              <w:t>0mg/L</w:t>
            </w:r>
            <w:r>
              <w:rPr>
                <w:rFonts w:hint="eastAsia"/>
                <w:color w:val="auto"/>
                <w:sz w:val="24"/>
                <w:szCs w:val="24"/>
                <w:lang w:val="en-US" w:eastAsia="zh-CN"/>
              </w:rPr>
              <w:t>、锌：3.0</w:t>
            </w:r>
            <w:r>
              <w:rPr>
                <w:rFonts w:hint="eastAsia" w:ascii="Times New Roman" w:hAnsi="Times New Roman" w:eastAsia="宋体"/>
                <w:color w:val="auto"/>
                <w:sz w:val="24"/>
                <w:szCs w:val="24"/>
                <w:lang w:val="en-US" w:eastAsia="zh-CN"/>
              </w:rPr>
              <w:t>mg/L</w:t>
            </w:r>
            <w:r>
              <w:rPr>
                <w:rFonts w:hint="eastAsia"/>
                <w:color w:val="auto"/>
                <w:sz w:val="24"/>
                <w:szCs w:val="24"/>
                <w:lang w:val="en-US" w:eastAsia="zh-CN"/>
              </w:rPr>
              <w:t>、铅：0.3</w:t>
            </w:r>
            <w:r>
              <w:rPr>
                <w:rFonts w:hint="eastAsia" w:ascii="Times New Roman" w:hAnsi="Times New Roman" w:eastAsia="宋体"/>
                <w:color w:val="auto"/>
                <w:sz w:val="24"/>
                <w:szCs w:val="24"/>
                <w:lang w:val="en-US" w:eastAsia="zh-CN"/>
              </w:rPr>
              <w:t>mg/L</w:t>
            </w:r>
            <w:r>
              <w:rPr>
                <w:rFonts w:hint="eastAsia"/>
                <w:color w:val="auto"/>
                <w:sz w:val="24"/>
                <w:szCs w:val="24"/>
                <w:lang w:val="en-US" w:eastAsia="zh-CN"/>
              </w:rPr>
              <w:t>、LAS：80</w:t>
            </w:r>
            <w:r>
              <w:rPr>
                <w:rFonts w:hint="eastAsia" w:ascii="Times New Roman" w:hAnsi="Times New Roman" w:eastAsia="宋体"/>
                <w:color w:val="auto"/>
                <w:sz w:val="24"/>
                <w:szCs w:val="24"/>
                <w:lang w:val="en-US" w:eastAsia="zh-CN"/>
              </w:rPr>
              <w:t>mg/L。</w:t>
            </w:r>
          </w:p>
          <w:p w14:paraId="4A08A502">
            <w:pPr>
              <w:keepNext w:val="0"/>
              <w:keepLines w:val="0"/>
              <w:pageBreakBefore w:val="0"/>
              <w:kinsoku/>
              <w:wordWrap/>
              <w:overflowPunct/>
              <w:topLinePunct w:val="0"/>
              <w:bidi w:val="0"/>
              <w:spacing w:line="520" w:lineRule="exact"/>
              <w:ind w:right="0" w:firstLine="480" w:firstLineChars="200"/>
              <w:jc w:val="both"/>
              <w:textAlignment w:val="auto"/>
              <w:rPr>
                <w:rFonts w:hint="default" w:cs="Times New Roman"/>
                <w:color w:val="auto"/>
                <w:sz w:val="24"/>
                <w:szCs w:val="24"/>
                <w:lang w:val="en-US" w:eastAsia="zh-CN" w:bidi="ar"/>
              </w:rPr>
            </w:pPr>
            <w:r>
              <w:rPr>
                <w:rFonts w:hint="eastAsia"/>
                <w:color w:val="auto"/>
                <w:lang w:val="en-US" w:eastAsia="zh-CN"/>
              </w:rPr>
              <w:t>维修车间设1座1m</w:t>
            </w:r>
            <w:r>
              <w:rPr>
                <w:rFonts w:hint="eastAsia"/>
                <w:color w:val="auto"/>
                <w:vertAlign w:val="superscript"/>
                <w:lang w:val="en-US" w:eastAsia="zh-CN"/>
              </w:rPr>
              <w:t>3</w:t>
            </w:r>
            <w:r>
              <w:rPr>
                <w:rFonts w:hint="eastAsia"/>
                <w:color w:val="auto"/>
                <w:lang w:val="en-US" w:eastAsia="zh-CN"/>
              </w:rPr>
              <w:t>/h的一体化污水处理设施，处理工艺为</w:t>
            </w:r>
            <w:r>
              <w:rPr>
                <w:rFonts w:hint="eastAsia"/>
                <w:color w:val="auto"/>
              </w:rPr>
              <w:t>“</w:t>
            </w:r>
            <w:r>
              <w:rPr>
                <w:rFonts w:hint="eastAsia"/>
                <w:color w:val="auto"/>
                <w:lang w:val="en-US" w:eastAsia="zh-CN"/>
              </w:rPr>
              <w:t>破乳除油+中和+混凝沉淀</w:t>
            </w:r>
            <w:r>
              <w:rPr>
                <w:rFonts w:hint="eastAsia"/>
                <w:color w:val="auto"/>
              </w:rPr>
              <w:t>+砂滤+超滤+反渗透”</w:t>
            </w:r>
            <w:r>
              <w:rPr>
                <w:rFonts w:hint="eastAsia"/>
                <w:color w:val="auto"/>
                <w:lang w:val="en-US" w:eastAsia="zh-CN"/>
              </w:rPr>
              <w:t>，</w:t>
            </w:r>
            <w:r>
              <w:rPr>
                <w:rFonts w:hint="eastAsia"/>
                <w:color w:val="auto"/>
              </w:rPr>
              <w:t>清洗废水经一体化污水处理设施处理后</w:t>
            </w:r>
            <w:r>
              <w:rPr>
                <w:rFonts w:hint="eastAsia"/>
                <w:color w:val="auto"/>
                <w:lang w:val="en-US" w:eastAsia="zh-CN"/>
              </w:rPr>
              <w:t>回用于厂区绿化、道路洒水</w:t>
            </w:r>
            <w:r>
              <w:rPr>
                <w:rFonts w:hint="eastAsia"/>
                <w:color w:val="auto"/>
              </w:rPr>
              <w:t>。</w:t>
            </w:r>
          </w:p>
          <w:p w14:paraId="79E34C71">
            <w:pPr>
              <w:spacing w:line="520" w:lineRule="exact"/>
              <w:ind w:firstLine="480" w:firstLineChars="200"/>
              <w:rPr>
                <w:color w:val="auto"/>
              </w:rPr>
            </w:pPr>
            <w:r>
              <w:rPr>
                <w:color w:val="auto"/>
              </w:rPr>
              <w:t>废水处理工艺见下图。</w:t>
            </w:r>
          </w:p>
          <w:p w14:paraId="57A2CF55">
            <w:pPr>
              <w:spacing w:line="520" w:lineRule="exact"/>
              <w:ind w:firstLine="480" w:firstLineChars="200"/>
              <w:rPr>
                <w:color w:val="auto"/>
              </w:rPr>
            </w:pPr>
          </w:p>
          <w:p w14:paraId="1DD6B7B2">
            <w:pPr>
              <w:spacing w:line="520" w:lineRule="exact"/>
              <w:ind w:firstLine="480" w:firstLineChars="200"/>
              <w:rPr>
                <w:rFonts w:hint="eastAsia" w:eastAsia="宋体"/>
                <w:color w:val="auto"/>
                <w:lang w:eastAsia="zh-CN"/>
              </w:rPr>
            </w:pPr>
          </w:p>
          <w:p w14:paraId="09622210">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eastAsia="宋体"/>
                <w:color w:val="auto"/>
                <w:lang w:eastAsia="zh-CN"/>
              </w:rPr>
            </w:pPr>
          </w:p>
          <w:p w14:paraId="150AFA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mc:AlternateContent>
                <mc:Choice Requires="wpc">
                  <w:drawing>
                    <wp:inline distT="0" distB="0" distL="114300" distR="114300">
                      <wp:extent cx="3250565" cy="5051425"/>
                      <wp:effectExtent l="0" t="0" r="0" b="15875"/>
                      <wp:docPr id="303" name="画布 303"/>
                      <wp:cNvGraphicFramePr/>
                      <a:graphic xmlns:a="http://schemas.openxmlformats.org/drawingml/2006/main">
                        <a:graphicData uri="http://schemas.microsoft.com/office/word/2010/wordprocessingCanvas">
                          <wpc:wpc>
                            <wpc:bg>
                              <a:noFill/>
                            </wpc:bg>
                            <wpc:whole>
                              <a:ln>
                                <a:noFill/>
                              </a:ln>
                            </wpc:whole>
                            <wps:wsp>
                              <wps:cNvPr id="304" name="直接连接符 66"/>
                              <wps:cNvCnPr/>
                              <wps:spPr>
                                <a:xfrm>
                                  <a:off x="1694180" y="341630"/>
                                  <a:ext cx="0" cy="381635"/>
                                </a:xfrm>
                                <a:prstGeom prst="line">
                                  <a:avLst/>
                                </a:prstGeom>
                                <a:ln w="9525" cap="flat" cmpd="sng">
                                  <a:solidFill>
                                    <a:srgbClr val="000000"/>
                                  </a:solidFill>
                                  <a:prstDash val="solid"/>
                                  <a:headEnd type="none" w="med" len="med"/>
                                  <a:tailEnd type="triangle" w="med" len="med"/>
                                </a:ln>
                              </wps:spPr>
                              <wps:bodyPr upright="1"/>
                            </wps:wsp>
                            <wps:wsp>
                              <wps:cNvPr id="306" name="文本框 68"/>
                              <wps:cNvSpPr txBox="1"/>
                              <wps:spPr>
                                <a:xfrm>
                                  <a:off x="1398905" y="65405"/>
                                  <a:ext cx="578485" cy="279400"/>
                                </a:xfrm>
                                <a:prstGeom prst="rect">
                                  <a:avLst/>
                                </a:prstGeom>
                                <a:solidFill>
                                  <a:srgbClr val="FFFFFF"/>
                                </a:solidFill>
                                <a:ln>
                                  <a:noFill/>
                                </a:ln>
                              </wps:spPr>
                              <wps:txbx>
                                <w:txbxContent>
                                  <w:p w14:paraId="3DE0143F">
                                    <w:pPr>
                                      <w:spacing w:line="360" w:lineRule="exact"/>
                                      <w:ind w:firstLine="0" w:firstLineChars="0"/>
                                      <w:jc w:val="center"/>
                                      <w:rPr>
                                        <w:rFonts w:hint="default" w:ascii="Times New Roman" w:hAnsi="Times New Roman" w:eastAsia="宋体" w:cs="Times New Roman"/>
                                        <w:sz w:val="21"/>
                                        <w:szCs w:val="21"/>
                                        <w:lang w:val="en-US"/>
                                      </w:rPr>
                                    </w:pPr>
                                    <w:r>
                                      <w:rPr>
                                        <w:rFonts w:hint="eastAsia" w:ascii="Times New Roman" w:hAnsi="Times New Roman" w:cs="Times New Roman"/>
                                        <w:sz w:val="21"/>
                                        <w:szCs w:val="21"/>
                                        <w:lang w:val="en-US" w:eastAsia="zh-CN"/>
                                      </w:rPr>
                                      <w:t>清洗废水</w:t>
                                    </w:r>
                                  </w:p>
                                </w:txbxContent>
                              </wps:txbx>
                              <wps:bodyPr lIns="0" tIns="0" rIns="0" bIns="0" upright="1"/>
                            </wps:wsp>
                            <wps:wsp>
                              <wps:cNvPr id="328" name="文本框 67"/>
                              <wps:cNvSpPr txBox="1"/>
                              <wps:spPr>
                                <a:xfrm>
                                  <a:off x="1322705" y="722630"/>
                                  <a:ext cx="73914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901C5D">
                                    <w:pPr>
                                      <w:spacing w:line="36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破乳除油</w:t>
                                    </w:r>
                                  </w:p>
                                </w:txbxContent>
                              </wps:txbx>
                              <wps:bodyPr lIns="0" tIns="0" rIns="0" bIns="0" upright="1"/>
                            </wps:wsp>
                            <wps:wsp>
                              <wps:cNvPr id="238" name="文本框 167"/>
                              <wps:cNvSpPr txBox="1"/>
                              <wps:spPr>
                                <a:xfrm>
                                  <a:off x="208280" y="760730"/>
                                  <a:ext cx="701040" cy="222885"/>
                                </a:xfrm>
                                <a:prstGeom prst="rect">
                                  <a:avLst/>
                                </a:prstGeom>
                                <a:noFill/>
                                <a:ln>
                                  <a:noFill/>
                                </a:ln>
                              </wps:spPr>
                              <wps:txbx>
                                <w:txbxContent>
                                  <w:p w14:paraId="318E85DD">
                                    <w:pPr>
                                      <w:rPr>
                                        <w:rFonts w:hint="default"/>
                                        <w:color w:val="auto"/>
                                        <w:lang w:val="en-US"/>
                                      </w:rPr>
                                    </w:pPr>
                                    <w:r>
                                      <w:rPr>
                                        <w:rFonts w:hint="eastAsia"/>
                                        <w:bCs/>
                                        <w:color w:val="auto"/>
                                        <w:sz w:val="21"/>
                                        <w:szCs w:val="21"/>
                                        <w:lang w:val="en-US" w:eastAsia="zh-CN"/>
                                      </w:rPr>
                                      <w:t>CaCl·2H</w:t>
                                    </w:r>
                                    <w:r>
                                      <w:rPr>
                                        <w:rFonts w:hint="eastAsia"/>
                                        <w:bCs/>
                                        <w:color w:val="auto"/>
                                        <w:sz w:val="21"/>
                                        <w:szCs w:val="21"/>
                                        <w:vertAlign w:val="subscript"/>
                                        <w:lang w:val="en-US" w:eastAsia="zh-CN"/>
                                      </w:rPr>
                                      <w:t>2</w:t>
                                    </w:r>
                                    <w:r>
                                      <w:rPr>
                                        <w:rFonts w:hint="eastAsia"/>
                                        <w:bCs/>
                                        <w:color w:val="auto"/>
                                        <w:sz w:val="21"/>
                                        <w:szCs w:val="21"/>
                                        <w:lang w:val="en-US" w:eastAsia="zh-CN"/>
                                      </w:rPr>
                                      <w:t>O</w:t>
                                    </w:r>
                                  </w:p>
                                </w:txbxContent>
                              </wps:txbx>
                              <wps:bodyPr lIns="0" tIns="0" rIns="0" bIns="0" upright="1"/>
                            </wps:wsp>
                            <wps:wsp>
                              <wps:cNvPr id="329" name="直接连接符 69"/>
                              <wps:cNvCnPr/>
                              <wps:spPr>
                                <a:xfrm>
                                  <a:off x="932180" y="865505"/>
                                  <a:ext cx="360045" cy="0"/>
                                </a:xfrm>
                                <a:prstGeom prst="line">
                                  <a:avLst/>
                                </a:prstGeom>
                                <a:ln w="9525" cap="flat" cmpd="sng">
                                  <a:solidFill>
                                    <a:srgbClr val="000000"/>
                                  </a:solidFill>
                                  <a:prstDash val="solid"/>
                                  <a:headEnd type="none" w="med" len="med"/>
                                  <a:tailEnd type="triangle" w="med" len="med"/>
                                </a:ln>
                              </wps:spPr>
                              <wps:bodyPr upright="1"/>
                            </wps:wsp>
                            <wps:wsp>
                              <wps:cNvPr id="330" name="任意多边形 119"/>
                              <wps:cNvSpPr/>
                              <wps:spPr>
                                <a:xfrm>
                                  <a:off x="1884680" y="575945"/>
                                  <a:ext cx="279400" cy="165100"/>
                                </a:xfrm>
                                <a:custGeom>
                                  <a:avLst/>
                                  <a:gdLst/>
                                  <a:ahLst/>
                                  <a:cxnLst/>
                                  <a:pathLst>
                                    <a:path w="630" h="468">
                                      <a:moveTo>
                                        <a:pt x="0" y="468"/>
                                      </a:moveTo>
                                      <a:cubicBezTo>
                                        <a:pt x="78" y="338"/>
                                        <a:pt x="157" y="208"/>
                                        <a:pt x="210" y="156"/>
                                      </a:cubicBezTo>
                                      <a:cubicBezTo>
                                        <a:pt x="263" y="104"/>
                                        <a:pt x="298" y="130"/>
                                        <a:pt x="315" y="156"/>
                                      </a:cubicBezTo>
                                      <a:cubicBezTo>
                                        <a:pt x="332" y="182"/>
                                        <a:pt x="262" y="338"/>
                                        <a:pt x="315" y="312"/>
                                      </a:cubicBezTo>
                                      <a:cubicBezTo>
                                        <a:pt x="368" y="286"/>
                                        <a:pt x="577" y="52"/>
                                        <a:pt x="630" y="0"/>
                                      </a:cubicBezTo>
                                    </a:path>
                                  </a:pathLst>
                                </a:custGeom>
                                <a:noFill/>
                                <a:ln w="9525" cap="flat" cmpd="sng">
                                  <a:solidFill>
                                    <a:srgbClr val="000000"/>
                                  </a:solidFill>
                                  <a:prstDash val="solid"/>
                                  <a:headEnd type="none" w="med" len="med"/>
                                  <a:tailEnd type="triangle" w="med" len="med"/>
                                </a:ln>
                              </wps:spPr>
                              <wps:bodyPr upright="1"/>
                            </wps:wsp>
                            <wps:wsp>
                              <wps:cNvPr id="331" name="文本框 130"/>
                              <wps:cNvSpPr txBox="1"/>
                              <wps:spPr>
                                <a:xfrm>
                                  <a:off x="1894205" y="313055"/>
                                  <a:ext cx="436245" cy="279400"/>
                                </a:xfrm>
                                <a:prstGeom prst="rect">
                                  <a:avLst/>
                                </a:prstGeom>
                                <a:noFill/>
                                <a:ln>
                                  <a:noFill/>
                                </a:ln>
                              </wps:spPr>
                              <wps:txbx>
                                <w:txbxContent>
                                  <w:p w14:paraId="1E8EB40A">
                                    <w:pPr>
                                      <w:spacing w:line="360" w:lineRule="exact"/>
                                      <w:ind w:firstLine="0" w:firstLineChars="0"/>
                                      <w:jc w:val="center"/>
                                      <w:rPr>
                                        <w:rFonts w:hint="default" w:ascii="Times New Roman" w:hAnsi="Times New Roman" w:eastAsia="宋体" w:cs="Times New Roman"/>
                                        <w:sz w:val="21"/>
                                        <w:szCs w:val="21"/>
                                        <w:lang w:val="en-US"/>
                                      </w:rPr>
                                    </w:pPr>
                                    <w:r>
                                      <w:rPr>
                                        <w:rFonts w:hint="eastAsia" w:ascii="Times New Roman" w:hAnsi="Times New Roman" w:cs="Times New Roman"/>
                                        <w:sz w:val="21"/>
                                        <w:szCs w:val="21"/>
                                        <w:lang w:val="en-US" w:eastAsia="zh-CN"/>
                                      </w:rPr>
                                      <w:t>废油</w:t>
                                    </w:r>
                                  </w:p>
                                </w:txbxContent>
                              </wps:txbx>
                              <wps:bodyPr lIns="0" tIns="0" rIns="0" bIns="0" upright="1"/>
                            </wps:wsp>
                            <wps:wsp>
                              <wps:cNvPr id="332" name="直接连接符 66"/>
                              <wps:cNvCnPr/>
                              <wps:spPr>
                                <a:xfrm>
                                  <a:off x="1684655" y="1008380"/>
                                  <a:ext cx="0" cy="381635"/>
                                </a:xfrm>
                                <a:prstGeom prst="line">
                                  <a:avLst/>
                                </a:prstGeom>
                                <a:ln w="9525" cap="flat" cmpd="sng">
                                  <a:solidFill>
                                    <a:srgbClr val="000000"/>
                                  </a:solidFill>
                                  <a:prstDash val="solid"/>
                                  <a:headEnd type="none" w="med" len="med"/>
                                  <a:tailEnd type="triangle" w="med" len="med"/>
                                </a:ln>
                              </wps:spPr>
                              <wps:bodyPr upright="1"/>
                            </wps:wsp>
                            <wps:wsp>
                              <wps:cNvPr id="333" name="文本框 70"/>
                              <wps:cNvSpPr txBox="1"/>
                              <wps:spPr>
                                <a:xfrm>
                                  <a:off x="1351280" y="1379855"/>
                                  <a:ext cx="6604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A60D6AC">
                                    <w:pPr>
                                      <w:spacing w:line="36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中和</w:t>
                                    </w:r>
                                  </w:p>
                                </w:txbxContent>
                              </wps:txbx>
                              <wps:bodyPr lIns="0" tIns="0" rIns="0" bIns="0" upright="1"/>
                            </wps:wsp>
                            <wps:wsp>
                              <wps:cNvPr id="334" name="直接连接符 66"/>
                              <wps:cNvCnPr/>
                              <wps:spPr>
                                <a:xfrm>
                                  <a:off x="1694180" y="1665605"/>
                                  <a:ext cx="0" cy="381635"/>
                                </a:xfrm>
                                <a:prstGeom prst="line">
                                  <a:avLst/>
                                </a:prstGeom>
                                <a:ln w="9525" cap="flat" cmpd="sng">
                                  <a:solidFill>
                                    <a:srgbClr val="000000"/>
                                  </a:solidFill>
                                  <a:prstDash val="solid"/>
                                  <a:headEnd type="none" w="med" len="med"/>
                                  <a:tailEnd type="triangle" w="med" len="med"/>
                                </a:ln>
                              </wps:spPr>
                              <wps:bodyPr upright="1"/>
                            </wps:wsp>
                            <wps:wsp>
                              <wps:cNvPr id="335" name="文本框 208"/>
                              <wps:cNvSpPr txBox="1"/>
                              <wps:spPr>
                                <a:xfrm>
                                  <a:off x="579755" y="1389380"/>
                                  <a:ext cx="454025" cy="279400"/>
                                </a:xfrm>
                                <a:prstGeom prst="rect">
                                  <a:avLst/>
                                </a:prstGeom>
                                <a:noFill/>
                                <a:ln>
                                  <a:noFill/>
                                </a:ln>
                              </wps:spPr>
                              <wps:txbx>
                                <w:txbxContent>
                                  <w:p w14:paraId="3B6C45A3">
                                    <w:pPr>
                                      <w:spacing w:line="360" w:lineRule="exact"/>
                                      <w:ind w:firstLine="0" w:firstLineChars="0"/>
                                      <w:jc w:val="center"/>
                                      <w:rPr>
                                        <w:rFonts w:hint="default" w:ascii="Times New Roman" w:hAnsi="Times New Roman" w:eastAsia="宋体" w:cs="Times New Roman"/>
                                        <w:sz w:val="21"/>
                                        <w:szCs w:val="21"/>
                                        <w:lang w:val="en-US"/>
                                      </w:rPr>
                                    </w:pPr>
                                    <w:r>
                                      <w:rPr>
                                        <w:rFonts w:hint="eastAsia" w:cs="Times New Roman"/>
                                        <w:sz w:val="21"/>
                                        <w:szCs w:val="21"/>
                                        <w:lang w:val="en-US" w:eastAsia="zh-CN"/>
                                      </w:rPr>
                                      <w:t>盐酸</w:t>
                                    </w:r>
                                  </w:p>
                                </w:txbxContent>
                              </wps:txbx>
                              <wps:bodyPr lIns="0" tIns="0" rIns="0" bIns="0" upright="1"/>
                            </wps:wsp>
                            <wps:wsp>
                              <wps:cNvPr id="336" name="直接连接符 69"/>
                              <wps:cNvCnPr/>
                              <wps:spPr>
                                <a:xfrm>
                                  <a:off x="979805" y="1532255"/>
                                  <a:ext cx="360045" cy="0"/>
                                </a:xfrm>
                                <a:prstGeom prst="line">
                                  <a:avLst/>
                                </a:prstGeom>
                                <a:ln w="9525" cap="flat" cmpd="sng">
                                  <a:solidFill>
                                    <a:srgbClr val="000000"/>
                                  </a:solidFill>
                                  <a:prstDash val="solid"/>
                                  <a:headEnd type="none" w="med" len="med"/>
                                  <a:tailEnd type="triangle" w="med" len="med"/>
                                </a:ln>
                              </wps:spPr>
                              <wps:bodyPr upright="1"/>
                            </wps:wsp>
                            <wps:wsp>
                              <wps:cNvPr id="337" name="文本框 74"/>
                              <wps:cNvSpPr txBox="1"/>
                              <wps:spPr>
                                <a:xfrm>
                                  <a:off x="1236980" y="2046605"/>
                                  <a:ext cx="91694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B744A5">
                                    <w:pPr>
                                      <w:spacing w:line="360" w:lineRule="exact"/>
                                      <w:ind w:firstLine="0" w:firstLineChars="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混凝沉淀池</w:t>
                                    </w:r>
                                  </w:p>
                                </w:txbxContent>
                              </wps:txbx>
                              <wps:bodyPr lIns="0" tIns="0" rIns="0" bIns="0" upright="1"/>
                            </wps:wsp>
                            <wps:wsp>
                              <wps:cNvPr id="338" name="直接连接符 69"/>
                              <wps:cNvCnPr/>
                              <wps:spPr>
                                <a:xfrm>
                                  <a:off x="875030" y="2199005"/>
                                  <a:ext cx="360045" cy="0"/>
                                </a:xfrm>
                                <a:prstGeom prst="line">
                                  <a:avLst/>
                                </a:prstGeom>
                                <a:ln w="9525" cap="flat" cmpd="sng">
                                  <a:solidFill>
                                    <a:srgbClr val="000000"/>
                                  </a:solidFill>
                                  <a:prstDash val="solid"/>
                                  <a:headEnd type="none" w="med" len="med"/>
                                  <a:tailEnd type="triangle" w="med" len="med"/>
                                </a:ln>
                              </wps:spPr>
                              <wps:bodyPr upright="1"/>
                            </wps:wsp>
                            <wps:wsp>
                              <wps:cNvPr id="339" name="文本框 125"/>
                              <wps:cNvSpPr txBox="1"/>
                              <wps:spPr>
                                <a:xfrm>
                                  <a:off x="57150" y="2056130"/>
                                  <a:ext cx="892175" cy="279400"/>
                                </a:xfrm>
                                <a:prstGeom prst="rect">
                                  <a:avLst/>
                                </a:prstGeom>
                                <a:noFill/>
                                <a:ln>
                                  <a:noFill/>
                                </a:ln>
                              </wps:spPr>
                              <wps:txbx>
                                <w:txbxContent>
                                  <w:p w14:paraId="6B1B8D5C">
                                    <w:pPr>
                                      <w:spacing w:line="360" w:lineRule="exact"/>
                                      <w:ind w:firstLine="0" w:firstLineChars="0"/>
                                      <w:jc w:val="center"/>
                                      <w:rPr>
                                        <w:rFonts w:hint="default" w:ascii="Times New Roman" w:hAnsi="Times New Roman" w:eastAsia="宋体" w:cs="Times New Roman"/>
                                        <w:sz w:val="21"/>
                                        <w:szCs w:val="21"/>
                                        <w:lang w:val="en-US"/>
                                      </w:rPr>
                                    </w:pPr>
                                    <w:r>
                                      <w:rPr>
                                        <w:rFonts w:hint="eastAsia" w:ascii="Times New Roman" w:hAnsi="Times New Roman" w:cs="Times New Roman"/>
                                        <w:sz w:val="21"/>
                                        <w:szCs w:val="21"/>
                                        <w:lang w:val="en-US" w:eastAsia="zh-CN"/>
                                      </w:rPr>
                                      <w:t>PAC、PAM</w:t>
                                    </w:r>
                                  </w:p>
                                </w:txbxContent>
                              </wps:txbx>
                              <wps:bodyPr lIns="0" tIns="0" rIns="0" bIns="0" upright="1"/>
                            </wps:wsp>
                            <wps:wsp>
                              <wps:cNvPr id="340" name="直接连接符 66"/>
                              <wps:cNvCnPr/>
                              <wps:spPr>
                                <a:xfrm>
                                  <a:off x="1694180" y="2332355"/>
                                  <a:ext cx="0" cy="381635"/>
                                </a:xfrm>
                                <a:prstGeom prst="line">
                                  <a:avLst/>
                                </a:prstGeom>
                                <a:ln w="9525" cap="flat" cmpd="sng">
                                  <a:solidFill>
                                    <a:srgbClr val="000000"/>
                                  </a:solidFill>
                                  <a:prstDash val="solid"/>
                                  <a:headEnd type="none" w="med" len="med"/>
                                  <a:tailEnd type="triangle" w="med" len="med"/>
                                </a:ln>
                              </wps:spPr>
                              <wps:bodyPr upright="1"/>
                            </wps:wsp>
                            <wps:wsp>
                              <wps:cNvPr id="341" name="文本框 70"/>
                              <wps:cNvSpPr txBox="1"/>
                              <wps:spPr>
                                <a:xfrm>
                                  <a:off x="1370330" y="2713355"/>
                                  <a:ext cx="6604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708046A">
                                    <w:pPr>
                                      <w:spacing w:line="36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砂滤</w:t>
                                    </w:r>
                                  </w:p>
                                </w:txbxContent>
                              </wps:txbx>
                              <wps:bodyPr lIns="0" tIns="0" rIns="0" bIns="0" upright="1"/>
                            </wps:wsp>
                            <wps:wsp>
                              <wps:cNvPr id="342" name="直接连接符 66"/>
                              <wps:cNvCnPr/>
                              <wps:spPr>
                                <a:xfrm>
                                  <a:off x="1713230" y="3008630"/>
                                  <a:ext cx="0" cy="381635"/>
                                </a:xfrm>
                                <a:prstGeom prst="line">
                                  <a:avLst/>
                                </a:prstGeom>
                                <a:ln w="9525" cap="flat" cmpd="sng">
                                  <a:solidFill>
                                    <a:srgbClr val="000000"/>
                                  </a:solidFill>
                                  <a:prstDash val="solid"/>
                                  <a:headEnd type="none" w="med" len="med"/>
                                  <a:tailEnd type="triangle" w="med" len="med"/>
                                </a:ln>
                              </wps:spPr>
                              <wps:bodyPr upright="1"/>
                            </wps:wsp>
                            <wps:wsp>
                              <wps:cNvPr id="343" name="文本框 70"/>
                              <wps:cNvSpPr txBox="1"/>
                              <wps:spPr>
                                <a:xfrm>
                                  <a:off x="1389380" y="3389630"/>
                                  <a:ext cx="6604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8AAFFE8">
                                    <w:pPr>
                                      <w:spacing w:line="36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超滤</w:t>
                                    </w:r>
                                  </w:p>
                                </w:txbxContent>
                              </wps:txbx>
                              <wps:bodyPr lIns="0" tIns="0" rIns="0" bIns="0" upright="1"/>
                            </wps:wsp>
                            <wps:wsp>
                              <wps:cNvPr id="344" name="直接连接符 66"/>
                              <wps:cNvCnPr/>
                              <wps:spPr>
                                <a:xfrm>
                                  <a:off x="1722755" y="3675380"/>
                                  <a:ext cx="0" cy="381635"/>
                                </a:xfrm>
                                <a:prstGeom prst="line">
                                  <a:avLst/>
                                </a:prstGeom>
                                <a:ln w="9525" cap="flat" cmpd="sng">
                                  <a:solidFill>
                                    <a:srgbClr val="000000"/>
                                  </a:solidFill>
                                  <a:prstDash val="solid"/>
                                  <a:headEnd type="none" w="med" len="med"/>
                                  <a:tailEnd type="triangle" w="med" len="med"/>
                                </a:ln>
                              </wps:spPr>
                              <wps:bodyPr upright="1"/>
                            </wps:wsp>
                            <wps:wsp>
                              <wps:cNvPr id="345" name="文本框 70"/>
                              <wps:cNvSpPr txBox="1"/>
                              <wps:spPr>
                                <a:xfrm>
                                  <a:off x="1398905" y="4056380"/>
                                  <a:ext cx="6604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037A5DB">
                                    <w:pPr>
                                      <w:spacing w:line="36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反渗透</w:t>
                                    </w:r>
                                  </w:p>
                                </w:txbxContent>
                              </wps:txbx>
                              <wps:bodyPr lIns="0" tIns="0" rIns="0" bIns="0" upright="1"/>
                            </wps:wsp>
                            <wps:wsp>
                              <wps:cNvPr id="346" name="直接连接符 66"/>
                              <wps:cNvCnPr/>
                              <wps:spPr>
                                <a:xfrm>
                                  <a:off x="1741805" y="4342130"/>
                                  <a:ext cx="0" cy="381635"/>
                                </a:xfrm>
                                <a:prstGeom prst="line">
                                  <a:avLst/>
                                </a:prstGeom>
                                <a:ln w="9525" cap="flat" cmpd="sng">
                                  <a:solidFill>
                                    <a:srgbClr val="000000"/>
                                  </a:solidFill>
                                  <a:prstDash val="solid"/>
                                  <a:headEnd type="none" w="med" len="med"/>
                                  <a:tailEnd type="triangle" w="med" len="med"/>
                                </a:ln>
                              </wps:spPr>
                              <wps:bodyPr upright="1"/>
                            </wps:wsp>
                            <wps:wsp>
                              <wps:cNvPr id="347" name="任意多边形 126"/>
                              <wps:cNvSpPr/>
                              <wps:spPr>
                                <a:xfrm>
                                  <a:off x="1913255" y="1890395"/>
                                  <a:ext cx="279400" cy="165100"/>
                                </a:xfrm>
                                <a:custGeom>
                                  <a:avLst/>
                                  <a:gdLst/>
                                  <a:ahLst/>
                                  <a:cxnLst/>
                                  <a:pathLst>
                                    <a:path w="630" h="468">
                                      <a:moveTo>
                                        <a:pt x="0" y="468"/>
                                      </a:moveTo>
                                      <a:cubicBezTo>
                                        <a:pt x="78" y="338"/>
                                        <a:pt x="157" y="208"/>
                                        <a:pt x="210" y="156"/>
                                      </a:cubicBezTo>
                                      <a:cubicBezTo>
                                        <a:pt x="263" y="104"/>
                                        <a:pt x="298" y="130"/>
                                        <a:pt x="315" y="156"/>
                                      </a:cubicBezTo>
                                      <a:cubicBezTo>
                                        <a:pt x="332" y="182"/>
                                        <a:pt x="262" y="338"/>
                                        <a:pt x="315" y="312"/>
                                      </a:cubicBezTo>
                                      <a:cubicBezTo>
                                        <a:pt x="368" y="286"/>
                                        <a:pt x="577" y="52"/>
                                        <a:pt x="630" y="0"/>
                                      </a:cubicBezTo>
                                    </a:path>
                                  </a:pathLst>
                                </a:custGeom>
                                <a:noFill/>
                                <a:ln w="9525" cap="flat" cmpd="sng">
                                  <a:solidFill>
                                    <a:srgbClr val="000000"/>
                                  </a:solidFill>
                                  <a:prstDash val="solid"/>
                                  <a:headEnd type="none" w="med" len="med"/>
                                  <a:tailEnd type="triangle" w="med" len="med"/>
                                </a:ln>
                              </wps:spPr>
                              <wps:bodyPr upright="1"/>
                            </wps:wsp>
                            <wps:wsp>
                              <wps:cNvPr id="348" name="文本框 131"/>
                              <wps:cNvSpPr txBox="1"/>
                              <wps:spPr>
                                <a:xfrm>
                                  <a:off x="1913255" y="1627505"/>
                                  <a:ext cx="436245" cy="279400"/>
                                </a:xfrm>
                                <a:prstGeom prst="rect">
                                  <a:avLst/>
                                </a:prstGeom>
                                <a:noFill/>
                                <a:ln>
                                  <a:noFill/>
                                </a:ln>
                              </wps:spPr>
                              <wps:txbx>
                                <w:txbxContent>
                                  <w:p w14:paraId="7E755D27">
                                    <w:pPr>
                                      <w:spacing w:line="360" w:lineRule="exact"/>
                                      <w:ind w:firstLine="0" w:firstLineChars="0"/>
                                      <w:jc w:val="center"/>
                                      <w:rPr>
                                        <w:rFonts w:hint="default" w:ascii="Times New Roman" w:hAnsi="Times New Roman" w:eastAsia="宋体" w:cs="Times New Roman"/>
                                        <w:sz w:val="21"/>
                                        <w:szCs w:val="21"/>
                                        <w:lang w:val="en-US"/>
                                      </w:rPr>
                                    </w:pPr>
                                    <w:r>
                                      <w:rPr>
                                        <w:rFonts w:hint="eastAsia" w:ascii="Times New Roman" w:hAnsi="Times New Roman" w:cs="Times New Roman"/>
                                        <w:sz w:val="21"/>
                                        <w:szCs w:val="21"/>
                                        <w:lang w:val="en-US" w:eastAsia="zh-CN"/>
                                      </w:rPr>
                                      <w:t>污泥</w:t>
                                    </w:r>
                                  </w:p>
                                </w:txbxContent>
                              </wps:txbx>
                              <wps:bodyPr lIns="0" tIns="0" rIns="0" bIns="0" upright="1"/>
                            </wps:wsp>
                            <wps:wsp>
                              <wps:cNvPr id="349" name="文本框 68"/>
                              <wps:cNvSpPr txBox="1"/>
                              <wps:spPr>
                                <a:xfrm>
                                  <a:off x="1160780" y="4751705"/>
                                  <a:ext cx="1149985" cy="279400"/>
                                </a:xfrm>
                                <a:prstGeom prst="rect">
                                  <a:avLst/>
                                </a:prstGeom>
                                <a:solidFill>
                                  <a:srgbClr val="FFFFFF"/>
                                </a:solidFill>
                                <a:ln>
                                  <a:noFill/>
                                </a:ln>
                              </wps:spPr>
                              <wps:txbx>
                                <w:txbxContent>
                                  <w:p w14:paraId="5BA04A43">
                                    <w:pPr>
                                      <w:spacing w:line="360" w:lineRule="exact"/>
                                      <w:ind w:firstLine="0" w:firstLineChars="0"/>
                                      <w:jc w:val="center"/>
                                      <w:rPr>
                                        <w:rFonts w:hint="default" w:ascii="Times New Roman" w:hAnsi="Times New Roman" w:eastAsia="宋体" w:cs="Times New Roman"/>
                                        <w:sz w:val="21"/>
                                        <w:szCs w:val="21"/>
                                        <w:lang w:val="en-US"/>
                                      </w:rPr>
                                    </w:pPr>
                                    <w:r>
                                      <w:rPr>
                                        <w:rFonts w:hint="eastAsia" w:cs="Times New Roman"/>
                                        <w:sz w:val="21"/>
                                        <w:szCs w:val="21"/>
                                        <w:lang w:val="en-US" w:eastAsia="zh-CN"/>
                                      </w:rPr>
                                      <w:t>厂区绿化、道路洒水</w:t>
                                    </w:r>
                                  </w:p>
                                </w:txbxContent>
                              </wps:txbx>
                              <wps:bodyPr lIns="0" tIns="0" rIns="0" bIns="0" upright="1"/>
                            </wps:wsp>
                          </wpc:wpc>
                        </a:graphicData>
                      </a:graphic>
                    </wp:inline>
                  </w:drawing>
                </mc:Choice>
                <mc:Fallback>
                  <w:pict>
                    <v:group id="_x0000_s1026" o:spid="_x0000_s1026" o:spt="203" style="height:397.75pt;width:255.95pt;" coordsize="3250565,5051425" editas="canvas" o:gfxdata="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">
                      <o:lock v:ext="edit" aspectratio="f"/>
                      <v:shape id="_x0000_s1026" o:spid="_x0000_s1026" style="position:absolute;left:0;top:0;height:5051425;width:3250565;" filled="f" stroked="f" coordsize="21600,21600" o:gfxdata="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">
                        <v:fill on="f" focussize="0,0"/>
                        <v:stroke on="f"/>
                        <v:imagedata o:title=""/>
                        <o:lock v:ext="edit" aspectratio="f"/>
                      </v:shape>
                      <v:line id="直接连接符 66" o:spid="_x0000_s1026" o:spt="20" style="position:absolute;left:1694180;top:341630;height:381635;width:0;" filled="f" stroked="t" coordsize="21600,21600" o:gfxdata="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USe6qtgAAAAFAQAADwAAAAAAAAABACAAAAAiAAAA&#10;ZHJzL2Rvd25yZXYueG1sUEsBAhQAFAAAAAgAh07iQPQGBFgHAgAA9QMAAA4AAAAAAAAAAQAgAAAA&#10;JwEAAGRycy9lMm9Eb2MueG1sUEsFBgAAAAAGAAYAWQEAAKAFAAAAAA==&#10;">
                        <v:fill on="f" focussize="0,0"/>
                        <v:stroke color="#000000" joinstyle="round" endarrow="block"/>
                        <v:imagedata o:title=""/>
                        <o:lock v:ext="edit" aspectratio="f"/>
                      </v:line>
                      <v:shape id="文本框 68" o:spid="_x0000_s1026" o:spt="202" type="#_x0000_t202" style="position:absolute;left:1398905;top:65405;height:279400;width:578485;" fillcolor="#FFFFFF" filled="t" stroked="f" coordsize="21600,21600" o:gfxdata="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Nng/VLWAAAABQEAAA8AAAAA&#10;AAAAAQAgAAAAIgAAAGRycy9kb3ducmV2LnhtbFBLAQIUABQAAAAIAIdO4kA4gMaV3QEAAKcDAAAO&#10;AAAAAAAAAAEAIAAAACUBAABkcnMvZTJvRG9jLnhtbFBLBQYAAAAABgAGAFkBAAB0BQAAAAA=&#10;">
                        <v:fill on="t" focussize="0,0"/>
                        <v:stroke on="f"/>
                        <v:imagedata o:title=""/>
                        <o:lock v:ext="edit" aspectratio="f"/>
                        <v:textbox inset="0mm,0mm,0mm,0mm">
                          <w:txbxContent>
                            <w:p w14:paraId="3DE0143F">
                              <w:pPr>
                                <w:spacing w:line="360" w:lineRule="exact"/>
                                <w:ind w:firstLine="0" w:firstLineChars="0"/>
                                <w:jc w:val="center"/>
                                <w:rPr>
                                  <w:rFonts w:hint="default" w:ascii="Times New Roman" w:hAnsi="Times New Roman" w:eastAsia="宋体" w:cs="Times New Roman"/>
                                  <w:sz w:val="21"/>
                                  <w:szCs w:val="21"/>
                                  <w:lang w:val="en-US"/>
                                </w:rPr>
                              </w:pPr>
                              <w:r>
                                <w:rPr>
                                  <w:rFonts w:hint="eastAsia" w:ascii="Times New Roman" w:hAnsi="Times New Roman" w:cs="Times New Roman"/>
                                  <w:sz w:val="21"/>
                                  <w:szCs w:val="21"/>
                                  <w:lang w:val="en-US" w:eastAsia="zh-CN"/>
                                </w:rPr>
                                <w:t>清洗废水</w:t>
                              </w:r>
                            </w:p>
                          </w:txbxContent>
                        </v:textbox>
                      </v:shape>
                      <v:shape id="文本框 67" o:spid="_x0000_s1026" o:spt="202" type="#_x0000_t202" style="position:absolute;left:1322705;top:722630;height:279400;width:739140;" fillcolor="#FFFFFF" filled="t" stroked="t" coordsize="21600,21600" o:gfxdata="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8LQkrWAAAABQEAAA8AAAAAAAAAAQAgAAAAIgAAAGRycy9kb3ducmV2LnhtbFBLAQIUABQAAAAI&#10;AIdO4kDgfYPeKAIAAGcEAAAOAAAAAAAAAAEAIAAAACUBAABkcnMvZTJvRG9jLnhtbFBLBQYAAAAA&#10;BgAGAFkBAAC/BQAAAAA=&#10;">
                        <v:fill on="t" focussize="0,0"/>
                        <v:stroke color="#000000" joinstyle="miter"/>
                        <v:imagedata o:title=""/>
                        <o:lock v:ext="edit" aspectratio="f"/>
                        <v:textbox inset="0mm,0mm,0mm,0mm">
                          <w:txbxContent>
                            <w:p w14:paraId="3D901C5D">
                              <w:pPr>
                                <w:spacing w:line="36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破乳除油</w:t>
                              </w:r>
                            </w:p>
                          </w:txbxContent>
                        </v:textbox>
                      </v:shape>
                      <v:shape id="文本框 167" o:spid="_x0000_s1026" o:spt="202" type="#_x0000_t202" style="position:absolute;left:208280;top:760730;height:222885;width:701040;" filled="f" stroked="f" coordsize="21600,21600" o:gfxdata="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F01HvHWAAAABQEAAA8AAAAAAAAAAQAgAAAAIgAAAGRycy9kb3ducmV2&#10;LnhtbFBLAQIUABQAAAAIAIdO4kBvIUUXxQEAAH8DAAAOAAAAAAAAAAEAIAAAACUBAABkcnMvZTJv&#10;RG9jLnhtbFBLBQYAAAAABgAGAFkBAABcBQAAAAA=&#10;">
                        <v:fill on="f" focussize="0,0"/>
                        <v:stroke on="f"/>
                        <v:imagedata o:title=""/>
                        <o:lock v:ext="edit" aspectratio="f"/>
                        <v:textbox inset="0mm,0mm,0mm,0mm">
                          <w:txbxContent>
                            <w:p w14:paraId="318E85DD">
                              <w:pPr>
                                <w:rPr>
                                  <w:rFonts w:hint="default"/>
                                  <w:color w:val="auto"/>
                                  <w:lang w:val="en-US"/>
                                </w:rPr>
                              </w:pPr>
                              <w:r>
                                <w:rPr>
                                  <w:rFonts w:hint="eastAsia"/>
                                  <w:bCs/>
                                  <w:color w:val="auto"/>
                                  <w:sz w:val="21"/>
                                  <w:szCs w:val="21"/>
                                  <w:lang w:val="en-US" w:eastAsia="zh-CN"/>
                                </w:rPr>
                                <w:t>CaCl·2H</w:t>
                              </w:r>
                              <w:r>
                                <w:rPr>
                                  <w:rFonts w:hint="eastAsia"/>
                                  <w:bCs/>
                                  <w:color w:val="auto"/>
                                  <w:sz w:val="21"/>
                                  <w:szCs w:val="21"/>
                                  <w:vertAlign w:val="subscript"/>
                                  <w:lang w:val="en-US" w:eastAsia="zh-CN"/>
                                </w:rPr>
                                <w:t>2</w:t>
                              </w:r>
                              <w:r>
                                <w:rPr>
                                  <w:rFonts w:hint="eastAsia"/>
                                  <w:bCs/>
                                  <w:color w:val="auto"/>
                                  <w:sz w:val="21"/>
                                  <w:szCs w:val="21"/>
                                  <w:lang w:val="en-US" w:eastAsia="zh-CN"/>
                                </w:rPr>
                                <w:t>O</w:t>
                              </w:r>
                            </w:p>
                          </w:txbxContent>
                        </v:textbox>
                      </v:shape>
                      <v:line id="直接连接符 69" o:spid="_x0000_s1026" o:spt="20" style="position:absolute;left:932180;top:865505;height:0;width:360045;" filled="f" stroked="t" coordsize="21600,21600" o:gfxdata="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FEnuqrYAAAABQEAAA8AAAAAAAAAAQAgAAAA&#10;IgAAAGRycy9kb3ducmV2LnhtbFBLAQIUABQAAAAIAIdO4kD8+N1wCwIAAPQDAAAOAAAAAAAAAAEA&#10;IAAAACcBAABkcnMvZTJvRG9jLnhtbFBLBQYAAAAABgAGAFkBAACkBQAAAAA=&#10;">
                        <v:fill on="f" focussize="0,0"/>
                        <v:stroke color="#000000" joinstyle="round" endarrow="block"/>
                        <v:imagedata o:title=""/>
                        <o:lock v:ext="edit" aspectratio="f"/>
                      </v:line>
                      <v:shape id="任意多边形 119" o:spid="_x0000_s1026" o:spt="100" style="position:absolute;left:1884680;top:575945;height:165100;width:279400;" filled="f" stroked="t" coordsize="630,468" o:gfxdata="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iGKPh1wAAAAUBAAAPAAAAAAAAAAEA&#10;IAAAACIAAABkcnMvZG93bnJldi54bWxQSwECFAAUAAAACACHTuJATpW2OLsCAAD/BQAADgAAAAAA&#10;AAABACAAAAAmAQAAZHJzL2Uyb0RvYy54bWxQSwUGAAAAAAYABgBZAQAAUwYAAAAA&#10;" path="m0,468c78,338,157,208,210,156c263,104,298,130,315,156c332,182,262,338,315,312c368,286,577,52,630,0e">
                        <v:fill on="f" focussize="0,0"/>
                        <v:stroke color="#000000" joinstyle="round" endarrow="block"/>
                        <v:imagedata o:title=""/>
                        <o:lock v:ext="edit" aspectratio="f"/>
                      </v:shape>
                      <v:shape id="文本框 130" o:spid="_x0000_s1026" o:spt="202" type="#_x0000_t202" style="position:absolute;left:1894205;top:313055;height:279400;width:436245;" filled="f" stroked="f" coordsize="21600,21600" o:gfxdata="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XTUe8dYAAAAFAQAADwAAAAAAAAABACAAAAAiAAAAZHJzL2Rvd25y&#10;ZXYueG1sUEsBAhQAFAAAAAgAh07iQFjeiHbHAQAAgAMAAA4AAAAAAAAAAQAgAAAAJQEAAGRycy9l&#10;Mm9Eb2MueG1sUEsFBgAAAAAGAAYAWQEAAF4FAAAAAA==&#10;">
                        <v:fill on="f" focussize="0,0"/>
                        <v:stroke on="f"/>
                        <v:imagedata o:title=""/>
                        <o:lock v:ext="edit" aspectratio="f"/>
                        <v:textbox inset="0mm,0mm,0mm,0mm">
                          <w:txbxContent>
                            <w:p w14:paraId="1E8EB40A">
                              <w:pPr>
                                <w:spacing w:line="360" w:lineRule="exact"/>
                                <w:ind w:firstLine="0" w:firstLineChars="0"/>
                                <w:jc w:val="center"/>
                                <w:rPr>
                                  <w:rFonts w:hint="default" w:ascii="Times New Roman" w:hAnsi="Times New Roman" w:eastAsia="宋体" w:cs="Times New Roman"/>
                                  <w:sz w:val="21"/>
                                  <w:szCs w:val="21"/>
                                  <w:lang w:val="en-US"/>
                                </w:rPr>
                              </w:pPr>
                              <w:r>
                                <w:rPr>
                                  <w:rFonts w:hint="eastAsia" w:ascii="Times New Roman" w:hAnsi="Times New Roman" w:cs="Times New Roman"/>
                                  <w:sz w:val="21"/>
                                  <w:szCs w:val="21"/>
                                  <w:lang w:val="en-US" w:eastAsia="zh-CN"/>
                                </w:rPr>
                                <w:t>废油</w:t>
                              </w:r>
                            </w:p>
                          </w:txbxContent>
                        </v:textbox>
                      </v:shape>
                      <v:line id="直接连接符 66" o:spid="_x0000_s1026" o:spt="20" style="position:absolute;left:1684655;top:1008380;height:381635;width:0;" filled="f" stroked="t" coordsize="21600,21600" o:gfxdata="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RJ7qq2AAAAAUBAAAPAAAAAAAAAAEAIAAAACIA&#10;AABkcnMvZG93bnJldi54bWxQSwECFAAUAAAACACHTuJAXnGylQkCAAD2AwAADgAAAAAAAAABACAA&#10;AAAnAQAAZHJzL2Uyb0RvYy54bWxQSwUGAAAAAAYABgBZAQAAogUAAAAA&#10;">
                        <v:fill on="f" focussize="0,0"/>
                        <v:stroke color="#000000" joinstyle="round" endarrow="block"/>
                        <v:imagedata o:title=""/>
                        <o:lock v:ext="edit" aspectratio="f"/>
                      </v:line>
                      <v:shape id="文本框 70" o:spid="_x0000_s1026" o:spt="202" type="#_x0000_t202" style="position:absolute;left:1351280;top:1379855;height:279400;width:660400;" fillcolor="#FFFFFF" filled="t" stroked="t" coordsize="21600,21600" o:gfxdata="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wtC&#10;StYAAAAFAQAADwAAAAAAAAABACAAAAAiAAAAZHJzL2Rvd25yZXYueG1sUEsBAhQAFAAAAAgAh07i&#10;QEbh/EEkAgAAaAQAAA4AAAAAAAAAAQAgAAAAJQEAAGRycy9lMm9Eb2MueG1sUEsFBgAAAAAGAAYA&#10;WQEAALsFAAAAAA==&#10;">
                        <v:fill on="t" focussize="0,0"/>
                        <v:stroke color="#000000" joinstyle="miter"/>
                        <v:imagedata o:title=""/>
                        <o:lock v:ext="edit" aspectratio="f"/>
                        <v:textbox inset="0mm,0mm,0mm,0mm">
                          <w:txbxContent>
                            <w:p w14:paraId="2A60D6AC">
                              <w:pPr>
                                <w:spacing w:line="36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中和</w:t>
                              </w:r>
                            </w:p>
                          </w:txbxContent>
                        </v:textbox>
                      </v:shape>
                      <v:line id="直接连接符 66" o:spid="_x0000_s1026" o:spt="20" style="position:absolute;left:1694180;top:1665605;height:381635;width:0;" filled="f" stroked="t" coordsize="21600,21600" o:gfxdata="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FEnuqrYAAAABQEAAA8AAAAAAAAAAQAgAAAA&#10;IgAAAGRycy9kb3ducmV2LnhtbFBLAQIUABQAAAAIAIdO4kBXb8aCCwIAAPYDAAAOAAAAAAAAAAEA&#10;IAAAACcBAABkcnMvZTJvRG9jLnhtbFBLBQYAAAAABgAGAFkBAACkBQAAAAA=&#10;">
                        <v:fill on="f" focussize="0,0"/>
                        <v:stroke color="#000000" joinstyle="round" endarrow="block"/>
                        <v:imagedata o:title=""/>
                        <o:lock v:ext="edit" aspectratio="f"/>
                      </v:line>
                      <v:shape id="文本框 208" o:spid="_x0000_s1026" o:spt="202" type="#_x0000_t202" style="position:absolute;left:579755;top:1389380;height:279400;width:454025;" filled="f" stroked="f" coordsize="21600,21600" o:gfxdata="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01HvHWAAAABQEAAA8AAAAAAAAAAQAgAAAAIgAAAGRycy9kb3du&#10;cmV2LnhtbFBLAQIUABQAAAAIAIdO4kBdSAWVyAEAAIADAAAOAAAAAAAAAAEAIAAAACUBAABkcnMv&#10;ZTJvRG9jLnhtbFBLBQYAAAAABgAGAFkBAABfBQAAAAA=&#10;">
                        <v:fill on="f" focussize="0,0"/>
                        <v:stroke on="f"/>
                        <v:imagedata o:title=""/>
                        <o:lock v:ext="edit" aspectratio="f"/>
                        <v:textbox inset="0mm,0mm,0mm,0mm">
                          <w:txbxContent>
                            <w:p w14:paraId="3B6C45A3">
                              <w:pPr>
                                <w:spacing w:line="360" w:lineRule="exact"/>
                                <w:ind w:firstLine="0" w:firstLineChars="0"/>
                                <w:jc w:val="center"/>
                                <w:rPr>
                                  <w:rFonts w:hint="default" w:ascii="Times New Roman" w:hAnsi="Times New Roman" w:eastAsia="宋体" w:cs="Times New Roman"/>
                                  <w:sz w:val="21"/>
                                  <w:szCs w:val="21"/>
                                  <w:lang w:val="en-US"/>
                                </w:rPr>
                              </w:pPr>
                              <w:r>
                                <w:rPr>
                                  <w:rFonts w:hint="eastAsia" w:cs="Times New Roman"/>
                                  <w:sz w:val="21"/>
                                  <w:szCs w:val="21"/>
                                  <w:lang w:val="en-US" w:eastAsia="zh-CN"/>
                                </w:rPr>
                                <w:t>盐酸</w:t>
                              </w:r>
                            </w:p>
                          </w:txbxContent>
                        </v:textbox>
                      </v:shape>
                      <v:line id="直接连接符 69" o:spid="_x0000_s1026" o:spt="20" style="position:absolute;left:979805;top:1532255;height:0;width:360045;" filled="f" stroked="t" coordsize="21600,21600" o:gfxdata="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RJ7qq2AAAAAUBAAAPAAAAAAAAAAEAIAAA&#10;ACIAAABkcnMvZG93bnJldi54bWxQSwECFAAUAAAACACHTuJAjvy+egwCAAD1AwAADgAAAAAAAAAB&#10;ACAAAAAnAQAAZHJzL2Uyb0RvYy54bWxQSwUGAAAAAAYABgBZAQAApQUAAAAA&#10;">
                        <v:fill on="f" focussize="0,0"/>
                        <v:stroke color="#000000" joinstyle="round" endarrow="block"/>
                        <v:imagedata o:title=""/>
                        <o:lock v:ext="edit" aspectratio="f"/>
                      </v:line>
                      <v:shape id="文本框 74" o:spid="_x0000_s1026" o:spt="202" type="#_x0000_t202" style="position:absolute;left:1236980;top:2046605;height:279400;width:916940;" fillcolor="#FFFFFF" filled="t" stroked="t" coordsize="21600,21600" o:gfxdata="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8L&#10;QkrWAAAABQEAAA8AAAAAAAAAAQAgAAAAIgAAAGRycy9kb3ducmV2LnhtbFBLAQIUABQAAAAIAIdO&#10;4kCN2DO6JQIAAGgEAAAOAAAAAAAAAAEAIAAAACUBAABkcnMvZTJvRG9jLnhtbFBLBQYAAAAABgAG&#10;AFkBAAC8BQAAAAA=&#10;">
                        <v:fill on="t" focussize="0,0"/>
                        <v:stroke color="#000000" joinstyle="miter"/>
                        <v:imagedata o:title=""/>
                        <o:lock v:ext="edit" aspectratio="f"/>
                        <v:textbox inset="0mm,0mm,0mm,0mm">
                          <w:txbxContent>
                            <w:p w14:paraId="29B744A5">
                              <w:pPr>
                                <w:spacing w:line="360" w:lineRule="exact"/>
                                <w:ind w:firstLine="0" w:firstLineChars="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混凝沉淀池</w:t>
                              </w:r>
                            </w:p>
                          </w:txbxContent>
                        </v:textbox>
                      </v:shape>
                      <v:line id="直接连接符 69" o:spid="_x0000_s1026" o:spt="20" style="position:absolute;left:875030;top:2199005;height:0;width:360045;" filled="f" stroked="t" coordsize="21600,21600" o:gfxdata="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Se6qtgAAAAFAQAADwAAAAAAAAABACAA&#10;AAAiAAAAZHJzL2Rvd25yZXYueG1sUEsBAhQAFAAAAAgAh07iQMVEUo8NAgAA9QMAAA4AAAAAAAAA&#10;AQAgAAAAJwEAAGRycy9lMm9Eb2MueG1sUEsFBgAAAAAGAAYAWQEAAKYFAAAAAA==&#10;">
                        <v:fill on="f" focussize="0,0"/>
                        <v:stroke color="#000000" joinstyle="round" endarrow="block"/>
                        <v:imagedata o:title=""/>
                        <o:lock v:ext="edit" aspectratio="f"/>
                      </v:line>
                      <v:shape id="文本框 125" o:spid="_x0000_s1026" o:spt="202" type="#_x0000_t202" style="position:absolute;left:57150;top:2056130;height:279400;width:892175;" filled="f" stroked="f" coordsize="21600,21600" o:gfxdata="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01HvHWAAAABQEAAA8AAAAAAAAAAQAgAAAAIgAAAGRycy9kb3du&#10;cmV2LnhtbFBLAQIUABQAAAAIAIdO4kC1FYIAyAEAAH8DAAAOAAAAAAAAAAEAIAAAACUBAABkcnMv&#10;ZTJvRG9jLnhtbFBLBQYAAAAABgAGAFkBAABfBQAAAAA=&#10;">
                        <v:fill on="f" focussize="0,0"/>
                        <v:stroke on="f"/>
                        <v:imagedata o:title=""/>
                        <o:lock v:ext="edit" aspectratio="f"/>
                        <v:textbox inset="0mm,0mm,0mm,0mm">
                          <w:txbxContent>
                            <w:p w14:paraId="6B1B8D5C">
                              <w:pPr>
                                <w:spacing w:line="360" w:lineRule="exact"/>
                                <w:ind w:firstLine="0" w:firstLineChars="0"/>
                                <w:jc w:val="center"/>
                                <w:rPr>
                                  <w:rFonts w:hint="default" w:ascii="Times New Roman" w:hAnsi="Times New Roman" w:eastAsia="宋体" w:cs="Times New Roman"/>
                                  <w:sz w:val="21"/>
                                  <w:szCs w:val="21"/>
                                  <w:lang w:val="en-US"/>
                                </w:rPr>
                              </w:pPr>
                              <w:r>
                                <w:rPr>
                                  <w:rFonts w:hint="eastAsia" w:ascii="Times New Roman" w:hAnsi="Times New Roman" w:cs="Times New Roman"/>
                                  <w:sz w:val="21"/>
                                  <w:szCs w:val="21"/>
                                  <w:lang w:val="en-US" w:eastAsia="zh-CN"/>
                                </w:rPr>
                                <w:t>PAC、PAM</w:t>
                              </w:r>
                            </w:p>
                          </w:txbxContent>
                        </v:textbox>
                      </v:shape>
                      <v:line id="直接连接符 66" o:spid="_x0000_s1026" o:spt="20" style="position:absolute;left:1694180;top:2332355;height:381635;width:0;" filled="f" stroked="t" coordsize="21600,21600" o:gfxdata="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Se6qtgAAAAFAQAADwAAAAAAAAABACAA&#10;AAAiAAAAZHJzL2Rvd25yZXYueG1sUEsBAhQAFAAAAAgAh07iQIIBCxwNAgAA9gMAAA4AAAAAAAAA&#10;AQAgAAAAJwEAAGRycy9lMm9Eb2MueG1sUEsFBgAAAAAGAAYAWQEAAKYFAAAAAA==&#10;">
                        <v:fill on="f" focussize="0,0"/>
                        <v:stroke color="#000000" joinstyle="round" endarrow="block"/>
                        <v:imagedata o:title=""/>
                        <o:lock v:ext="edit" aspectratio="f"/>
                      </v:line>
                      <v:shape id="文本框 70" o:spid="_x0000_s1026" o:spt="202" type="#_x0000_t202" style="position:absolute;left:1370330;top:2713355;height:279400;width:660400;" fillcolor="#FFFFFF" filled="t" stroked="t" coordsize="21600,21600" o:gfxdata="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wtC&#10;StYAAAAFAQAADwAAAAAAAAABACAAAAAiAAAAZHJzL2Rvd25yZXYueG1sUEsBAhQAFAAAAAgAh07i&#10;QK2qX2QkAgAAaAQAAA4AAAAAAAAAAQAgAAAAJQEAAGRycy9lMm9Eb2MueG1sUEsFBgAAAAAGAAYA&#10;WQEAALsFAAAAAA==&#10;">
                        <v:fill on="t" focussize="0,0"/>
                        <v:stroke color="#000000" joinstyle="miter"/>
                        <v:imagedata o:title=""/>
                        <o:lock v:ext="edit" aspectratio="f"/>
                        <v:textbox inset="0mm,0mm,0mm,0mm">
                          <w:txbxContent>
                            <w:p w14:paraId="4708046A">
                              <w:pPr>
                                <w:spacing w:line="36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砂滤</w:t>
                              </w:r>
                            </w:p>
                          </w:txbxContent>
                        </v:textbox>
                      </v:shape>
                      <v:line id="直接连接符 66" o:spid="_x0000_s1026" o:spt="20" style="position:absolute;left:1713230;top:3008630;height:381635;width:0;" filled="f" stroked="t" coordsize="21600,21600" o:gfxdata="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EnuqrYAAAABQEAAA8AAAAAAAAAAQAgAAAAIgAA&#10;AGRycy9kb3ducmV2LnhtbFBLAQIUABQAAAAIAIdO4kC4Aae7CAIAAPYDAAAOAAAAAAAAAAEAIAAA&#10;ACcBAABkcnMvZTJvRG9jLnhtbFBLBQYAAAAABgAGAFkBAAChBQAAAAA=&#10;">
                        <v:fill on="f" focussize="0,0"/>
                        <v:stroke color="#000000" joinstyle="round" endarrow="block"/>
                        <v:imagedata o:title=""/>
                        <o:lock v:ext="edit" aspectratio="f"/>
                      </v:line>
                      <v:shape id="文本框 70" o:spid="_x0000_s1026" o:spt="202" type="#_x0000_t202" style="position:absolute;left:1389380;top:3389630;height:279400;width:660400;" fillcolor="#FFFFFF" filled="t" stroked="t" coordsize="21600,21600" o:gfxdata="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C0JK&#10;1gAAAAUBAAAPAAAAAAAAAAEAIAAAACIAAABkcnMvZG93bnJldi54bWxQSwECFAAUAAAACACHTuJA&#10;CfvEwCMCAABoBAAADgAAAAAAAAABACAAAAAlAQAAZHJzL2Uyb0RvYy54bWxQSwUGAAAAAAYABgBZ&#10;AQAAugUAAAAA&#10;">
                        <v:fill on="t" focussize="0,0"/>
                        <v:stroke color="#000000" joinstyle="miter"/>
                        <v:imagedata o:title=""/>
                        <o:lock v:ext="edit" aspectratio="f"/>
                        <v:textbox inset="0mm,0mm,0mm,0mm">
                          <w:txbxContent>
                            <w:p w14:paraId="08AAFFE8">
                              <w:pPr>
                                <w:spacing w:line="36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超滤</w:t>
                              </w:r>
                            </w:p>
                          </w:txbxContent>
                        </v:textbox>
                      </v:shape>
                      <v:line id="直接连接符 66" o:spid="_x0000_s1026" o:spt="20" style="position:absolute;left:1722755;top:3675380;height:381635;width:0;" filled="f" stroked="t" coordsize="21600,21600" o:gfxdata="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RJ7qq2AAAAAUBAAAPAAAAAAAAAAEAIAAAACIA&#10;AABkcnMvZG93bnJldi54bWxQSwECFAAUAAAACACHTuJAc8F/EAkCAAD2AwAADgAAAAAAAAABACAA&#10;AAAnAQAAZHJzL2Uyb0RvYy54bWxQSwUGAAAAAAYABgBZAQAAogUAAAAA&#10;">
                        <v:fill on="f" focussize="0,0"/>
                        <v:stroke color="#000000" joinstyle="round" endarrow="block"/>
                        <v:imagedata o:title=""/>
                        <o:lock v:ext="edit" aspectratio="f"/>
                      </v:line>
                      <v:shape id="文本框 70" o:spid="_x0000_s1026" o:spt="202" type="#_x0000_t202" style="position:absolute;left:1398905;top:4056380;height:279400;width:660400;" fillcolor="#FFFFFF" filled="t" stroked="t" coordsize="21600,21600" o:gfxdata="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wtC&#10;StYAAAAFAQAADwAAAAAAAAABACAAAAAiAAAAZHJzL2Rvd25yZXYueG1sUEsBAhQAFAAAAAgAh07i&#10;QD2JcsgkAgAAaAQAAA4AAAAAAAAAAQAgAAAAJQEAAGRycy9lMm9Eb2MueG1sUEsFBgAAAAAGAAYA&#10;WQEAALsFAAAAAA==&#10;">
                        <v:fill on="t" focussize="0,0"/>
                        <v:stroke color="#000000" joinstyle="miter"/>
                        <v:imagedata o:title=""/>
                        <o:lock v:ext="edit" aspectratio="f"/>
                        <v:textbox inset="0mm,0mm,0mm,0mm">
                          <w:txbxContent>
                            <w:p w14:paraId="5037A5DB">
                              <w:pPr>
                                <w:spacing w:line="360" w:lineRule="exact"/>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反渗透</w:t>
                              </w:r>
                            </w:p>
                          </w:txbxContent>
                        </v:textbox>
                      </v:shape>
                      <v:line id="直接连接符 66" o:spid="_x0000_s1026" o:spt="20" style="position:absolute;left:1741805;top:4342130;height:381635;width:0;" filled="f" stroked="t" coordsize="21600,21600" o:gfxdata="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USe6qtgAAAAFAQAADwAAAAAAAAABACAAAAAi&#10;AAAAZHJzL2Rvd25yZXYueG1sUEsBAhQAFAAAAAgAh07iQJ8nxdEKAgAA9gMAAA4AAAAAAAAAAQAg&#10;AAAAJwEAAGRycy9lMm9Eb2MueG1sUEsFBgAAAAAGAAYAWQEAAKMFAAAAAA==&#10;">
                        <v:fill on="f" focussize="0,0"/>
                        <v:stroke color="#000000" joinstyle="round" endarrow="block"/>
                        <v:imagedata o:title=""/>
                        <o:lock v:ext="edit" aspectratio="f"/>
                      </v:line>
                      <v:shape id="任意多边形 126" o:spid="_x0000_s1026" o:spt="100" style="position:absolute;left:1913255;top:1890395;height:165100;width:279400;" filled="f" stroked="t" coordsize="630,468" o:gfxdata="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OIYo+HXAAAABQEAAA8AAAAAAAAAAQAg&#10;AAAAIgAAAGRycy9kb3ducmV2LnhtbFBLAQIUABQAAAAIAIdO4kCmBF7+ugIAAAAGAAAOAAAAAAAA&#10;AAEAIAAAACYBAABkcnMvZTJvRG9jLnhtbFBLBQYAAAAABgAGAFkBAABSBgAAAAA=&#10;" path="m0,468c78,338,157,208,210,156c263,104,298,130,315,156c332,182,262,338,315,312c368,286,577,52,630,0e">
                        <v:fill on="f" focussize="0,0"/>
                        <v:stroke color="#000000" joinstyle="round" endarrow="block"/>
                        <v:imagedata o:title=""/>
                        <o:lock v:ext="edit" aspectratio="f"/>
                      </v:shape>
                      <v:shape id="文本框 131" o:spid="_x0000_s1026" o:spt="202" type="#_x0000_t202" style="position:absolute;left:1913255;top:1627505;height:279400;width:436245;" filled="f" stroked="f" coordsize="21600,21600" o:gfxdata="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01HvHWAAAABQEAAA8AAAAAAAAAAQAgAAAAIgAAAGRycy9kb3du&#10;cmV2LnhtbFBLAQIUABQAAAAIAIdO4kAo1nF4yAEAAIEDAAAOAAAAAAAAAAEAIAAAACUBAABkcnMv&#10;ZTJvRG9jLnhtbFBLBQYAAAAABgAGAFkBAABfBQAAAAA=&#10;">
                        <v:fill on="f" focussize="0,0"/>
                        <v:stroke on="f"/>
                        <v:imagedata o:title=""/>
                        <o:lock v:ext="edit" aspectratio="f"/>
                        <v:textbox inset="0mm,0mm,0mm,0mm">
                          <w:txbxContent>
                            <w:p w14:paraId="7E755D27">
                              <w:pPr>
                                <w:spacing w:line="360" w:lineRule="exact"/>
                                <w:ind w:firstLine="0" w:firstLineChars="0"/>
                                <w:jc w:val="center"/>
                                <w:rPr>
                                  <w:rFonts w:hint="default" w:ascii="Times New Roman" w:hAnsi="Times New Roman" w:eastAsia="宋体" w:cs="Times New Roman"/>
                                  <w:sz w:val="21"/>
                                  <w:szCs w:val="21"/>
                                  <w:lang w:val="en-US"/>
                                </w:rPr>
                              </w:pPr>
                              <w:r>
                                <w:rPr>
                                  <w:rFonts w:hint="eastAsia" w:ascii="Times New Roman" w:hAnsi="Times New Roman" w:cs="Times New Roman"/>
                                  <w:sz w:val="21"/>
                                  <w:szCs w:val="21"/>
                                  <w:lang w:val="en-US" w:eastAsia="zh-CN"/>
                                </w:rPr>
                                <w:t>污泥</w:t>
                              </w:r>
                            </w:p>
                          </w:txbxContent>
                        </v:textbox>
                      </v:shape>
                      <v:shape id="文本框 68" o:spid="_x0000_s1026" o:spt="202" type="#_x0000_t202" style="position:absolute;left:1160780;top:4751705;height:279400;width:1149985;" fillcolor="#FFFFFF" filled="t" stroked="f" coordsize="21600,21600" o:gfxdata="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Z4P1S1gAAAAUBAAAPAAAA&#10;AAAAAAEAIAAAACIAAABkcnMvZG93bnJldi54bWxQSwECFAAUAAAACACHTuJAGw62wt4BAACqAwAA&#10;DgAAAAAAAAABACAAAAAlAQAAZHJzL2Uyb0RvYy54bWxQSwUGAAAAAAYABgBZAQAAdQUAAAAA&#10;">
                        <v:fill on="t" focussize="0,0"/>
                        <v:stroke on="f"/>
                        <v:imagedata o:title=""/>
                        <o:lock v:ext="edit" aspectratio="f"/>
                        <v:textbox inset="0mm,0mm,0mm,0mm">
                          <w:txbxContent>
                            <w:p w14:paraId="5BA04A43">
                              <w:pPr>
                                <w:spacing w:line="360" w:lineRule="exact"/>
                                <w:ind w:firstLine="0" w:firstLineChars="0"/>
                                <w:jc w:val="center"/>
                                <w:rPr>
                                  <w:rFonts w:hint="default" w:ascii="Times New Roman" w:hAnsi="Times New Roman" w:eastAsia="宋体" w:cs="Times New Roman"/>
                                  <w:sz w:val="21"/>
                                  <w:szCs w:val="21"/>
                                  <w:lang w:val="en-US"/>
                                </w:rPr>
                              </w:pPr>
                              <w:r>
                                <w:rPr>
                                  <w:rFonts w:hint="eastAsia" w:cs="Times New Roman"/>
                                  <w:sz w:val="21"/>
                                  <w:szCs w:val="21"/>
                                  <w:lang w:val="en-US" w:eastAsia="zh-CN"/>
                                </w:rPr>
                                <w:t>厂区绿化、道路洒水</w:t>
                              </w:r>
                            </w:p>
                          </w:txbxContent>
                        </v:textbox>
                      </v:shape>
                      <w10:wrap type="none"/>
                      <w10:anchorlock/>
                    </v:group>
                  </w:pict>
                </mc:Fallback>
              </mc:AlternateContent>
            </w:r>
          </w:p>
          <w:p w14:paraId="48E2B8E6">
            <w:pPr>
              <w:pStyle w:val="6"/>
              <w:keepNext w:val="0"/>
              <w:keepLines w:val="0"/>
              <w:pageBreakBefore w:val="0"/>
              <w:widowControl w:val="0"/>
              <w:kinsoku/>
              <w:wordWrap/>
              <w:overflowPunct/>
              <w:topLinePunct w:val="0"/>
              <w:autoSpaceDE/>
              <w:autoSpaceDN/>
              <w:bidi w:val="0"/>
              <w:spacing w:line="520" w:lineRule="exact"/>
              <w:ind w:firstLine="1867" w:firstLineChars="775"/>
              <w:textAlignment w:val="auto"/>
              <w:rPr>
                <w:rFonts w:hint="default" w:ascii="Times New Roman" w:hAnsi="Times New Roman" w:eastAsia="宋体" w:cs="Times New Roman"/>
                <w:b/>
                <w:bCs/>
                <w:color w:val="auto"/>
                <w:szCs w:val="24"/>
                <w:highlight w:val="none"/>
                <w:lang w:bidi="ar"/>
              </w:rPr>
            </w:pPr>
            <w:r>
              <w:rPr>
                <w:rFonts w:hint="default" w:ascii="Times New Roman" w:hAnsi="Times New Roman" w:eastAsia="宋体" w:cs="Times New Roman"/>
                <w:b/>
                <w:bCs/>
                <w:color w:val="auto"/>
                <w:szCs w:val="24"/>
                <w:highlight w:val="none"/>
                <w:lang w:bidi="ar"/>
              </w:rPr>
              <w:t>图</w:t>
            </w:r>
            <w:r>
              <w:rPr>
                <w:rFonts w:hint="eastAsia" w:ascii="Times New Roman" w:hAnsi="Times New Roman" w:cs="Times New Roman"/>
                <w:b/>
                <w:bCs/>
                <w:color w:val="auto"/>
                <w:szCs w:val="24"/>
                <w:highlight w:val="none"/>
                <w:lang w:val="en-US" w:eastAsia="zh-CN" w:bidi="ar"/>
              </w:rPr>
              <w:t>4-1</w:t>
            </w:r>
            <w:r>
              <w:rPr>
                <w:rFonts w:hint="default" w:ascii="Times New Roman" w:hAnsi="Times New Roman" w:eastAsia="宋体" w:cs="Times New Roman"/>
                <w:b/>
                <w:bCs/>
                <w:color w:val="auto"/>
                <w:szCs w:val="24"/>
                <w:highlight w:val="none"/>
                <w:lang w:bidi="ar"/>
              </w:rPr>
              <w:t xml:space="preserve">       项目污水处理工艺</w:t>
            </w:r>
          </w:p>
          <w:p w14:paraId="4D820E7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lang w:bidi="ar"/>
              </w:rPr>
            </w:pPr>
            <w:r>
              <w:rPr>
                <w:rFonts w:hint="eastAsia"/>
                <w:color w:val="auto"/>
                <w:lang w:bidi="ar"/>
              </w:rPr>
              <w:t>污水处理设施的具体工艺为：</w:t>
            </w:r>
          </w:p>
          <w:p w14:paraId="26B4974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lang w:bidi="ar"/>
              </w:rPr>
            </w:pPr>
            <w:r>
              <w:rPr>
                <w:rFonts w:hint="eastAsia"/>
                <w:color w:val="auto"/>
                <w:lang w:eastAsia="zh-CN" w:bidi="ar"/>
              </w:rPr>
              <w:t>①</w:t>
            </w:r>
            <w:r>
              <w:rPr>
                <w:rFonts w:hint="eastAsia"/>
                <w:color w:val="auto"/>
                <w:lang w:bidi="ar"/>
              </w:rPr>
              <w:t>破乳除油</w:t>
            </w:r>
          </w:p>
          <w:p w14:paraId="221D4A3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lang w:bidi="ar"/>
              </w:rPr>
            </w:pPr>
            <w:r>
              <w:rPr>
                <w:rFonts w:hint="eastAsia"/>
                <w:color w:val="auto"/>
                <w:lang w:bidi="ar"/>
              </w:rPr>
              <w:t>向含清洗废水（含废油）中加入CaCl₂·2H₂O（氯化钙），通过破乳作用将油和水分离，去除废油。</w:t>
            </w:r>
          </w:p>
          <w:p w14:paraId="13F31A5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lang w:bidi="ar"/>
              </w:rPr>
            </w:pPr>
            <w:r>
              <w:rPr>
                <w:rFonts w:hint="eastAsia"/>
                <w:color w:val="auto"/>
                <w:lang w:eastAsia="zh-CN" w:bidi="ar"/>
              </w:rPr>
              <w:t>②</w:t>
            </w:r>
            <w:r>
              <w:rPr>
                <w:rFonts w:hint="eastAsia"/>
                <w:color w:val="auto"/>
                <w:lang w:bidi="ar"/>
              </w:rPr>
              <w:t> 中和</w:t>
            </w:r>
          </w:p>
          <w:p w14:paraId="645F261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lang w:bidi="ar"/>
              </w:rPr>
            </w:pPr>
            <w:r>
              <w:rPr>
                <w:rFonts w:hint="eastAsia"/>
                <w:color w:val="auto"/>
                <w:lang w:bidi="ar"/>
              </w:rPr>
              <w:t>加入盐酸调节废水的pH值，使废水呈中性或接近中性，避免后续处理单元受到酸碱腐蚀或影响处理效果。</w:t>
            </w:r>
          </w:p>
          <w:p w14:paraId="315AF24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lang w:bidi="ar"/>
              </w:rPr>
            </w:pPr>
            <w:r>
              <w:rPr>
                <w:rFonts w:hint="eastAsia"/>
                <w:color w:val="auto"/>
                <w:lang w:eastAsia="zh-CN" w:bidi="ar"/>
              </w:rPr>
              <w:t>③</w:t>
            </w:r>
            <w:r>
              <w:rPr>
                <w:rFonts w:hint="eastAsia"/>
                <w:color w:val="auto"/>
                <w:lang w:bidi="ar"/>
              </w:rPr>
              <w:t>混凝沉淀</w:t>
            </w:r>
          </w:p>
          <w:p w14:paraId="4DF8C7F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lang w:bidi="ar"/>
              </w:rPr>
            </w:pPr>
            <w:r>
              <w:rPr>
                <w:rFonts w:hint="eastAsia"/>
                <w:color w:val="auto"/>
                <w:lang w:bidi="ar"/>
              </w:rPr>
              <w:t>加入PAC（聚合氯化铝）和PAM（聚丙烯酰胺），PAC起到絮凝作用，PAM起到助凝作用，使废水中的悬浮物、胶体等形成较大的絮凝体，通过沉淀去除污泥。</w:t>
            </w:r>
          </w:p>
          <w:p w14:paraId="4534354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olor w:val="auto"/>
                <w:lang w:bidi="ar"/>
              </w:rPr>
            </w:pPr>
            <w:r>
              <w:rPr>
                <w:rFonts w:hint="eastAsia"/>
                <w:color w:val="auto"/>
                <w:lang w:eastAsia="zh-CN" w:bidi="ar"/>
              </w:rPr>
              <w:t>④</w:t>
            </w:r>
            <w:r>
              <w:rPr>
                <w:rFonts w:hint="eastAsia"/>
                <w:color w:val="auto"/>
                <w:lang w:bidi="ar"/>
              </w:rPr>
              <w:t>砂滤</w:t>
            </w:r>
          </w:p>
          <w:p w14:paraId="7033C97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olor w:val="auto"/>
                <w:lang w:bidi="ar"/>
              </w:rPr>
            </w:pPr>
            <w:r>
              <w:rPr>
                <w:rFonts w:hint="eastAsia"/>
                <w:color w:val="auto"/>
                <w:lang w:bidi="ar"/>
              </w:rPr>
              <w:t>利用砂层的过滤作用，进一步去除废水中残留的细小悬浮物和絮凝体。</w:t>
            </w:r>
          </w:p>
          <w:p w14:paraId="51D13CB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olor w:val="auto"/>
                <w:lang w:bidi="ar"/>
              </w:rPr>
            </w:pPr>
            <w:r>
              <w:rPr>
                <w:rFonts w:hint="eastAsia"/>
                <w:color w:val="auto"/>
                <w:lang w:eastAsia="zh-CN" w:bidi="ar"/>
              </w:rPr>
              <w:t>⑤</w:t>
            </w:r>
            <w:r>
              <w:rPr>
                <w:rFonts w:hint="eastAsia"/>
                <w:color w:val="auto"/>
                <w:lang w:bidi="ar"/>
              </w:rPr>
              <w:t>超滤</w:t>
            </w:r>
          </w:p>
          <w:p w14:paraId="0776D18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olor w:val="auto"/>
                <w:lang w:bidi="ar"/>
              </w:rPr>
            </w:pPr>
            <w:r>
              <w:rPr>
                <w:rFonts w:hint="eastAsia"/>
                <w:color w:val="auto"/>
                <w:lang w:bidi="ar"/>
              </w:rPr>
              <w:t>利用超滤膜的筛分作用，去除水中的大分子有机物、胶体、细菌等杂质。</w:t>
            </w:r>
          </w:p>
          <w:p w14:paraId="339B399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olor w:val="auto"/>
                <w:lang w:bidi="ar"/>
              </w:rPr>
            </w:pPr>
            <w:r>
              <w:rPr>
                <w:rFonts w:hint="eastAsia"/>
                <w:color w:val="auto"/>
                <w:lang w:eastAsia="zh-CN" w:bidi="ar"/>
              </w:rPr>
              <w:t>⑥</w:t>
            </w:r>
            <w:r>
              <w:rPr>
                <w:rFonts w:hint="eastAsia"/>
                <w:color w:val="auto"/>
                <w:lang w:bidi="ar"/>
              </w:rPr>
              <w:t>反渗透</w:t>
            </w:r>
          </w:p>
          <w:p w14:paraId="6BA44B6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olor w:val="auto"/>
                <w:lang w:bidi="ar"/>
              </w:rPr>
            </w:pPr>
            <w:r>
              <w:rPr>
                <w:rFonts w:hint="eastAsia"/>
                <w:color w:val="auto"/>
                <w:lang w:bidi="ar"/>
              </w:rPr>
              <w:t>利用反渗透膜的选择性透过性，去除水中的溶解性盐类、小分子有机物等，得到深度处理后的水。</w:t>
            </w:r>
          </w:p>
          <w:p w14:paraId="5486BE5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olor w:val="auto"/>
                <w:lang w:bidi="ar"/>
              </w:rPr>
            </w:pPr>
            <w:r>
              <w:rPr>
                <w:rFonts w:hint="eastAsia"/>
                <w:color w:val="auto"/>
                <w:lang w:eastAsia="zh-CN" w:bidi="ar"/>
              </w:rPr>
              <w:t>⑦</w:t>
            </w:r>
            <w:r>
              <w:rPr>
                <w:rFonts w:hint="eastAsia"/>
                <w:color w:val="auto"/>
                <w:lang w:bidi="ar"/>
              </w:rPr>
              <w:t>出水利用</w:t>
            </w:r>
          </w:p>
          <w:p w14:paraId="115824C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olor w:val="auto"/>
                <w:lang w:bidi="ar"/>
              </w:rPr>
            </w:pPr>
            <w:r>
              <w:rPr>
                <w:rFonts w:hint="eastAsia"/>
                <w:color w:val="auto"/>
                <w:lang w:bidi="ar"/>
              </w:rPr>
              <w:t>处理后的水用于厂区绿化、道路洒水，实现水资源的循环利用。</w:t>
            </w:r>
          </w:p>
          <w:p w14:paraId="358FEF87">
            <w:pPr>
              <w:spacing w:line="520" w:lineRule="exact"/>
              <w:ind w:firstLine="480" w:firstLineChars="200"/>
              <w:rPr>
                <w:color w:val="auto"/>
                <w:lang w:bidi="ar"/>
              </w:rPr>
            </w:pPr>
            <w:r>
              <w:rPr>
                <w:rFonts w:hint="eastAsia"/>
                <w:color w:val="auto"/>
                <w:lang w:bidi="ar"/>
              </w:rPr>
              <w:t>清洗废水各污染物去除效率及排放浓度见下表。</w:t>
            </w:r>
          </w:p>
          <w:p w14:paraId="3D18030C">
            <w:pPr>
              <w:pStyle w:val="34"/>
              <w:spacing w:line="500" w:lineRule="exact"/>
              <w:ind w:firstLine="0"/>
              <w:jc w:val="center"/>
              <w:rPr>
                <w:b/>
                <w:bCs/>
                <w:color w:val="auto"/>
                <w:szCs w:val="24"/>
                <w:lang w:bidi="ar"/>
              </w:rPr>
            </w:pPr>
            <w:r>
              <w:rPr>
                <w:rFonts w:hint="eastAsia" w:ascii="Times New Roman" w:hAnsi="Times New Roman" w:eastAsia="宋体"/>
                <w:b/>
                <w:bCs/>
                <w:color w:val="auto"/>
                <w:szCs w:val="24"/>
              </w:rPr>
              <w:t>表4-6   清洗废水各污染物去除效率及排放浓度一览表</w:t>
            </w:r>
            <w:r>
              <w:rPr>
                <w:rFonts w:hint="eastAsia"/>
                <w:b/>
                <w:bCs/>
                <w:color w:val="auto"/>
                <w:szCs w:val="24"/>
                <w:lang w:bidi="ar"/>
              </w:rPr>
              <w:t xml:space="preserve"> </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902"/>
              <w:gridCol w:w="902"/>
              <w:gridCol w:w="902"/>
              <w:gridCol w:w="902"/>
              <w:gridCol w:w="902"/>
              <w:gridCol w:w="902"/>
              <w:gridCol w:w="902"/>
              <w:gridCol w:w="902"/>
            </w:tblGrid>
            <w:tr w14:paraId="15E0F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0ED12A4B">
                  <w:pPr>
                    <w:keepNext w:val="0"/>
                    <w:keepLines w:val="0"/>
                    <w:pageBreakBefore w:val="0"/>
                    <w:widowControl w:val="0"/>
                    <w:kinsoku/>
                    <w:wordWrap/>
                    <w:overflowPunct/>
                    <w:topLinePunct w:val="0"/>
                    <w:autoSpaceDE/>
                    <w:autoSpaceDN/>
                    <w:bidi w:val="0"/>
                    <w:adjustRightInd/>
                    <w:snapToGrid/>
                    <w:spacing w:line="320" w:lineRule="exact"/>
                    <w:ind w:left="-48" w:leftChars="-20" w:right="-48" w:rightChars="-20"/>
                    <w:jc w:val="center"/>
                    <w:textAlignment w:val="auto"/>
                    <w:rPr>
                      <w:color w:val="auto"/>
                      <w:spacing w:val="-6"/>
                      <w:sz w:val="21"/>
                      <w:szCs w:val="21"/>
                      <w:lang w:bidi="ar"/>
                    </w:rPr>
                  </w:pPr>
                  <w:r>
                    <w:rPr>
                      <w:rFonts w:hint="eastAsia"/>
                      <w:color w:val="auto"/>
                      <w:spacing w:val="-6"/>
                      <w:sz w:val="21"/>
                      <w:szCs w:val="21"/>
                      <w:lang w:bidi="ar"/>
                    </w:rPr>
                    <w:t>去除效率</w:t>
                  </w:r>
                </w:p>
              </w:tc>
              <w:tc>
                <w:tcPr>
                  <w:tcW w:w="539" w:type="pct"/>
                  <w:vAlign w:val="center"/>
                </w:tcPr>
                <w:p w14:paraId="7F51696F">
                  <w:pPr>
                    <w:pStyle w:val="104"/>
                    <w:keepNext w:val="0"/>
                    <w:keepLines w:val="0"/>
                    <w:pageBreakBefore w:val="0"/>
                    <w:widowControl w:val="0"/>
                    <w:kinsoku/>
                    <w:wordWrap/>
                    <w:overflowPunct/>
                    <w:topLinePunct w:val="0"/>
                    <w:autoSpaceDE/>
                    <w:autoSpaceDN/>
                    <w:bidi w:val="0"/>
                    <w:spacing w:before="24" w:after="24"/>
                    <w:ind w:left="-48" w:leftChars="-20" w:right="-48" w:rightChars="-20"/>
                    <w:textAlignment w:val="auto"/>
                    <w:rPr>
                      <w:rFonts w:ascii="Times New Roman" w:hAnsi="Times New Roman" w:eastAsia="宋体" w:cs="Times New Roman"/>
                      <w:b w:val="0"/>
                      <w:color w:val="auto"/>
                      <w:sz w:val="21"/>
                      <w:szCs w:val="21"/>
                    </w:rPr>
                  </w:pPr>
                  <w:r>
                    <w:rPr>
                      <w:rFonts w:ascii="Times New Roman" w:hAnsi="Times New Roman" w:eastAsia="宋体" w:cs="Times New Roman"/>
                      <w:b w:val="0"/>
                      <w:color w:val="auto"/>
                      <w:sz w:val="21"/>
                      <w:szCs w:val="21"/>
                    </w:rPr>
                    <w:t>COD</w:t>
                  </w:r>
                </w:p>
                <w:p w14:paraId="5F314C50">
                  <w:pPr>
                    <w:pStyle w:val="104"/>
                    <w:keepNext w:val="0"/>
                    <w:keepLines w:val="0"/>
                    <w:pageBreakBefore w:val="0"/>
                    <w:widowControl w:val="0"/>
                    <w:kinsoku/>
                    <w:wordWrap/>
                    <w:overflowPunct/>
                    <w:topLinePunct w:val="0"/>
                    <w:autoSpaceDE/>
                    <w:autoSpaceDN/>
                    <w:bidi w:val="0"/>
                    <w:spacing w:before="24" w:after="24"/>
                    <w:ind w:left="-48" w:leftChars="-20" w:right="-48" w:rightChars="-20"/>
                    <w:textAlignment w:val="auto"/>
                    <w:rPr>
                      <w:rFonts w:hint="eastAsia" w:ascii="Times New Roman" w:hAnsi="Times New Roman" w:eastAsia="宋体" w:cs="Times New Roman"/>
                      <w:b w:val="0"/>
                      <w:color w:val="auto"/>
                      <w:sz w:val="21"/>
                      <w:szCs w:val="21"/>
                      <w:lang w:eastAsia="zh-CN"/>
                    </w:rPr>
                  </w:pPr>
                  <w:r>
                    <w:rPr>
                      <w:rFonts w:hint="eastAsia" w:ascii="Times New Roman" w:hAnsi="Times New Roman" w:eastAsia="宋体" w:cs="Times New Roman"/>
                      <w:b w:val="0"/>
                      <w:color w:val="auto"/>
                      <w:sz w:val="21"/>
                      <w:szCs w:val="21"/>
                      <w:lang w:val="en-US" w:eastAsia="zh-CN"/>
                    </w:rPr>
                    <w:t>(</w:t>
                  </w:r>
                  <w:r>
                    <w:rPr>
                      <w:rFonts w:ascii="Times New Roman" w:hAnsi="Times New Roman" w:eastAsia="宋体" w:cs="Times New Roman"/>
                      <w:b w:val="0"/>
                      <w:color w:val="auto"/>
                      <w:sz w:val="21"/>
                      <w:szCs w:val="21"/>
                    </w:rPr>
                    <w:t>mg/L</w:t>
                  </w:r>
                  <w:r>
                    <w:rPr>
                      <w:rFonts w:hint="eastAsia" w:ascii="Times New Roman" w:hAnsi="Times New Roman" w:eastAsia="宋体" w:cs="Times New Roman"/>
                      <w:b w:val="0"/>
                      <w:color w:val="auto"/>
                      <w:sz w:val="21"/>
                      <w:szCs w:val="21"/>
                      <w:lang w:val="en-US" w:eastAsia="zh-CN"/>
                    </w:rPr>
                    <w:t>)</w:t>
                  </w:r>
                </w:p>
              </w:tc>
              <w:tc>
                <w:tcPr>
                  <w:tcW w:w="539" w:type="pct"/>
                  <w:vAlign w:val="center"/>
                </w:tcPr>
                <w:p w14:paraId="62221A81">
                  <w:pPr>
                    <w:pStyle w:val="104"/>
                    <w:keepNext w:val="0"/>
                    <w:keepLines w:val="0"/>
                    <w:pageBreakBefore w:val="0"/>
                    <w:widowControl w:val="0"/>
                    <w:kinsoku/>
                    <w:wordWrap/>
                    <w:overflowPunct/>
                    <w:topLinePunct w:val="0"/>
                    <w:autoSpaceDE/>
                    <w:autoSpaceDN/>
                    <w:bidi w:val="0"/>
                    <w:spacing w:before="24" w:after="24"/>
                    <w:ind w:left="-48" w:leftChars="-20" w:right="-48" w:rightChars="-20"/>
                    <w:textAlignment w:val="auto"/>
                    <w:rPr>
                      <w:rFonts w:ascii="Times New Roman" w:hAnsi="Times New Roman" w:eastAsia="宋体" w:cs="Times New Roman"/>
                      <w:b w:val="0"/>
                      <w:color w:val="auto"/>
                      <w:sz w:val="21"/>
                      <w:szCs w:val="21"/>
                    </w:rPr>
                  </w:pPr>
                  <w:r>
                    <w:rPr>
                      <w:rFonts w:ascii="Times New Roman" w:hAnsi="Times New Roman" w:eastAsia="宋体" w:cs="Times New Roman"/>
                      <w:b w:val="0"/>
                      <w:color w:val="auto"/>
                      <w:sz w:val="21"/>
                      <w:szCs w:val="21"/>
                    </w:rPr>
                    <w:t>BOD</w:t>
                  </w:r>
                  <w:r>
                    <w:rPr>
                      <w:rFonts w:ascii="Times New Roman" w:hAnsi="Times New Roman" w:eastAsia="宋体" w:cs="Times New Roman"/>
                      <w:b w:val="0"/>
                      <w:color w:val="auto"/>
                      <w:sz w:val="21"/>
                      <w:szCs w:val="21"/>
                      <w:vertAlign w:val="subscript"/>
                    </w:rPr>
                    <w:t>5</w:t>
                  </w:r>
                </w:p>
                <w:p w14:paraId="4618B886">
                  <w:pPr>
                    <w:pStyle w:val="104"/>
                    <w:keepNext w:val="0"/>
                    <w:keepLines w:val="0"/>
                    <w:pageBreakBefore w:val="0"/>
                    <w:widowControl w:val="0"/>
                    <w:kinsoku/>
                    <w:wordWrap/>
                    <w:overflowPunct/>
                    <w:topLinePunct w:val="0"/>
                    <w:autoSpaceDE/>
                    <w:autoSpaceDN/>
                    <w:bidi w:val="0"/>
                    <w:spacing w:before="24" w:after="24"/>
                    <w:ind w:left="-48" w:leftChars="-20" w:right="-48" w:rightChars="-20"/>
                    <w:textAlignment w:val="auto"/>
                    <w:rPr>
                      <w:rFonts w:ascii="Times New Roman" w:hAnsi="Times New Roman" w:eastAsia="宋体" w:cs="Times New Roman"/>
                      <w:b w:val="0"/>
                      <w:color w:val="auto"/>
                      <w:sz w:val="21"/>
                      <w:szCs w:val="21"/>
                    </w:rPr>
                  </w:pPr>
                  <w:r>
                    <w:rPr>
                      <w:rFonts w:hint="eastAsia" w:ascii="Times New Roman" w:hAnsi="Times New Roman" w:eastAsia="宋体" w:cs="Times New Roman"/>
                      <w:b w:val="0"/>
                      <w:color w:val="auto"/>
                      <w:sz w:val="21"/>
                      <w:szCs w:val="21"/>
                      <w:lang w:val="en-US" w:eastAsia="zh-CN"/>
                    </w:rPr>
                    <w:t>(</w:t>
                  </w:r>
                  <w:r>
                    <w:rPr>
                      <w:rFonts w:ascii="Times New Roman" w:hAnsi="Times New Roman" w:eastAsia="宋体" w:cs="Times New Roman"/>
                      <w:b w:val="0"/>
                      <w:color w:val="auto"/>
                      <w:sz w:val="21"/>
                      <w:szCs w:val="21"/>
                    </w:rPr>
                    <w:t>mg/L</w:t>
                  </w:r>
                  <w:r>
                    <w:rPr>
                      <w:rFonts w:hint="eastAsia" w:ascii="Times New Roman" w:hAnsi="Times New Roman" w:eastAsia="宋体" w:cs="Times New Roman"/>
                      <w:b w:val="0"/>
                      <w:color w:val="auto"/>
                      <w:sz w:val="21"/>
                      <w:szCs w:val="21"/>
                      <w:lang w:val="en-US" w:eastAsia="zh-CN"/>
                    </w:rPr>
                    <w:t>)</w:t>
                  </w:r>
                </w:p>
              </w:tc>
              <w:tc>
                <w:tcPr>
                  <w:tcW w:w="539" w:type="pct"/>
                  <w:vAlign w:val="center"/>
                </w:tcPr>
                <w:p w14:paraId="208A064E">
                  <w:pPr>
                    <w:pStyle w:val="104"/>
                    <w:keepNext w:val="0"/>
                    <w:keepLines w:val="0"/>
                    <w:pageBreakBefore w:val="0"/>
                    <w:widowControl w:val="0"/>
                    <w:kinsoku/>
                    <w:wordWrap/>
                    <w:overflowPunct/>
                    <w:topLinePunct w:val="0"/>
                    <w:autoSpaceDE/>
                    <w:autoSpaceDN/>
                    <w:bidi w:val="0"/>
                    <w:spacing w:before="24" w:after="24"/>
                    <w:ind w:left="-48" w:leftChars="-20" w:right="-48" w:rightChars="-20"/>
                    <w:textAlignment w:val="auto"/>
                    <w:rPr>
                      <w:rFonts w:ascii="Times New Roman" w:hAnsi="Times New Roman" w:eastAsia="宋体" w:cs="Times New Roman"/>
                      <w:b w:val="0"/>
                      <w:color w:val="auto"/>
                      <w:sz w:val="21"/>
                      <w:szCs w:val="21"/>
                    </w:rPr>
                  </w:pPr>
                  <w:r>
                    <w:rPr>
                      <w:rFonts w:ascii="Times New Roman" w:hAnsi="Times New Roman" w:eastAsia="宋体" w:cs="Times New Roman"/>
                      <w:b w:val="0"/>
                      <w:color w:val="auto"/>
                      <w:sz w:val="21"/>
                      <w:szCs w:val="21"/>
                    </w:rPr>
                    <w:t>SS</w:t>
                  </w:r>
                </w:p>
                <w:p w14:paraId="2BE6429B">
                  <w:pPr>
                    <w:pStyle w:val="104"/>
                    <w:keepNext w:val="0"/>
                    <w:keepLines w:val="0"/>
                    <w:pageBreakBefore w:val="0"/>
                    <w:widowControl w:val="0"/>
                    <w:kinsoku/>
                    <w:wordWrap/>
                    <w:overflowPunct/>
                    <w:topLinePunct w:val="0"/>
                    <w:autoSpaceDE/>
                    <w:autoSpaceDN/>
                    <w:bidi w:val="0"/>
                    <w:spacing w:before="24" w:after="24"/>
                    <w:ind w:left="-48" w:leftChars="-20" w:right="-48" w:rightChars="-20"/>
                    <w:textAlignment w:val="auto"/>
                    <w:rPr>
                      <w:rFonts w:ascii="Times New Roman" w:hAnsi="Times New Roman" w:eastAsia="宋体" w:cs="Times New Roman"/>
                      <w:b w:val="0"/>
                      <w:color w:val="auto"/>
                      <w:sz w:val="21"/>
                      <w:szCs w:val="21"/>
                    </w:rPr>
                  </w:pPr>
                  <w:r>
                    <w:rPr>
                      <w:rFonts w:hint="eastAsia" w:ascii="Times New Roman" w:hAnsi="Times New Roman" w:eastAsia="宋体" w:cs="Times New Roman"/>
                      <w:b w:val="0"/>
                      <w:color w:val="auto"/>
                      <w:sz w:val="21"/>
                      <w:szCs w:val="21"/>
                      <w:lang w:val="en-US" w:eastAsia="zh-CN"/>
                    </w:rPr>
                    <w:t>(</w:t>
                  </w:r>
                  <w:r>
                    <w:rPr>
                      <w:rFonts w:ascii="Times New Roman" w:hAnsi="Times New Roman" w:eastAsia="宋体" w:cs="Times New Roman"/>
                      <w:b w:val="0"/>
                      <w:color w:val="auto"/>
                      <w:sz w:val="21"/>
                      <w:szCs w:val="21"/>
                    </w:rPr>
                    <w:t>mg/L</w:t>
                  </w:r>
                  <w:r>
                    <w:rPr>
                      <w:rFonts w:hint="eastAsia" w:ascii="Times New Roman" w:hAnsi="Times New Roman" w:eastAsia="宋体" w:cs="Times New Roman"/>
                      <w:b w:val="0"/>
                      <w:color w:val="auto"/>
                      <w:sz w:val="21"/>
                      <w:szCs w:val="21"/>
                      <w:lang w:val="en-US" w:eastAsia="zh-CN"/>
                    </w:rPr>
                    <w:t>)</w:t>
                  </w:r>
                </w:p>
              </w:tc>
              <w:tc>
                <w:tcPr>
                  <w:tcW w:w="539" w:type="pct"/>
                  <w:vAlign w:val="center"/>
                </w:tcPr>
                <w:p w14:paraId="3035D85E">
                  <w:pPr>
                    <w:keepNext w:val="0"/>
                    <w:keepLines w:val="0"/>
                    <w:pageBreakBefore w:val="0"/>
                    <w:widowControl w:val="0"/>
                    <w:kinsoku/>
                    <w:wordWrap/>
                    <w:overflowPunct/>
                    <w:topLinePunct w:val="0"/>
                    <w:autoSpaceDE/>
                    <w:autoSpaceDN/>
                    <w:bidi w:val="0"/>
                    <w:spacing w:line="320" w:lineRule="exact"/>
                    <w:ind w:left="-48" w:leftChars="-20" w:right="-48" w:rightChars="-20"/>
                    <w:jc w:val="center"/>
                    <w:textAlignment w:val="auto"/>
                    <w:rPr>
                      <w:color w:val="auto"/>
                      <w:sz w:val="21"/>
                      <w:szCs w:val="21"/>
                      <w:lang w:bidi="ar"/>
                    </w:rPr>
                  </w:pPr>
                  <w:r>
                    <w:rPr>
                      <w:color w:val="auto"/>
                      <w:sz w:val="21"/>
                      <w:szCs w:val="21"/>
                      <w:lang w:bidi="ar"/>
                    </w:rPr>
                    <w:t>石油类</w:t>
                  </w:r>
                  <w:r>
                    <w:rPr>
                      <w:rFonts w:hint="eastAsia" w:ascii="Times New Roman" w:hAnsi="Times New Roman" w:eastAsia="宋体" w:cs="Times New Roman"/>
                      <w:b w:val="0"/>
                      <w:color w:val="auto"/>
                      <w:sz w:val="21"/>
                      <w:szCs w:val="21"/>
                      <w:lang w:val="en-US" w:eastAsia="zh-CN"/>
                    </w:rPr>
                    <w:t>(</w:t>
                  </w:r>
                  <w:r>
                    <w:rPr>
                      <w:rFonts w:ascii="Times New Roman" w:hAnsi="Times New Roman" w:eastAsia="宋体" w:cs="Times New Roman"/>
                      <w:b w:val="0"/>
                      <w:color w:val="auto"/>
                      <w:sz w:val="21"/>
                      <w:szCs w:val="21"/>
                    </w:rPr>
                    <w:t>mg/L</w:t>
                  </w:r>
                  <w:r>
                    <w:rPr>
                      <w:rFonts w:hint="eastAsia" w:ascii="Times New Roman" w:hAnsi="Times New Roman" w:eastAsia="宋体" w:cs="Times New Roman"/>
                      <w:b w:val="0"/>
                      <w:color w:val="auto"/>
                      <w:sz w:val="21"/>
                      <w:szCs w:val="21"/>
                      <w:lang w:val="en-US" w:eastAsia="zh-CN"/>
                    </w:rPr>
                    <w:t>)</w:t>
                  </w:r>
                </w:p>
              </w:tc>
              <w:tc>
                <w:tcPr>
                  <w:tcW w:w="539" w:type="pct"/>
                  <w:vAlign w:val="center"/>
                </w:tcPr>
                <w:p w14:paraId="34C428EB">
                  <w:pPr>
                    <w:keepNext w:val="0"/>
                    <w:keepLines w:val="0"/>
                    <w:pageBreakBefore w:val="0"/>
                    <w:widowControl w:val="0"/>
                    <w:kinsoku/>
                    <w:wordWrap/>
                    <w:overflowPunct/>
                    <w:topLinePunct w:val="0"/>
                    <w:autoSpaceDE/>
                    <w:autoSpaceDN/>
                    <w:bidi w:val="0"/>
                    <w:spacing w:line="320" w:lineRule="exact"/>
                    <w:ind w:left="-48" w:leftChars="-20" w:right="-48" w:rightChars="-20"/>
                    <w:jc w:val="center"/>
                    <w:textAlignment w:val="auto"/>
                    <w:rPr>
                      <w:rFonts w:hint="eastAsia" w:eastAsia="宋体"/>
                      <w:color w:val="auto"/>
                      <w:sz w:val="21"/>
                      <w:szCs w:val="21"/>
                      <w:lang w:val="en-US" w:eastAsia="zh-CN" w:bidi="ar"/>
                    </w:rPr>
                  </w:pPr>
                  <w:r>
                    <w:rPr>
                      <w:rFonts w:hint="eastAsia"/>
                      <w:color w:val="auto"/>
                      <w:sz w:val="21"/>
                      <w:szCs w:val="21"/>
                      <w:lang w:val="en-US" w:eastAsia="zh-CN" w:bidi="ar"/>
                    </w:rPr>
                    <w:t>锌</w:t>
                  </w:r>
                  <w:r>
                    <w:rPr>
                      <w:rFonts w:hint="eastAsia" w:ascii="Times New Roman" w:hAnsi="Times New Roman" w:eastAsia="宋体" w:cs="Times New Roman"/>
                      <w:b w:val="0"/>
                      <w:color w:val="auto"/>
                      <w:sz w:val="21"/>
                      <w:szCs w:val="21"/>
                      <w:lang w:val="en-US" w:eastAsia="zh-CN"/>
                    </w:rPr>
                    <w:t>(</w:t>
                  </w:r>
                  <w:r>
                    <w:rPr>
                      <w:rFonts w:ascii="Times New Roman" w:hAnsi="Times New Roman" w:eastAsia="宋体" w:cs="Times New Roman"/>
                      <w:b w:val="0"/>
                      <w:color w:val="auto"/>
                      <w:sz w:val="21"/>
                      <w:szCs w:val="21"/>
                    </w:rPr>
                    <w:t>mg/L</w:t>
                  </w:r>
                  <w:r>
                    <w:rPr>
                      <w:rFonts w:hint="eastAsia" w:ascii="Times New Roman" w:hAnsi="Times New Roman" w:eastAsia="宋体" w:cs="Times New Roman"/>
                      <w:b w:val="0"/>
                      <w:color w:val="auto"/>
                      <w:sz w:val="21"/>
                      <w:szCs w:val="21"/>
                      <w:lang w:val="en-US" w:eastAsia="zh-CN"/>
                    </w:rPr>
                    <w:t>)</w:t>
                  </w:r>
                </w:p>
              </w:tc>
              <w:tc>
                <w:tcPr>
                  <w:tcW w:w="539" w:type="pct"/>
                  <w:vAlign w:val="center"/>
                </w:tcPr>
                <w:p w14:paraId="14247DEC">
                  <w:pPr>
                    <w:keepNext w:val="0"/>
                    <w:keepLines w:val="0"/>
                    <w:pageBreakBefore w:val="0"/>
                    <w:widowControl w:val="0"/>
                    <w:kinsoku/>
                    <w:wordWrap/>
                    <w:overflowPunct/>
                    <w:topLinePunct w:val="0"/>
                    <w:autoSpaceDE/>
                    <w:autoSpaceDN/>
                    <w:bidi w:val="0"/>
                    <w:spacing w:line="320" w:lineRule="exact"/>
                    <w:ind w:left="-48" w:leftChars="-20" w:right="-48" w:rightChars="-20"/>
                    <w:jc w:val="center"/>
                    <w:textAlignment w:val="auto"/>
                    <w:rPr>
                      <w:rFonts w:hint="eastAsia"/>
                      <w:color w:val="auto"/>
                      <w:sz w:val="21"/>
                      <w:szCs w:val="21"/>
                      <w:lang w:val="en-US" w:eastAsia="zh-CN" w:bidi="ar"/>
                    </w:rPr>
                  </w:pPr>
                  <w:r>
                    <w:rPr>
                      <w:rFonts w:hint="eastAsia"/>
                      <w:color w:val="auto"/>
                      <w:sz w:val="21"/>
                      <w:szCs w:val="21"/>
                      <w:lang w:val="en-US" w:eastAsia="zh-CN" w:bidi="ar"/>
                    </w:rPr>
                    <w:t>铅</w:t>
                  </w:r>
                </w:p>
                <w:p w14:paraId="2DFE23E4">
                  <w:pPr>
                    <w:keepNext w:val="0"/>
                    <w:keepLines w:val="0"/>
                    <w:pageBreakBefore w:val="0"/>
                    <w:widowControl w:val="0"/>
                    <w:kinsoku/>
                    <w:wordWrap/>
                    <w:overflowPunct/>
                    <w:topLinePunct w:val="0"/>
                    <w:autoSpaceDE/>
                    <w:autoSpaceDN/>
                    <w:bidi w:val="0"/>
                    <w:spacing w:line="320" w:lineRule="exact"/>
                    <w:ind w:left="-48" w:leftChars="-20" w:right="-48" w:rightChars="-20"/>
                    <w:jc w:val="center"/>
                    <w:textAlignment w:val="auto"/>
                    <w:rPr>
                      <w:rFonts w:hint="eastAsia" w:eastAsia="宋体"/>
                      <w:color w:val="auto"/>
                      <w:sz w:val="21"/>
                      <w:szCs w:val="21"/>
                      <w:lang w:val="en-US" w:eastAsia="zh-CN" w:bidi="ar"/>
                    </w:rPr>
                  </w:pPr>
                  <w:r>
                    <w:rPr>
                      <w:rFonts w:hint="eastAsia" w:ascii="Times New Roman" w:hAnsi="Times New Roman" w:eastAsia="宋体" w:cs="Times New Roman"/>
                      <w:b w:val="0"/>
                      <w:color w:val="auto"/>
                      <w:sz w:val="21"/>
                      <w:szCs w:val="21"/>
                      <w:lang w:val="en-US" w:eastAsia="zh-CN"/>
                    </w:rPr>
                    <w:t>(</w:t>
                  </w:r>
                  <w:r>
                    <w:rPr>
                      <w:rFonts w:ascii="Times New Roman" w:hAnsi="Times New Roman" w:eastAsia="宋体" w:cs="Times New Roman"/>
                      <w:b w:val="0"/>
                      <w:color w:val="auto"/>
                      <w:sz w:val="21"/>
                      <w:szCs w:val="21"/>
                    </w:rPr>
                    <w:t>mg/L</w:t>
                  </w:r>
                  <w:r>
                    <w:rPr>
                      <w:rFonts w:hint="eastAsia" w:ascii="Times New Roman" w:hAnsi="Times New Roman" w:eastAsia="宋体" w:cs="Times New Roman"/>
                      <w:b w:val="0"/>
                      <w:color w:val="auto"/>
                      <w:sz w:val="21"/>
                      <w:szCs w:val="21"/>
                      <w:lang w:val="en-US" w:eastAsia="zh-CN"/>
                    </w:rPr>
                    <w:t>)</w:t>
                  </w:r>
                </w:p>
              </w:tc>
              <w:tc>
                <w:tcPr>
                  <w:tcW w:w="539" w:type="pct"/>
                  <w:vAlign w:val="center"/>
                </w:tcPr>
                <w:p w14:paraId="6D10197E">
                  <w:pPr>
                    <w:keepNext w:val="0"/>
                    <w:keepLines w:val="0"/>
                    <w:pageBreakBefore w:val="0"/>
                    <w:widowControl w:val="0"/>
                    <w:kinsoku/>
                    <w:wordWrap/>
                    <w:overflowPunct/>
                    <w:topLinePunct w:val="0"/>
                    <w:autoSpaceDE/>
                    <w:autoSpaceDN/>
                    <w:bidi w:val="0"/>
                    <w:spacing w:line="320" w:lineRule="exact"/>
                    <w:ind w:left="-48" w:leftChars="-20" w:right="-48" w:rightChars="-20"/>
                    <w:jc w:val="center"/>
                    <w:textAlignment w:val="auto"/>
                    <w:rPr>
                      <w:rFonts w:hint="eastAsia"/>
                      <w:color w:val="auto"/>
                      <w:sz w:val="21"/>
                      <w:szCs w:val="21"/>
                      <w:lang w:val="en-US" w:eastAsia="zh-CN" w:bidi="ar"/>
                    </w:rPr>
                  </w:pPr>
                  <w:r>
                    <w:rPr>
                      <w:rFonts w:hint="eastAsia"/>
                      <w:color w:val="auto"/>
                      <w:sz w:val="21"/>
                      <w:szCs w:val="21"/>
                      <w:lang w:val="en-US" w:eastAsia="zh-CN" w:bidi="ar"/>
                    </w:rPr>
                    <w:t>LAS</w:t>
                  </w:r>
                </w:p>
                <w:p w14:paraId="1BFC69CA">
                  <w:pPr>
                    <w:keepNext w:val="0"/>
                    <w:keepLines w:val="0"/>
                    <w:pageBreakBefore w:val="0"/>
                    <w:widowControl w:val="0"/>
                    <w:kinsoku/>
                    <w:wordWrap/>
                    <w:overflowPunct/>
                    <w:topLinePunct w:val="0"/>
                    <w:autoSpaceDE/>
                    <w:autoSpaceDN/>
                    <w:bidi w:val="0"/>
                    <w:spacing w:line="320" w:lineRule="exact"/>
                    <w:ind w:left="-48" w:leftChars="-20" w:right="-48" w:rightChars="-20"/>
                    <w:jc w:val="center"/>
                    <w:textAlignment w:val="auto"/>
                    <w:rPr>
                      <w:rFonts w:hint="default" w:eastAsia="宋体"/>
                      <w:color w:val="auto"/>
                      <w:sz w:val="21"/>
                      <w:szCs w:val="21"/>
                      <w:lang w:val="en-US" w:eastAsia="zh-CN" w:bidi="ar"/>
                    </w:rPr>
                  </w:pPr>
                  <w:r>
                    <w:rPr>
                      <w:rFonts w:hint="eastAsia" w:ascii="Times New Roman" w:hAnsi="Times New Roman" w:eastAsia="宋体" w:cs="Times New Roman"/>
                      <w:b w:val="0"/>
                      <w:color w:val="auto"/>
                      <w:sz w:val="21"/>
                      <w:szCs w:val="21"/>
                      <w:lang w:val="en-US" w:eastAsia="zh-CN"/>
                    </w:rPr>
                    <w:t>(</w:t>
                  </w:r>
                  <w:r>
                    <w:rPr>
                      <w:rFonts w:ascii="Times New Roman" w:hAnsi="Times New Roman" w:eastAsia="宋体" w:cs="Times New Roman"/>
                      <w:b w:val="0"/>
                      <w:color w:val="auto"/>
                      <w:sz w:val="21"/>
                      <w:szCs w:val="21"/>
                    </w:rPr>
                    <w:t>mg/L</w:t>
                  </w:r>
                  <w:r>
                    <w:rPr>
                      <w:rFonts w:hint="eastAsia" w:ascii="Times New Roman" w:hAnsi="Times New Roman" w:eastAsia="宋体" w:cs="Times New Roman"/>
                      <w:b w:val="0"/>
                      <w:color w:val="auto"/>
                      <w:sz w:val="21"/>
                      <w:szCs w:val="21"/>
                      <w:lang w:val="en-US" w:eastAsia="zh-CN"/>
                    </w:rPr>
                    <w:t>)</w:t>
                  </w:r>
                </w:p>
              </w:tc>
              <w:tc>
                <w:tcPr>
                  <w:tcW w:w="539" w:type="pct"/>
                  <w:vAlign w:val="center"/>
                </w:tcPr>
                <w:p w14:paraId="1309F166">
                  <w:pPr>
                    <w:spacing w:line="320" w:lineRule="exact"/>
                    <w:jc w:val="center"/>
                    <w:rPr>
                      <w:color w:val="auto"/>
                      <w:sz w:val="21"/>
                      <w:szCs w:val="21"/>
                      <w:lang w:bidi="ar"/>
                    </w:rPr>
                  </w:pPr>
                  <w:r>
                    <w:rPr>
                      <w:color w:val="auto"/>
                      <w:sz w:val="21"/>
                      <w:szCs w:val="21"/>
                      <w:lang w:bidi="ar"/>
                    </w:rPr>
                    <w:t>pH</w:t>
                  </w:r>
                </w:p>
              </w:tc>
            </w:tr>
            <w:tr w14:paraId="66CB6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5954E8EF">
                  <w:pPr>
                    <w:keepNext w:val="0"/>
                    <w:keepLines w:val="0"/>
                    <w:pageBreakBefore w:val="0"/>
                    <w:widowControl w:val="0"/>
                    <w:kinsoku/>
                    <w:wordWrap/>
                    <w:overflowPunct/>
                    <w:topLinePunct w:val="0"/>
                    <w:autoSpaceDE/>
                    <w:autoSpaceDN/>
                    <w:bidi w:val="0"/>
                    <w:adjustRightInd/>
                    <w:snapToGrid/>
                    <w:spacing w:line="320" w:lineRule="exact"/>
                    <w:ind w:left="-48" w:leftChars="-20" w:right="-48" w:rightChars="-20"/>
                    <w:jc w:val="center"/>
                    <w:textAlignment w:val="auto"/>
                    <w:rPr>
                      <w:color w:val="auto"/>
                      <w:spacing w:val="-6"/>
                      <w:sz w:val="21"/>
                      <w:szCs w:val="21"/>
                      <w:lang w:bidi="ar"/>
                    </w:rPr>
                  </w:pPr>
                  <w:r>
                    <w:rPr>
                      <w:rFonts w:hint="eastAsia"/>
                      <w:color w:val="auto"/>
                      <w:spacing w:val="-6"/>
                      <w:sz w:val="21"/>
                      <w:szCs w:val="21"/>
                      <w:lang w:bidi="ar"/>
                    </w:rPr>
                    <w:t>产生浓度</w:t>
                  </w:r>
                </w:p>
              </w:tc>
              <w:tc>
                <w:tcPr>
                  <w:tcW w:w="539" w:type="pct"/>
                  <w:vAlign w:val="center"/>
                </w:tcPr>
                <w:p w14:paraId="7707272B">
                  <w:pPr>
                    <w:spacing w:line="320" w:lineRule="exact"/>
                    <w:jc w:val="center"/>
                    <w:rPr>
                      <w:color w:val="auto"/>
                      <w:sz w:val="21"/>
                      <w:szCs w:val="21"/>
                      <w:lang w:bidi="ar"/>
                    </w:rPr>
                  </w:pPr>
                  <w:r>
                    <w:rPr>
                      <w:rFonts w:hint="eastAsia"/>
                      <w:color w:val="auto"/>
                      <w:sz w:val="21"/>
                      <w:szCs w:val="21"/>
                      <w:lang w:bidi="ar"/>
                    </w:rPr>
                    <w:t>1500</w:t>
                  </w:r>
                </w:p>
              </w:tc>
              <w:tc>
                <w:tcPr>
                  <w:tcW w:w="539" w:type="pct"/>
                  <w:vAlign w:val="center"/>
                </w:tcPr>
                <w:p w14:paraId="6E72735A">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500</w:t>
                  </w:r>
                </w:p>
              </w:tc>
              <w:tc>
                <w:tcPr>
                  <w:tcW w:w="539" w:type="pct"/>
                  <w:vAlign w:val="center"/>
                </w:tcPr>
                <w:p w14:paraId="59621E80">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650</w:t>
                  </w:r>
                </w:p>
              </w:tc>
              <w:tc>
                <w:tcPr>
                  <w:tcW w:w="539" w:type="pct"/>
                  <w:vAlign w:val="center"/>
                </w:tcPr>
                <w:p w14:paraId="104EE8D2">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550</w:t>
                  </w:r>
                </w:p>
              </w:tc>
              <w:tc>
                <w:tcPr>
                  <w:tcW w:w="539" w:type="pct"/>
                  <w:vAlign w:val="center"/>
                </w:tcPr>
                <w:p w14:paraId="0991C55F">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3.0</w:t>
                  </w:r>
                </w:p>
              </w:tc>
              <w:tc>
                <w:tcPr>
                  <w:tcW w:w="539" w:type="pct"/>
                  <w:vAlign w:val="center"/>
                </w:tcPr>
                <w:p w14:paraId="3BA9AE98">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0.3</w:t>
                  </w:r>
                </w:p>
              </w:tc>
              <w:tc>
                <w:tcPr>
                  <w:tcW w:w="539" w:type="pct"/>
                  <w:vAlign w:val="center"/>
                </w:tcPr>
                <w:p w14:paraId="19D44D9F">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80</w:t>
                  </w:r>
                </w:p>
              </w:tc>
              <w:tc>
                <w:tcPr>
                  <w:tcW w:w="539" w:type="pct"/>
                  <w:vAlign w:val="center"/>
                </w:tcPr>
                <w:p w14:paraId="56FCDADD">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11</w:t>
                  </w:r>
                </w:p>
              </w:tc>
            </w:tr>
            <w:tr w14:paraId="5F91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6196D570">
                  <w:pPr>
                    <w:keepNext w:val="0"/>
                    <w:keepLines w:val="0"/>
                    <w:pageBreakBefore w:val="0"/>
                    <w:widowControl w:val="0"/>
                    <w:kinsoku/>
                    <w:wordWrap/>
                    <w:overflowPunct/>
                    <w:topLinePunct w:val="0"/>
                    <w:autoSpaceDE/>
                    <w:autoSpaceDN/>
                    <w:bidi w:val="0"/>
                    <w:adjustRightInd/>
                    <w:snapToGrid/>
                    <w:spacing w:line="320" w:lineRule="exact"/>
                    <w:ind w:left="-48" w:leftChars="-20" w:right="-48" w:rightChars="-20"/>
                    <w:jc w:val="center"/>
                    <w:textAlignment w:val="auto"/>
                    <w:rPr>
                      <w:rFonts w:hint="default" w:eastAsia="宋体"/>
                      <w:color w:val="auto"/>
                      <w:spacing w:val="-6"/>
                      <w:sz w:val="21"/>
                      <w:szCs w:val="21"/>
                      <w:lang w:val="en-US" w:eastAsia="zh-CN" w:bidi="ar"/>
                    </w:rPr>
                  </w:pPr>
                  <w:r>
                    <w:rPr>
                      <w:rFonts w:hint="eastAsia"/>
                      <w:color w:val="auto"/>
                      <w:spacing w:val="-6"/>
                      <w:sz w:val="21"/>
                      <w:szCs w:val="21"/>
                      <w:lang w:val="en-US" w:eastAsia="zh-CN" w:bidi="ar"/>
                    </w:rPr>
                    <w:t>破乳去油</w:t>
                  </w:r>
                </w:p>
              </w:tc>
              <w:tc>
                <w:tcPr>
                  <w:tcW w:w="539" w:type="pct"/>
                  <w:vAlign w:val="center"/>
                </w:tcPr>
                <w:p w14:paraId="06F7BAAF">
                  <w:pPr>
                    <w:spacing w:line="320" w:lineRule="exact"/>
                    <w:jc w:val="center"/>
                    <w:rPr>
                      <w:color w:val="auto"/>
                      <w:sz w:val="21"/>
                      <w:szCs w:val="21"/>
                      <w:lang w:bidi="ar"/>
                    </w:rPr>
                  </w:pPr>
                  <w:r>
                    <w:rPr>
                      <w:rFonts w:hint="eastAsia"/>
                      <w:color w:val="auto"/>
                      <w:sz w:val="21"/>
                      <w:szCs w:val="21"/>
                      <w:lang w:val="en-US" w:eastAsia="zh-CN" w:bidi="ar"/>
                    </w:rPr>
                    <w:t>20</w:t>
                  </w:r>
                  <w:r>
                    <w:rPr>
                      <w:rFonts w:hint="eastAsia"/>
                      <w:color w:val="auto"/>
                      <w:sz w:val="21"/>
                      <w:szCs w:val="21"/>
                      <w:lang w:bidi="ar"/>
                    </w:rPr>
                    <w:t>%</w:t>
                  </w:r>
                </w:p>
              </w:tc>
              <w:tc>
                <w:tcPr>
                  <w:tcW w:w="539" w:type="pct"/>
                  <w:vAlign w:val="center"/>
                </w:tcPr>
                <w:p w14:paraId="46A710E0">
                  <w:pPr>
                    <w:spacing w:line="320" w:lineRule="exact"/>
                    <w:jc w:val="center"/>
                    <w:rPr>
                      <w:color w:val="auto"/>
                      <w:sz w:val="21"/>
                      <w:szCs w:val="21"/>
                      <w:lang w:bidi="ar"/>
                    </w:rPr>
                  </w:pPr>
                  <w:r>
                    <w:rPr>
                      <w:rFonts w:hint="eastAsia"/>
                      <w:color w:val="auto"/>
                      <w:sz w:val="21"/>
                      <w:szCs w:val="21"/>
                      <w:lang w:val="en-US" w:eastAsia="zh-CN" w:bidi="ar"/>
                    </w:rPr>
                    <w:t>15</w:t>
                  </w:r>
                  <w:r>
                    <w:rPr>
                      <w:rFonts w:hint="eastAsia"/>
                      <w:color w:val="auto"/>
                      <w:sz w:val="21"/>
                      <w:szCs w:val="21"/>
                      <w:lang w:bidi="ar"/>
                    </w:rPr>
                    <w:t>%</w:t>
                  </w:r>
                </w:p>
              </w:tc>
              <w:tc>
                <w:tcPr>
                  <w:tcW w:w="539" w:type="pct"/>
                  <w:vAlign w:val="center"/>
                </w:tcPr>
                <w:p w14:paraId="345A52A8">
                  <w:pPr>
                    <w:spacing w:line="320" w:lineRule="exact"/>
                    <w:jc w:val="center"/>
                    <w:rPr>
                      <w:color w:val="auto"/>
                      <w:sz w:val="21"/>
                      <w:szCs w:val="21"/>
                      <w:lang w:bidi="ar"/>
                    </w:rPr>
                  </w:pPr>
                  <w:r>
                    <w:rPr>
                      <w:rFonts w:hint="eastAsia"/>
                      <w:color w:val="auto"/>
                      <w:sz w:val="21"/>
                      <w:szCs w:val="21"/>
                      <w:lang w:val="en-US" w:eastAsia="zh-CN" w:bidi="ar"/>
                    </w:rPr>
                    <w:t>10</w:t>
                  </w:r>
                  <w:r>
                    <w:rPr>
                      <w:rFonts w:hint="eastAsia"/>
                      <w:color w:val="auto"/>
                      <w:sz w:val="21"/>
                      <w:szCs w:val="21"/>
                      <w:lang w:bidi="ar"/>
                    </w:rPr>
                    <w:t>%</w:t>
                  </w:r>
                </w:p>
              </w:tc>
              <w:tc>
                <w:tcPr>
                  <w:tcW w:w="539" w:type="pct"/>
                  <w:vAlign w:val="center"/>
                </w:tcPr>
                <w:p w14:paraId="01281676">
                  <w:pPr>
                    <w:spacing w:line="320" w:lineRule="exact"/>
                    <w:jc w:val="center"/>
                    <w:rPr>
                      <w:color w:val="auto"/>
                      <w:sz w:val="21"/>
                      <w:szCs w:val="21"/>
                      <w:lang w:bidi="ar"/>
                    </w:rPr>
                  </w:pPr>
                  <w:r>
                    <w:rPr>
                      <w:rFonts w:hint="eastAsia"/>
                      <w:color w:val="auto"/>
                      <w:sz w:val="21"/>
                      <w:szCs w:val="21"/>
                      <w:lang w:val="en-US" w:eastAsia="zh-CN" w:bidi="ar"/>
                    </w:rPr>
                    <w:t>85</w:t>
                  </w:r>
                  <w:r>
                    <w:rPr>
                      <w:rFonts w:hint="eastAsia"/>
                      <w:color w:val="auto"/>
                      <w:sz w:val="21"/>
                      <w:szCs w:val="21"/>
                      <w:lang w:bidi="ar"/>
                    </w:rPr>
                    <w:t>%</w:t>
                  </w:r>
                </w:p>
              </w:tc>
              <w:tc>
                <w:tcPr>
                  <w:tcW w:w="539" w:type="pct"/>
                  <w:vAlign w:val="center"/>
                </w:tcPr>
                <w:p w14:paraId="3B4615B2">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w:t>
                  </w:r>
                </w:p>
              </w:tc>
              <w:tc>
                <w:tcPr>
                  <w:tcW w:w="539" w:type="pct"/>
                  <w:vAlign w:val="center"/>
                </w:tcPr>
                <w:p w14:paraId="6ACDF39A">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w:t>
                  </w:r>
                </w:p>
              </w:tc>
              <w:tc>
                <w:tcPr>
                  <w:tcW w:w="539" w:type="pct"/>
                  <w:vAlign w:val="center"/>
                </w:tcPr>
                <w:p w14:paraId="16B94959">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5%</w:t>
                  </w:r>
                </w:p>
              </w:tc>
              <w:tc>
                <w:tcPr>
                  <w:tcW w:w="539" w:type="pct"/>
                  <w:vAlign w:val="center"/>
                </w:tcPr>
                <w:p w14:paraId="25016973">
                  <w:pPr>
                    <w:spacing w:line="320" w:lineRule="exact"/>
                    <w:jc w:val="center"/>
                    <w:rPr>
                      <w:rFonts w:hint="eastAsia" w:eastAsia="宋体"/>
                      <w:color w:val="auto"/>
                      <w:sz w:val="21"/>
                      <w:szCs w:val="21"/>
                      <w:lang w:val="en-US" w:eastAsia="zh-CN" w:bidi="ar"/>
                    </w:rPr>
                  </w:pPr>
                  <w:r>
                    <w:rPr>
                      <w:rFonts w:hint="eastAsia"/>
                      <w:color w:val="auto"/>
                      <w:sz w:val="21"/>
                      <w:szCs w:val="21"/>
                      <w:lang w:val="en-US" w:eastAsia="zh-CN" w:bidi="ar"/>
                    </w:rPr>
                    <w:t>/</w:t>
                  </w:r>
                </w:p>
              </w:tc>
            </w:tr>
            <w:tr w14:paraId="5496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3CD449DD">
                  <w:pPr>
                    <w:keepNext w:val="0"/>
                    <w:keepLines w:val="0"/>
                    <w:pageBreakBefore w:val="0"/>
                    <w:widowControl w:val="0"/>
                    <w:kinsoku/>
                    <w:wordWrap/>
                    <w:overflowPunct/>
                    <w:topLinePunct w:val="0"/>
                    <w:autoSpaceDE/>
                    <w:autoSpaceDN/>
                    <w:bidi w:val="0"/>
                    <w:adjustRightInd/>
                    <w:snapToGrid/>
                    <w:spacing w:line="320" w:lineRule="exact"/>
                    <w:ind w:left="-48" w:leftChars="-20" w:right="-48" w:rightChars="-20"/>
                    <w:jc w:val="center"/>
                    <w:textAlignment w:val="auto"/>
                    <w:rPr>
                      <w:rFonts w:hint="eastAsia" w:eastAsia="宋体"/>
                      <w:color w:val="auto"/>
                      <w:spacing w:val="-6"/>
                      <w:sz w:val="21"/>
                      <w:szCs w:val="21"/>
                      <w:lang w:eastAsia="zh-CN" w:bidi="ar"/>
                    </w:rPr>
                  </w:pPr>
                  <w:r>
                    <w:rPr>
                      <w:rFonts w:hint="eastAsia"/>
                      <w:color w:val="auto"/>
                      <w:spacing w:val="-6"/>
                      <w:sz w:val="21"/>
                      <w:szCs w:val="21"/>
                      <w:lang w:val="en-US" w:eastAsia="zh-CN" w:bidi="ar"/>
                    </w:rPr>
                    <w:t>中和</w:t>
                  </w:r>
                </w:p>
              </w:tc>
              <w:tc>
                <w:tcPr>
                  <w:tcW w:w="539" w:type="pct"/>
                  <w:vAlign w:val="center"/>
                </w:tcPr>
                <w:p w14:paraId="7D2B4B11">
                  <w:pPr>
                    <w:spacing w:line="320" w:lineRule="exact"/>
                    <w:jc w:val="center"/>
                    <w:rPr>
                      <w:rFonts w:hint="eastAsia" w:eastAsia="宋体"/>
                      <w:color w:val="auto"/>
                      <w:sz w:val="21"/>
                      <w:szCs w:val="21"/>
                      <w:lang w:val="en-US" w:eastAsia="zh-CN" w:bidi="ar"/>
                    </w:rPr>
                  </w:pPr>
                  <w:r>
                    <w:rPr>
                      <w:rFonts w:hint="eastAsia"/>
                      <w:color w:val="auto"/>
                      <w:sz w:val="21"/>
                      <w:szCs w:val="21"/>
                      <w:lang w:val="en-US" w:eastAsia="zh-CN" w:bidi="ar"/>
                    </w:rPr>
                    <w:t>/</w:t>
                  </w:r>
                </w:p>
              </w:tc>
              <w:tc>
                <w:tcPr>
                  <w:tcW w:w="539" w:type="pct"/>
                  <w:vAlign w:val="center"/>
                </w:tcPr>
                <w:p w14:paraId="52E4A390">
                  <w:pPr>
                    <w:spacing w:line="320" w:lineRule="exact"/>
                    <w:jc w:val="center"/>
                    <w:rPr>
                      <w:rFonts w:hint="eastAsia" w:eastAsia="宋体"/>
                      <w:color w:val="auto"/>
                      <w:sz w:val="21"/>
                      <w:szCs w:val="21"/>
                      <w:lang w:val="en-US" w:eastAsia="zh-CN" w:bidi="ar"/>
                    </w:rPr>
                  </w:pPr>
                  <w:r>
                    <w:rPr>
                      <w:rFonts w:hint="eastAsia"/>
                      <w:color w:val="auto"/>
                      <w:sz w:val="21"/>
                      <w:szCs w:val="21"/>
                      <w:lang w:val="en-US" w:eastAsia="zh-CN" w:bidi="ar"/>
                    </w:rPr>
                    <w:t>/</w:t>
                  </w:r>
                </w:p>
              </w:tc>
              <w:tc>
                <w:tcPr>
                  <w:tcW w:w="539" w:type="pct"/>
                  <w:vAlign w:val="center"/>
                </w:tcPr>
                <w:p w14:paraId="5A26D868">
                  <w:pPr>
                    <w:spacing w:line="320" w:lineRule="exact"/>
                    <w:jc w:val="center"/>
                    <w:rPr>
                      <w:rFonts w:hint="eastAsia" w:eastAsia="宋体"/>
                      <w:color w:val="auto"/>
                      <w:sz w:val="21"/>
                      <w:szCs w:val="21"/>
                      <w:lang w:val="en-US" w:eastAsia="zh-CN" w:bidi="ar"/>
                    </w:rPr>
                  </w:pPr>
                  <w:r>
                    <w:rPr>
                      <w:rFonts w:hint="eastAsia"/>
                      <w:color w:val="auto"/>
                      <w:sz w:val="21"/>
                      <w:szCs w:val="21"/>
                      <w:lang w:val="en-US" w:eastAsia="zh-CN" w:bidi="ar"/>
                    </w:rPr>
                    <w:t>/</w:t>
                  </w:r>
                </w:p>
              </w:tc>
              <w:tc>
                <w:tcPr>
                  <w:tcW w:w="539" w:type="pct"/>
                  <w:vAlign w:val="center"/>
                </w:tcPr>
                <w:p w14:paraId="4222FD90">
                  <w:pPr>
                    <w:spacing w:line="320" w:lineRule="exact"/>
                    <w:jc w:val="center"/>
                    <w:rPr>
                      <w:rFonts w:hint="eastAsia" w:eastAsia="宋体"/>
                      <w:color w:val="auto"/>
                      <w:sz w:val="21"/>
                      <w:szCs w:val="21"/>
                      <w:lang w:val="en-US" w:eastAsia="zh-CN" w:bidi="ar"/>
                    </w:rPr>
                  </w:pPr>
                  <w:r>
                    <w:rPr>
                      <w:rFonts w:hint="eastAsia"/>
                      <w:color w:val="auto"/>
                      <w:sz w:val="21"/>
                      <w:szCs w:val="21"/>
                      <w:lang w:val="en-US" w:eastAsia="zh-CN" w:bidi="ar"/>
                    </w:rPr>
                    <w:t>/</w:t>
                  </w:r>
                </w:p>
              </w:tc>
              <w:tc>
                <w:tcPr>
                  <w:tcW w:w="539" w:type="pct"/>
                  <w:vAlign w:val="center"/>
                </w:tcPr>
                <w:p w14:paraId="74F9BEBA">
                  <w:pPr>
                    <w:spacing w:line="320" w:lineRule="exact"/>
                    <w:jc w:val="center"/>
                    <w:rPr>
                      <w:color w:val="auto"/>
                      <w:sz w:val="21"/>
                      <w:szCs w:val="21"/>
                      <w:lang w:bidi="ar"/>
                    </w:rPr>
                  </w:pPr>
                  <w:r>
                    <w:rPr>
                      <w:rFonts w:hint="eastAsia"/>
                      <w:color w:val="auto"/>
                      <w:sz w:val="21"/>
                      <w:szCs w:val="21"/>
                      <w:lang w:bidi="ar"/>
                    </w:rPr>
                    <w:t>/</w:t>
                  </w:r>
                </w:p>
              </w:tc>
              <w:tc>
                <w:tcPr>
                  <w:tcW w:w="539" w:type="pct"/>
                  <w:vAlign w:val="center"/>
                </w:tcPr>
                <w:p w14:paraId="48F70C3E">
                  <w:pPr>
                    <w:spacing w:line="320" w:lineRule="exact"/>
                    <w:jc w:val="center"/>
                    <w:rPr>
                      <w:rFonts w:hint="eastAsia" w:eastAsia="宋体"/>
                      <w:color w:val="auto"/>
                      <w:sz w:val="21"/>
                      <w:szCs w:val="21"/>
                      <w:lang w:val="en-US" w:eastAsia="zh-CN" w:bidi="ar"/>
                    </w:rPr>
                  </w:pPr>
                  <w:r>
                    <w:rPr>
                      <w:rFonts w:hint="eastAsia"/>
                      <w:color w:val="auto"/>
                      <w:sz w:val="21"/>
                      <w:szCs w:val="21"/>
                      <w:lang w:val="en-US" w:eastAsia="zh-CN" w:bidi="ar"/>
                    </w:rPr>
                    <w:t>/</w:t>
                  </w:r>
                </w:p>
              </w:tc>
              <w:tc>
                <w:tcPr>
                  <w:tcW w:w="539" w:type="pct"/>
                  <w:vAlign w:val="center"/>
                </w:tcPr>
                <w:p w14:paraId="7E0DE7E5">
                  <w:pPr>
                    <w:spacing w:line="320" w:lineRule="exact"/>
                    <w:jc w:val="center"/>
                    <w:rPr>
                      <w:rFonts w:hint="eastAsia" w:eastAsia="宋体"/>
                      <w:color w:val="auto"/>
                      <w:sz w:val="21"/>
                      <w:szCs w:val="21"/>
                      <w:lang w:val="en-US" w:eastAsia="zh-CN" w:bidi="ar"/>
                    </w:rPr>
                  </w:pPr>
                  <w:r>
                    <w:rPr>
                      <w:rFonts w:hint="eastAsia"/>
                      <w:color w:val="auto"/>
                      <w:sz w:val="21"/>
                      <w:szCs w:val="21"/>
                      <w:lang w:val="en-US" w:eastAsia="zh-CN" w:bidi="ar"/>
                    </w:rPr>
                    <w:t>/</w:t>
                  </w:r>
                </w:p>
              </w:tc>
              <w:tc>
                <w:tcPr>
                  <w:tcW w:w="539" w:type="pct"/>
                  <w:vAlign w:val="center"/>
                </w:tcPr>
                <w:p w14:paraId="15535EFA">
                  <w:pPr>
                    <w:spacing w:line="320" w:lineRule="exact"/>
                    <w:jc w:val="center"/>
                    <w:rPr>
                      <w:rFonts w:hint="eastAsia" w:eastAsia="宋体"/>
                      <w:color w:val="auto"/>
                      <w:sz w:val="21"/>
                      <w:szCs w:val="21"/>
                      <w:lang w:val="en-US" w:eastAsia="zh-CN" w:bidi="ar"/>
                    </w:rPr>
                  </w:pPr>
                  <w:r>
                    <w:rPr>
                      <w:rFonts w:hint="eastAsia"/>
                      <w:color w:val="auto"/>
                      <w:sz w:val="21"/>
                      <w:szCs w:val="21"/>
                      <w:lang w:bidi="ar"/>
                    </w:rPr>
                    <w:t>7</w:t>
                  </w:r>
                  <w:r>
                    <w:rPr>
                      <w:color w:val="auto"/>
                      <w:sz w:val="21"/>
                      <w:szCs w:val="21"/>
                    </w:rPr>
                    <w:t>～</w:t>
                  </w:r>
                  <w:r>
                    <w:rPr>
                      <w:rFonts w:hint="eastAsia"/>
                      <w:color w:val="auto"/>
                      <w:sz w:val="21"/>
                      <w:szCs w:val="21"/>
                      <w:lang w:val="en-US" w:eastAsia="zh-CN"/>
                    </w:rPr>
                    <w:t>8</w:t>
                  </w:r>
                </w:p>
              </w:tc>
            </w:tr>
            <w:tr w14:paraId="5F2D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4BBC535B">
                  <w:pPr>
                    <w:keepNext w:val="0"/>
                    <w:keepLines w:val="0"/>
                    <w:pageBreakBefore w:val="0"/>
                    <w:widowControl w:val="0"/>
                    <w:kinsoku/>
                    <w:wordWrap/>
                    <w:overflowPunct/>
                    <w:topLinePunct w:val="0"/>
                    <w:autoSpaceDE/>
                    <w:autoSpaceDN/>
                    <w:bidi w:val="0"/>
                    <w:adjustRightInd/>
                    <w:snapToGrid/>
                    <w:spacing w:line="320" w:lineRule="exact"/>
                    <w:ind w:left="-48" w:leftChars="-20" w:right="-48" w:rightChars="-20"/>
                    <w:jc w:val="center"/>
                    <w:textAlignment w:val="auto"/>
                    <w:rPr>
                      <w:color w:val="auto"/>
                      <w:spacing w:val="-6"/>
                      <w:sz w:val="21"/>
                      <w:szCs w:val="21"/>
                      <w:lang w:bidi="ar"/>
                    </w:rPr>
                  </w:pPr>
                  <w:r>
                    <w:rPr>
                      <w:rFonts w:hint="eastAsia"/>
                      <w:color w:val="auto"/>
                      <w:spacing w:val="-6"/>
                      <w:sz w:val="21"/>
                      <w:szCs w:val="21"/>
                      <w:lang w:bidi="ar"/>
                    </w:rPr>
                    <w:t>混凝沉淀</w:t>
                  </w:r>
                </w:p>
              </w:tc>
              <w:tc>
                <w:tcPr>
                  <w:tcW w:w="539" w:type="pct"/>
                  <w:vAlign w:val="center"/>
                </w:tcPr>
                <w:p w14:paraId="1AF3C90A">
                  <w:pPr>
                    <w:spacing w:line="320" w:lineRule="exact"/>
                    <w:jc w:val="center"/>
                    <w:rPr>
                      <w:color w:val="auto"/>
                      <w:sz w:val="21"/>
                      <w:szCs w:val="21"/>
                      <w:lang w:bidi="ar"/>
                    </w:rPr>
                  </w:pPr>
                  <w:r>
                    <w:rPr>
                      <w:rFonts w:hint="eastAsia"/>
                      <w:color w:val="auto"/>
                      <w:sz w:val="21"/>
                      <w:szCs w:val="21"/>
                      <w:lang w:bidi="ar"/>
                    </w:rPr>
                    <w:t>3</w:t>
                  </w:r>
                  <w:r>
                    <w:rPr>
                      <w:rFonts w:hint="eastAsia"/>
                      <w:color w:val="auto"/>
                      <w:sz w:val="21"/>
                      <w:szCs w:val="21"/>
                      <w:lang w:val="en-US" w:eastAsia="zh-CN" w:bidi="ar"/>
                    </w:rPr>
                    <w:t>5</w:t>
                  </w:r>
                  <w:r>
                    <w:rPr>
                      <w:rFonts w:hint="eastAsia"/>
                      <w:color w:val="auto"/>
                      <w:sz w:val="21"/>
                      <w:szCs w:val="21"/>
                      <w:lang w:bidi="ar"/>
                    </w:rPr>
                    <w:t>%</w:t>
                  </w:r>
                </w:p>
              </w:tc>
              <w:tc>
                <w:tcPr>
                  <w:tcW w:w="539" w:type="pct"/>
                  <w:vAlign w:val="center"/>
                </w:tcPr>
                <w:p w14:paraId="42391929">
                  <w:pPr>
                    <w:spacing w:line="320" w:lineRule="exact"/>
                    <w:jc w:val="center"/>
                    <w:rPr>
                      <w:color w:val="auto"/>
                      <w:sz w:val="21"/>
                      <w:szCs w:val="21"/>
                      <w:lang w:bidi="ar"/>
                    </w:rPr>
                  </w:pPr>
                  <w:r>
                    <w:rPr>
                      <w:rFonts w:hint="eastAsia"/>
                      <w:color w:val="auto"/>
                      <w:sz w:val="21"/>
                      <w:szCs w:val="21"/>
                      <w:lang w:val="en-US" w:eastAsia="zh-CN" w:bidi="ar"/>
                    </w:rPr>
                    <w:t>40</w:t>
                  </w:r>
                  <w:r>
                    <w:rPr>
                      <w:rFonts w:hint="eastAsia"/>
                      <w:color w:val="auto"/>
                      <w:sz w:val="21"/>
                      <w:szCs w:val="21"/>
                      <w:lang w:bidi="ar"/>
                    </w:rPr>
                    <w:t>%</w:t>
                  </w:r>
                </w:p>
              </w:tc>
              <w:tc>
                <w:tcPr>
                  <w:tcW w:w="539" w:type="pct"/>
                  <w:vAlign w:val="center"/>
                </w:tcPr>
                <w:p w14:paraId="630E4B4F">
                  <w:pPr>
                    <w:spacing w:line="320" w:lineRule="exact"/>
                    <w:jc w:val="center"/>
                    <w:rPr>
                      <w:color w:val="auto"/>
                      <w:sz w:val="21"/>
                      <w:szCs w:val="21"/>
                      <w:lang w:bidi="ar"/>
                    </w:rPr>
                  </w:pPr>
                  <w:r>
                    <w:rPr>
                      <w:rFonts w:hint="eastAsia"/>
                      <w:color w:val="auto"/>
                      <w:sz w:val="21"/>
                      <w:szCs w:val="21"/>
                      <w:lang w:val="en-US" w:eastAsia="zh-CN" w:bidi="ar"/>
                    </w:rPr>
                    <w:t>85</w:t>
                  </w:r>
                  <w:r>
                    <w:rPr>
                      <w:rFonts w:hint="eastAsia"/>
                      <w:color w:val="auto"/>
                      <w:sz w:val="21"/>
                      <w:szCs w:val="21"/>
                      <w:lang w:bidi="ar"/>
                    </w:rPr>
                    <w:t>%</w:t>
                  </w:r>
                </w:p>
              </w:tc>
              <w:tc>
                <w:tcPr>
                  <w:tcW w:w="539" w:type="pct"/>
                  <w:vAlign w:val="center"/>
                </w:tcPr>
                <w:p w14:paraId="0170278E">
                  <w:pPr>
                    <w:spacing w:line="320" w:lineRule="exact"/>
                    <w:jc w:val="center"/>
                    <w:rPr>
                      <w:color w:val="auto"/>
                      <w:sz w:val="21"/>
                      <w:szCs w:val="21"/>
                      <w:lang w:bidi="ar"/>
                    </w:rPr>
                  </w:pPr>
                  <w:r>
                    <w:rPr>
                      <w:rFonts w:hint="eastAsia"/>
                      <w:color w:val="auto"/>
                      <w:sz w:val="21"/>
                      <w:szCs w:val="21"/>
                      <w:lang w:val="en-US" w:eastAsia="zh-CN" w:bidi="ar"/>
                    </w:rPr>
                    <w:t>20</w:t>
                  </w:r>
                  <w:r>
                    <w:rPr>
                      <w:rFonts w:hint="eastAsia"/>
                      <w:color w:val="auto"/>
                      <w:sz w:val="21"/>
                      <w:szCs w:val="21"/>
                      <w:lang w:bidi="ar"/>
                    </w:rPr>
                    <w:t>%</w:t>
                  </w:r>
                </w:p>
              </w:tc>
              <w:tc>
                <w:tcPr>
                  <w:tcW w:w="539" w:type="pct"/>
                  <w:vAlign w:val="center"/>
                </w:tcPr>
                <w:p w14:paraId="08CF4C37">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30%</w:t>
                  </w:r>
                </w:p>
              </w:tc>
              <w:tc>
                <w:tcPr>
                  <w:tcW w:w="539" w:type="pct"/>
                  <w:vAlign w:val="center"/>
                </w:tcPr>
                <w:p w14:paraId="0A92178D">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30%</w:t>
                  </w:r>
                </w:p>
              </w:tc>
              <w:tc>
                <w:tcPr>
                  <w:tcW w:w="539" w:type="pct"/>
                  <w:vAlign w:val="center"/>
                </w:tcPr>
                <w:p w14:paraId="73BAFCFF">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40%</w:t>
                  </w:r>
                </w:p>
              </w:tc>
              <w:tc>
                <w:tcPr>
                  <w:tcW w:w="539" w:type="pct"/>
                  <w:vAlign w:val="center"/>
                </w:tcPr>
                <w:p w14:paraId="50620C6A">
                  <w:pPr>
                    <w:spacing w:line="320" w:lineRule="exact"/>
                    <w:jc w:val="center"/>
                    <w:rPr>
                      <w:rFonts w:hint="eastAsia" w:eastAsia="宋体"/>
                      <w:color w:val="auto"/>
                      <w:sz w:val="21"/>
                      <w:szCs w:val="21"/>
                      <w:lang w:val="en-US" w:eastAsia="zh-CN" w:bidi="ar"/>
                    </w:rPr>
                  </w:pPr>
                  <w:r>
                    <w:rPr>
                      <w:rFonts w:hint="eastAsia"/>
                      <w:color w:val="auto"/>
                      <w:sz w:val="21"/>
                      <w:szCs w:val="21"/>
                      <w:lang w:val="en-US" w:eastAsia="zh-CN" w:bidi="ar"/>
                    </w:rPr>
                    <w:t>/</w:t>
                  </w:r>
                </w:p>
              </w:tc>
            </w:tr>
            <w:tr w14:paraId="1FE7D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6B1F32F3">
                  <w:pPr>
                    <w:keepNext w:val="0"/>
                    <w:keepLines w:val="0"/>
                    <w:pageBreakBefore w:val="0"/>
                    <w:widowControl w:val="0"/>
                    <w:kinsoku/>
                    <w:wordWrap/>
                    <w:overflowPunct/>
                    <w:topLinePunct w:val="0"/>
                    <w:autoSpaceDE/>
                    <w:autoSpaceDN/>
                    <w:bidi w:val="0"/>
                    <w:adjustRightInd/>
                    <w:snapToGrid/>
                    <w:spacing w:line="320" w:lineRule="exact"/>
                    <w:ind w:left="-48" w:leftChars="-20" w:right="-48" w:rightChars="-20"/>
                    <w:jc w:val="center"/>
                    <w:textAlignment w:val="auto"/>
                    <w:rPr>
                      <w:rFonts w:hint="eastAsia" w:eastAsia="宋体"/>
                      <w:color w:val="auto"/>
                      <w:spacing w:val="-6"/>
                      <w:sz w:val="21"/>
                      <w:szCs w:val="21"/>
                      <w:lang w:eastAsia="zh-CN" w:bidi="ar"/>
                    </w:rPr>
                  </w:pPr>
                  <w:r>
                    <w:rPr>
                      <w:rFonts w:hint="eastAsia"/>
                      <w:color w:val="auto"/>
                      <w:spacing w:val="-6"/>
                      <w:sz w:val="21"/>
                      <w:szCs w:val="21"/>
                      <w:lang w:val="en-US" w:eastAsia="zh-CN" w:bidi="ar"/>
                    </w:rPr>
                    <w:t>砂滤</w:t>
                  </w:r>
                </w:p>
              </w:tc>
              <w:tc>
                <w:tcPr>
                  <w:tcW w:w="539" w:type="pct"/>
                  <w:vAlign w:val="center"/>
                </w:tcPr>
                <w:p w14:paraId="7B893819">
                  <w:pPr>
                    <w:spacing w:line="320" w:lineRule="exact"/>
                    <w:jc w:val="center"/>
                    <w:rPr>
                      <w:color w:val="auto"/>
                      <w:sz w:val="21"/>
                      <w:szCs w:val="21"/>
                      <w:lang w:bidi="ar"/>
                    </w:rPr>
                  </w:pPr>
                  <w:r>
                    <w:rPr>
                      <w:rFonts w:hint="eastAsia"/>
                      <w:color w:val="auto"/>
                      <w:sz w:val="21"/>
                      <w:szCs w:val="21"/>
                      <w:lang w:val="en-US" w:eastAsia="zh-CN" w:bidi="ar"/>
                    </w:rPr>
                    <w:t>15</w:t>
                  </w:r>
                  <w:r>
                    <w:rPr>
                      <w:rFonts w:hint="eastAsia"/>
                      <w:color w:val="auto"/>
                      <w:sz w:val="21"/>
                      <w:szCs w:val="21"/>
                      <w:lang w:bidi="ar"/>
                    </w:rPr>
                    <w:t>%</w:t>
                  </w:r>
                </w:p>
              </w:tc>
              <w:tc>
                <w:tcPr>
                  <w:tcW w:w="539" w:type="pct"/>
                  <w:vAlign w:val="center"/>
                </w:tcPr>
                <w:p w14:paraId="05C50B98">
                  <w:pPr>
                    <w:spacing w:line="320" w:lineRule="exact"/>
                    <w:jc w:val="center"/>
                    <w:rPr>
                      <w:color w:val="auto"/>
                      <w:sz w:val="21"/>
                      <w:szCs w:val="21"/>
                      <w:lang w:bidi="ar"/>
                    </w:rPr>
                  </w:pPr>
                  <w:r>
                    <w:rPr>
                      <w:rFonts w:hint="eastAsia"/>
                      <w:color w:val="auto"/>
                      <w:sz w:val="21"/>
                      <w:szCs w:val="21"/>
                      <w:lang w:val="en-US" w:eastAsia="zh-CN" w:bidi="ar"/>
                    </w:rPr>
                    <w:t>15</w:t>
                  </w:r>
                  <w:r>
                    <w:rPr>
                      <w:rFonts w:hint="eastAsia"/>
                      <w:color w:val="auto"/>
                      <w:sz w:val="21"/>
                      <w:szCs w:val="21"/>
                      <w:lang w:bidi="ar"/>
                    </w:rPr>
                    <w:t>%</w:t>
                  </w:r>
                </w:p>
              </w:tc>
              <w:tc>
                <w:tcPr>
                  <w:tcW w:w="539" w:type="pct"/>
                  <w:vAlign w:val="center"/>
                </w:tcPr>
                <w:p w14:paraId="55ADE7CE">
                  <w:pPr>
                    <w:spacing w:line="320" w:lineRule="exact"/>
                    <w:jc w:val="center"/>
                    <w:rPr>
                      <w:color w:val="auto"/>
                      <w:sz w:val="21"/>
                      <w:szCs w:val="21"/>
                      <w:lang w:bidi="ar"/>
                    </w:rPr>
                  </w:pPr>
                  <w:r>
                    <w:rPr>
                      <w:rFonts w:hint="eastAsia"/>
                      <w:color w:val="auto"/>
                      <w:sz w:val="21"/>
                      <w:szCs w:val="21"/>
                      <w:lang w:val="en-US" w:eastAsia="zh-CN" w:bidi="ar"/>
                    </w:rPr>
                    <w:t>30</w:t>
                  </w:r>
                  <w:r>
                    <w:rPr>
                      <w:rFonts w:hint="eastAsia"/>
                      <w:color w:val="auto"/>
                      <w:sz w:val="21"/>
                      <w:szCs w:val="21"/>
                      <w:lang w:bidi="ar"/>
                    </w:rPr>
                    <w:t>%</w:t>
                  </w:r>
                </w:p>
              </w:tc>
              <w:tc>
                <w:tcPr>
                  <w:tcW w:w="539" w:type="pct"/>
                  <w:vAlign w:val="center"/>
                </w:tcPr>
                <w:p w14:paraId="40D15CA2">
                  <w:pPr>
                    <w:spacing w:line="320" w:lineRule="exact"/>
                    <w:jc w:val="center"/>
                    <w:rPr>
                      <w:color w:val="auto"/>
                      <w:sz w:val="21"/>
                      <w:szCs w:val="21"/>
                      <w:lang w:bidi="ar"/>
                    </w:rPr>
                  </w:pPr>
                  <w:r>
                    <w:rPr>
                      <w:rFonts w:hint="eastAsia"/>
                      <w:color w:val="auto"/>
                      <w:sz w:val="21"/>
                      <w:szCs w:val="21"/>
                      <w:lang w:val="en-US" w:eastAsia="zh-CN" w:bidi="ar"/>
                    </w:rPr>
                    <w:t>15</w:t>
                  </w:r>
                  <w:r>
                    <w:rPr>
                      <w:rFonts w:hint="eastAsia"/>
                      <w:color w:val="auto"/>
                      <w:sz w:val="21"/>
                      <w:szCs w:val="21"/>
                      <w:lang w:bidi="ar"/>
                    </w:rPr>
                    <w:t>%</w:t>
                  </w:r>
                </w:p>
              </w:tc>
              <w:tc>
                <w:tcPr>
                  <w:tcW w:w="539" w:type="pct"/>
                  <w:shd w:val="clear" w:color="auto" w:fill="auto"/>
                  <w:vAlign w:val="center"/>
                </w:tcPr>
                <w:p w14:paraId="312F1342">
                  <w:pPr>
                    <w:spacing w:line="320" w:lineRule="exact"/>
                    <w:jc w:val="center"/>
                    <w:rPr>
                      <w:rFonts w:hint="default"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10%</w:t>
                  </w:r>
                </w:p>
              </w:tc>
              <w:tc>
                <w:tcPr>
                  <w:tcW w:w="539" w:type="pct"/>
                  <w:shd w:val="clear" w:color="auto" w:fill="auto"/>
                  <w:vAlign w:val="center"/>
                </w:tcPr>
                <w:p w14:paraId="3751CC5D">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10%</w:t>
                  </w:r>
                </w:p>
              </w:tc>
              <w:tc>
                <w:tcPr>
                  <w:tcW w:w="539" w:type="pct"/>
                  <w:vAlign w:val="center"/>
                </w:tcPr>
                <w:p w14:paraId="27D5E513">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15%</w:t>
                  </w:r>
                </w:p>
              </w:tc>
              <w:tc>
                <w:tcPr>
                  <w:tcW w:w="539" w:type="pct"/>
                  <w:vAlign w:val="center"/>
                </w:tcPr>
                <w:p w14:paraId="279981F9">
                  <w:pPr>
                    <w:spacing w:line="320" w:lineRule="exact"/>
                    <w:jc w:val="center"/>
                    <w:rPr>
                      <w:rFonts w:hint="eastAsia" w:eastAsia="宋体"/>
                      <w:color w:val="auto"/>
                      <w:sz w:val="21"/>
                      <w:szCs w:val="21"/>
                      <w:lang w:val="en-US" w:eastAsia="zh-CN" w:bidi="ar"/>
                    </w:rPr>
                  </w:pPr>
                  <w:r>
                    <w:rPr>
                      <w:rFonts w:hint="eastAsia"/>
                      <w:color w:val="auto"/>
                      <w:sz w:val="21"/>
                      <w:szCs w:val="21"/>
                      <w:lang w:val="en-US" w:eastAsia="zh-CN" w:bidi="ar"/>
                    </w:rPr>
                    <w:t>/</w:t>
                  </w:r>
                </w:p>
              </w:tc>
            </w:tr>
            <w:tr w14:paraId="3404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243943BF">
                  <w:pPr>
                    <w:keepNext w:val="0"/>
                    <w:keepLines w:val="0"/>
                    <w:pageBreakBefore w:val="0"/>
                    <w:widowControl w:val="0"/>
                    <w:kinsoku/>
                    <w:wordWrap/>
                    <w:overflowPunct/>
                    <w:topLinePunct w:val="0"/>
                    <w:autoSpaceDE/>
                    <w:autoSpaceDN/>
                    <w:bidi w:val="0"/>
                    <w:adjustRightInd/>
                    <w:snapToGrid/>
                    <w:spacing w:line="320" w:lineRule="exact"/>
                    <w:ind w:left="-48" w:leftChars="-20" w:right="-48" w:rightChars="-20"/>
                    <w:jc w:val="center"/>
                    <w:textAlignment w:val="auto"/>
                    <w:rPr>
                      <w:rFonts w:hint="default"/>
                      <w:color w:val="auto"/>
                      <w:spacing w:val="-6"/>
                      <w:sz w:val="21"/>
                      <w:szCs w:val="21"/>
                      <w:lang w:val="en-US" w:eastAsia="zh-CN" w:bidi="ar"/>
                    </w:rPr>
                  </w:pPr>
                  <w:r>
                    <w:rPr>
                      <w:rFonts w:hint="eastAsia"/>
                      <w:color w:val="auto"/>
                      <w:spacing w:val="-6"/>
                      <w:sz w:val="21"/>
                      <w:szCs w:val="21"/>
                      <w:lang w:val="en-US" w:eastAsia="zh-CN" w:bidi="ar"/>
                    </w:rPr>
                    <w:t>超滤</w:t>
                  </w:r>
                </w:p>
              </w:tc>
              <w:tc>
                <w:tcPr>
                  <w:tcW w:w="539" w:type="pct"/>
                  <w:shd w:val="clear" w:color="auto" w:fill="auto"/>
                  <w:vAlign w:val="center"/>
                </w:tcPr>
                <w:p w14:paraId="056C27B4">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30</w:t>
                  </w:r>
                  <w:r>
                    <w:rPr>
                      <w:rFonts w:hint="eastAsia"/>
                      <w:color w:val="auto"/>
                      <w:sz w:val="21"/>
                      <w:szCs w:val="21"/>
                      <w:lang w:bidi="ar"/>
                    </w:rPr>
                    <w:t>%</w:t>
                  </w:r>
                </w:p>
              </w:tc>
              <w:tc>
                <w:tcPr>
                  <w:tcW w:w="539" w:type="pct"/>
                  <w:shd w:val="clear" w:color="auto" w:fill="auto"/>
                  <w:vAlign w:val="center"/>
                </w:tcPr>
                <w:p w14:paraId="0F94B741">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30</w:t>
                  </w:r>
                  <w:r>
                    <w:rPr>
                      <w:rFonts w:hint="eastAsia"/>
                      <w:color w:val="auto"/>
                      <w:sz w:val="21"/>
                      <w:szCs w:val="21"/>
                      <w:lang w:bidi="ar"/>
                    </w:rPr>
                    <w:t>%</w:t>
                  </w:r>
                </w:p>
              </w:tc>
              <w:tc>
                <w:tcPr>
                  <w:tcW w:w="539" w:type="pct"/>
                  <w:shd w:val="clear" w:color="auto" w:fill="auto"/>
                  <w:vAlign w:val="center"/>
                </w:tcPr>
                <w:p w14:paraId="0B797B6A">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90</w:t>
                  </w:r>
                  <w:r>
                    <w:rPr>
                      <w:rFonts w:hint="eastAsia"/>
                      <w:color w:val="auto"/>
                      <w:sz w:val="21"/>
                      <w:szCs w:val="21"/>
                      <w:lang w:bidi="ar"/>
                    </w:rPr>
                    <w:t>%</w:t>
                  </w:r>
                </w:p>
              </w:tc>
              <w:tc>
                <w:tcPr>
                  <w:tcW w:w="539" w:type="pct"/>
                  <w:shd w:val="clear" w:color="auto" w:fill="auto"/>
                  <w:vAlign w:val="center"/>
                </w:tcPr>
                <w:p w14:paraId="5530EC1C">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25</w:t>
                  </w:r>
                  <w:r>
                    <w:rPr>
                      <w:rFonts w:hint="eastAsia"/>
                      <w:color w:val="auto"/>
                      <w:sz w:val="21"/>
                      <w:szCs w:val="21"/>
                      <w:lang w:bidi="ar"/>
                    </w:rPr>
                    <w:t>%</w:t>
                  </w:r>
                </w:p>
              </w:tc>
              <w:tc>
                <w:tcPr>
                  <w:tcW w:w="539" w:type="pct"/>
                  <w:shd w:val="clear" w:color="auto" w:fill="auto"/>
                  <w:vAlign w:val="center"/>
                </w:tcPr>
                <w:p w14:paraId="15587BFC">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20%</w:t>
                  </w:r>
                </w:p>
              </w:tc>
              <w:tc>
                <w:tcPr>
                  <w:tcW w:w="539" w:type="pct"/>
                  <w:shd w:val="clear" w:color="auto" w:fill="auto"/>
                  <w:vAlign w:val="center"/>
                </w:tcPr>
                <w:p w14:paraId="42277FDE">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20%</w:t>
                  </w:r>
                </w:p>
              </w:tc>
              <w:tc>
                <w:tcPr>
                  <w:tcW w:w="539" w:type="pct"/>
                  <w:shd w:val="clear" w:color="auto" w:fill="auto"/>
                  <w:vAlign w:val="center"/>
                </w:tcPr>
                <w:p w14:paraId="67827DFD">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30%</w:t>
                  </w:r>
                </w:p>
              </w:tc>
              <w:tc>
                <w:tcPr>
                  <w:tcW w:w="539" w:type="pct"/>
                  <w:vAlign w:val="center"/>
                </w:tcPr>
                <w:p w14:paraId="0475148B">
                  <w:pPr>
                    <w:spacing w:line="320" w:lineRule="exact"/>
                    <w:jc w:val="center"/>
                    <w:rPr>
                      <w:rFonts w:hint="eastAsia"/>
                      <w:color w:val="auto"/>
                      <w:sz w:val="21"/>
                      <w:szCs w:val="21"/>
                      <w:lang w:val="en-US" w:eastAsia="zh-CN" w:bidi="ar"/>
                    </w:rPr>
                  </w:pPr>
                </w:p>
              </w:tc>
            </w:tr>
            <w:tr w14:paraId="31E74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4E521EF0">
                  <w:pPr>
                    <w:keepNext w:val="0"/>
                    <w:keepLines w:val="0"/>
                    <w:pageBreakBefore w:val="0"/>
                    <w:widowControl w:val="0"/>
                    <w:kinsoku/>
                    <w:wordWrap/>
                    <w:overflowPunct/>
                    <w:topLinePunct w:val="0"/>
                    <w:autoSpaceDE/>
                    <w:autoSpaceDN/>
                    <w:bidi w:val="0"/>
                    <w:adjustRightInd/>
                    <w:snapToGrid/>
                    <w:spacing w:line="320" w:lineRule="exact"/>
                    <w:ind w:left="-48" w:leftChars="-20" w:right="-48" w:rightChars="-20"/>
                    <w:jc w:val="center"/>
                    <w:textAlignment w:val="auto"/>
                    <w:rPr>
                      <w:rFonts w:hint="default"/>
                      <w:color w:val="auto"/>
                      <w:spacing w:val="-6"/>
                      <w:sz w:val="21"/>
                      <w:szCs w:val="21"/>
                      <w:lang w:val="en-US" w:eastAsia="zh-CN" w:bidi="ar"/>
                    </w:rPr>
                  </w:pPr>
                  <w:r>
                    <w:rPr>
                      <w:rFonts w:hint="eastAsia"/>
                      <w:color w:val="auto"/>
                      <w:spacing w:val="-6"/>
                      <w:sz w:val="21"/>
                      <w:szCs w:val="21"/>
                      <w:lang w:val="en-US" w:eastAsia="zh-CN" w:bidi="ar"/>
                    </w:rPr>
                    <w:t>反渗透</w:t>
                  </w:r>
                </w:p>
              </w:tc>
              <w:tc>
                <w:tcPr>
                  <w:tcW w:w="539" w:type="pct"/>
                  <w:shd w:val="clear" w:color="auto" w:fill="auto"/>
                  <w:vAlign w:val="center"/>
                </w:tcPr>
                <w:p w14:paraId="7C40273E">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92</w:t>
                  </w:r>
                  <w:r>
                    <w:rPr>
                      <w:rFonts w:hint="eastAsia"/>
                      <w:color w:val="auto"/>
                      <w:sz w:val="21"/>
                      <w:szCs w:val="21"/>
                      <w:lang w:bidi="ar"/>
                    </w:rPr>
                    <w:t>%</w:t>
                  </w:r>
                </w:p>
              </w:tc>
              <w:tc>
                <w:tcPr>
                  <w:tcW w:w="539" w:type="pct"/>
                  <w:shd w:val="clear" w:color="auto" w:fill="auto"/>
                  <w:vAlign w:val="center"/>
                </w:tcPr>
                <w:p w14:paraId="7C70B5CF">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96</w:t>
                  </w:r>
                  <w:r>
                    <w:rPr>
                      <w:rFonts w:hint="eastAsia"/>
                      <w:color w:val="auto"/>
                      <w:sz w:val="21"/>
                      <w:szCs w:val="21"/>
                      <w:lang w:bidi="ar"/>
                    </w:rPr>
                    <w:t>%</w:t>
                  </w:r>
                </w:p>
              </w:tc>
              <w:tc>
                <w:tcPr>
                  <w:tcW w:w="539" w:type="pct"/>
                  <w:shd w:val="clear" w:color="auto" w:fill="auto"/>
                  <w:vAlign w:val="center"/>
                </w:tcPr>
                <w:p w14:paraId="3A493091">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90</w:t>
                  </w:r>
                  <w:r>
                    <w:rPr>
                      <w:rFonts w:hint="eastAsia"/>
                      <w:color w:val="auto"/>
                      <w:sz w:val="21"/>
                      <w:szCs w:val="21"/>
                      <w:lang w:bidi="ar"/>
                    </w:rPr>
                    <w:t>%</w:t>
                  </w:r>
                </w:p>
              </w:tc>
              <w:tc>
                <w:tcPr>
                  <w:tcW w:w="539" w:type="pct"/>
                  <w:shd w:val="clear" w:color="auto" w:fill="auto"/>
                  <w:vAlign w:val="center"/>
                </w:tcPr>
                <w:p w14:paraId="5F2D4488">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97</w:t>
                  </w:r>
                  <w:r>
                    <w:rPr>
                      <w:rFonts w:hint="eastAsia"/>
                      <w:color w:val="auto"/>
                      <w:sz w:val="21"/>
                      <w:szCs w:val="21"/>
                      <w:lang w:bidi="ar"/>
                    </w:rPr>
                    <w:t>%</w:t>
                  </w:r>
                </w:p>
              </w:tc>
              <w:tc>
                <w:tcPr>
                  <w:tcW w:w="539" w:type="pct"/>
                  <w:shd w:val="clear" w:color="auto" w:fill="auto"/>
                  <w:vAlign w:val="center"/>
                </w:tcPr>
                <w:p w14:paraId="70150ADD">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96%</w:t>
                  </w:r>
                </w:p>
              </w:tc>
              <w:tc>
                <w:tcPr>
                  <w:tcW w:w="539" w:type="pct"/>
                  <w:shd w:val="clear" w:color="auto" w:fill="auto"/>
                  <w:vAlign w:val="center"/>
                </w:tcPr>
                <w:p w14:paraId="3B90EDA6">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97%</w:t>
                  </w:r>
                </w:p>
              </w:tc>
              <w:tc>
                <w:tcPr>
                  <w:tcW w:w="539" w:type="pct"/>
                  <w:shd w:val="clear" w:color="auto" w:fill="auto"/>
                  <w:vAlign w:val="center"/>
                </w:tcPr>
                <w:p w14:paraId="2451DDE6">
                  <w:pPr>
                    <w:spacing w:line="320" w:lineRule="exact"/>
                    <w:jc w:val="center"/>
                    <w:rPr>
                      <w:rFonts w:hint="eastAsia" w:ascii="Times New Roman" w:hAnsi="Times New Roman" w:eastAsia="宋体" w:cs="Times New Roman"/>
                      <w:color w:val="auto"/>
                      <w:kern w:val="2"/>
                      <w:sz w:val="21"/>
                      <w:szCs w:val="21"/>
                      <w:lang w:val="en-US" w:eastAsia="zh-CN" w:bidi="ar"/>
                    </w:rPr>
                  </w:pPr>
                  <w:r>
                    <w:rPr>
                      <w:rFonts w:hint="eastAsia"/>
                      <w:color w:val="auto"/>
                      <w:sz w:val="21"/>
                      <w:szCs w:val="21"/>
                      <w:lang w:val="en-US" w:eastAsia="zh-CN" w:bidi="ar"/>
                    </w:rPr>
                    <w:t>97%</w:t>
                  </w:r>
                </w:p>
              </w:tc>
              <w:tc>
                <w:tcPr>
                  <w:tcW w:w="539" w:type="pct"/>
                  <w:vAlign w:val="center"/>
                </w:tcPr>
                <w:p w14:paraId="63EEA1DB">
                  <w:pPr>
                    <w:spacing w:line="320" w:lineRule="exact"/>
                    <w:jc w:val="center"/>
                    <w:rPr>
                      <w:rFonts w:hint="eastAsia"/>
                      <w:color w:val="auto"/>
                      <w:sz w:val="21"/>
                      <w:szCs w:val="21"/>
                      <w:lang w:val="en-US" w:eastAsia="zh-CN" w:bidi="ar"/>
                    </w:rPr>
                  </w:pPr>
                </w:p>
              </w:tc>
            </w:tr>
            <w:tr w14:paraId="666EC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7E4F08A3">
                  <w:pPr>
                    <w:keepNext w:val="0"/>
                    <w:keepLines w:val="0"/>
                    <w:pageBreakBefore w:val="0"/>
                    <w:widowControl w:val="0"/>
                    <w:kinsoku/>
                    <w:wordWrap/>
                    <w:overflowPunct/>
                    <w:topLinePunct w:val="0"/>
                    <w:autoSpaceDE/>
                    <w:autoSpaceDN/>
                    <w:bidi w:val="0"/>
                    <w:adjustRightInd/>
                    <w:snapToGrid/>
                    <w:spacing w:line="320" w:lineRule="exact"/>
                    <w:ind w:left="-48" w:leftChars="-20" w:right="-48" w:rightChars="-20"/>
                    <w:jc w:val="center"/>
                    <w:textAlignment w:val="auto"/>
                    <w:rPr>
                      <w:color w:val="auto"/>
                      <w:spacing w:val="-6"/>
                      <w:sz w:val="21"/>
                      <w:szCs w:val="21"/>
                      <w:lang w:bidi="ar"/>
                    </w:rPr>
                  </w:pPr>
                  <w:r>
                    <w:rPr>
                      <w:rFonts w:hint="eastAsia"/>
                      <w:color w:val="auto"/>
                      <w:spacing w:val="-6"/>
                      <w:sz w:val="21"/>
                      <w:szCs w:val="21"/>
                      <w:lang w:bidi="ar"/>
                    </w:rPr>
                    <w:t>总去除效率</w:t>
                  </w:r>
                </w:p>
              </w:tc>
              <w:tc>
                <w:tcPr>
                  <w:tcW w:w="539" w:type="pct"/>
                  <w:vAlign w:val="center"/>
                </w:tcPr>
                <w:p w14:paraId="06C92509">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97.5%</w:t>
                  </w:r>
                </w:p>
              </w:tc>
              <w:tc>
                <w:tcPr>
                  <w:tcW w:w="539" w:type="pct"/>
                  <w:vAlign w:val="center"/>
                </w:tcPr>
                <w:p w14:paraId="71345DFC">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98.8%</w:t>
                  </w:r>
                </w:p>
              </w:tc>
              <w:tc>
                <w:tcPr>
                  <w:tcW w:w="539" w:type="pct"/>
                  <w:vAlign w:val="center"/>
                </w:tcPr>
                <w:p w14:paraId="1B89A7D2">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99.9%</w:t>
                  </w:r>
                </w:p>
              </w:tc>
              <w:tc>
                <w:tcPr>
                  <w:tcW w:w="539" w:type="pct"/>
                  <w:vAlign w:val="center"/>
                </w:tcPr>
                <w:p w14:paraId="7EB45A15">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99.8%</w:t>
                  </w:r>
                </w:p>
              </w:tc>
              <w:tc>
                <w:tcPr>
                  <w:tcW w:w="539" w:type="pct"/>
                  <w:vAlign w:val="center"/>
                </w:tcPr>
                <w:p w14:paraId="4A4A1D6A">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98.0%</w:t>
                  </w:r>
                </w:p>
              </w:tc>
              <w:tc>
                <w:tcPr>
                  <w:tcW w:w="539" w:type="pct"/>
                  <w:vAlign w:val="center"/>
                </w:tcPr>
                <w:p w14:paraId="05B879DE">
                  <w:pPr>
                    <w:spacing w:line="320" w:lineRule="exact"/>
                    <w:jc w:val="center"/>
                    <w:rPr>
                      <w:rFonts w:hint="eastAsia"/>
                      <w:color w:val="auto"/>
                      <w:sz w:val="21"/>
                      <w:szCs w:val="21"/>
                      <w:lang w:bidi="ar"/>
                    </w:rPr>
                  </w:pPr>
                  <w:r>
                    <w:rPr>
                      <w:rFonts w:hint="eastAsia"/>
                      <w:color w:val="auto"/>
                      <w:sz w:val="21"/>
                      <w:szCs w:val="21"/>
                      <w:lang w:val="en-US" w:eastAsia="zh-CN" w:bidi="ar"/>
                    </w:rPr>
                    <w:t>98.7%</w:t>
                  </w:r>
                </w:p>
              </w:tc>
              <w:tc>
                <w:tcPr>
                  <w:tcW w:w="539" w:type="pct"/>
                  <w:vAlign w:val="center"/>
                </w:tcPr>
                <w:p w14:paraId="0BD66069">
                  <w:pPr>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99.5%</w:t>
                  </w:r>
                </w:p>
              </w:tc>
              <w:tc>
                <w:tcPr>
                  <w:tcW w:w="539" w:type="pct"/>
                  <w:vAlign w:val="center"/>
                </w:tcPr>
                <w:p w14:paraId="108B7950">
                  <w:pPr>
                    <w:spacing w:line="320" w:lineRule="exact"/>
                    <w:jc w:val="center"/>
                    <w:rPr>
                      <w:rFonts w:hint="eastAsia" w:eastAsia="宋体"/>
                      <w:color w:val="auto"/>
                      <w:sz w:val="21"/>
                      <w:szCs w:val="21"/>
                      <w:lang w:val="en-US" w:eastAsia="zh-CN" w:bidi="ar"/>
                    </w:rPr>
                  </w:pPr>
                  <w:r>
                    <w:rPr>
                      <w:rFonts w:hint="eastAsia"/>
                      <w:color w:val="auto"/>
                      <w:sz w:val="21"/>
                      <w:szCs w:val="21"/>
                      <w:lang w:val="en-US" w:eastAsia="zh-CN" w:bidi="ar"/>
                    </w:rPr>
                    <w:t>/</w:t>
                  </w:r>
                </w:p>
              </w:tc>
            </w:tr>
            <w:tr w14:paraId="4DEA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3810006D">
                  <w:pPr>
                    <w:keepNext w:val="0"/>
                    <w:keepLines w:val="0"/>
                    <w:pageBreakBefore w:val="0"/>
                    <w:widowControl w:val="0"/>
                    <w:kinsoku/>
                    <w:wordWrap/>
                    <w:overflowPunct/>
                    <w:topLinePunct w:val="0"/>
                    <w:autoSpaceDE/>
                    <w:autoSpaceDN/>
                    <w:bidi w:val="0"/>
                    <w:adjustRightInd/>
                    <w:snapToGrid/>
                    <w:spacing w:line="320" w:lineRule="exact"/>
                    <w:ind w:left="-48" w:leftChars="-20" w:right="-48" w:rightChars="-20"/>
                    <w:jc w:val="center"/>
                    <w:textAlignment w:val="auto"/>
                    <w:rPr>
                      <w:color w:val="auto"/>
                      <w:spacing w:val="-6"/>
                      <w:sz w:val="21"/>
                      <w:szCs w:val="21"/>
                      <w:lang w:bidi="ar"/>
                    </w:rPr>
                  </w:pPr>
                  <w:r>
                    <w:rPr>
                      <w:rFonts w:hint="eastAsia"/>
                      <w:color w:val="auto"/>
                      <w:spacing w:val="-6"/>
                      <w:sz w:val="21"/>
                      <w:szCs w:val="21"/>
                      <w:lang w:bidi="ar"/>
                    </w:rPr>
                    <w:t>排放浓度</w:t>
                  </w:r>
                </w:p>
              </w:tc>
              <w:tc>
                <w:tcPr>
                  <w:tcW w:w="539" w:type="pct"/>
                  <w:vAlign w:val="center"/>
                </w:tcPr>
                <w:p w14:paraId="798F1A4B">
                  <w:pPr>
                    <w:keepNext w:val="0"/>
                    <w:keepLines w:val="0"/>
                    <w:widowControl/>
                    <w:suppressLineNumbers w:val="0"/>
                    <w:jc w:val="center"/>
                    <w:textAlignment w:val="center"/>
                    <w:rPr>
                      <w:rFonts w:hint="default" w:eastAsia="宋体"/>
                      <w:color w:val="auto"/>
                      <w:sz w:val="21"/>
                      <w:szCs w:val="21"/>
                      <w:lang w:val="en-US" w:eastAsia="zh-CN" w:bidi="ar"/>
                    </w:rPr>
                  </w:pPr>
                  <w:r>
                    <w:rPr>
                      <w:rFonts w:hint="eastAsia"/>
                      <w:color w:val="auto"/>
                      <w:sz w:val="21"/>
                      <w:szCs w:val="21"/>
                      <w:lang w:val="en-US" w:eastAsia="zh-CN" w:bidi="ar"/>
                    </w:rPr>
                    <w:t>37.5</w:t>
                  </w:r>
                </w:p>
              </w:tc>
              <w:tc>
                <w:tcPr>
                  <w:tcW w:w="539" w:type="pct"/>
                  <w:vAlign w:val="center"/>
                </w:tcPr>
                <w:p w14:paraId="56FE55D7">
                  <w:pPr>
                    <w:keepNext w:val="0"/>
                    <w:keepLines w:val="0"/>
                    <w:widowControl/>
                    <w:suppressLineNumbers w:val="0"/>
                    <w:jc w:val="center"/>
                    <w:textAlignment w:val="center"/>
                    <w:rPr>
                      <w:rFonts w:hint="eastAsia" w:eastAsia="宋体"/>
                      <w:color w:val="auto"/>
                      <w:sz w:val="21"/>
                      <w:szCs w:val="21"/>
                      <w:lang w:val="en-US" w:eastAsia="zh-CN" w:bidi="ar"/>
                    </w:rPr>
                  </w:pPr>
                  <w:r>
                    <w:rPr>
                      <w:rFonts w:hint="eastAsia"/>
                      <w:color w:val="auto"/>
                      <w:sz w:val="21"/>
                      <w:szCs w:val="21"/>
                      <w:lang w:val="en-US" w:eastAsia="zh-CN" w:bidi="ar"/>
                    </w:rPr>
                    <w:t>6</w:t>
                  </w:r>
                </w:p>
              </w:tc>
              <w:tc>
                <w:tcPr>
                  <w:tcW w:w="539" w:type="pct"/>
                  <w:vAlign w:val="center"/>
                </w:tcPr>
                <w:p w14:paraId="128146F9">
                  <w:pPr>
                    <w:keepNext w:val="0"/>
                    <w:keepLines w:val="0"/>
                    <w:widowControl/>
                    <w:suppressLineNumbers w:val="0"/>
                    <w:jc w:val="center"/>
                    <w:textAlignment w:val="center"/>
                    <w:rPr>
                      <w:rFonts w:hint="default" w:eastAsia="宋体"/>
                      <w:color w:val="auto"/>
                      <w:sz w:val="21"/>
                      <w:szCs w:val="21"/>
                      <w:lang w:val="en-US" w:eastAsia="zh-CN" w:bidi="ar"/>
                    </w:rPr>
                  </w:pPr>
                  <w:r>
                    <w:rPr>
                      <w:rFonts w:hint="eastAsia"/>
                      <w:color w:val="auto"/>
                      <w:sz w:val="21"/>
                      <w:szCs w:val="21"/>
                      <w:lang w:val="en-US" w:eastAsia="zh-CN" w:bidi="ar"/>
                    </w:rPr>
                    <w:t>0.65</w:t>
                  </w:r>
                </w:p>
              </w:tc>
              <w:tc>
                <w:tcPr>
                  <w:tcW w:w="539" w:type="pct"/>
                  <w:vAlign w:val="center"/>
                </w:tcPr>
                <w:p w14:paraId="0052A67B">
                  <w:pPr>
                    <w:keepNext w:val="0"/>
                    <w:keepLines w:val="0"/>
                    <w:widowControl/>
                    <w:suppressLineNumbers w:val="0"/>
                    <w:jc w:val="center"/>
                    <w:textAlignment w:val="center"/>
                    <w:rPr>
                      <w:rFonts w:hint="default" w:eastAsia="宋体"/>
                      <w:color w:val="auto"/>
                      <w:sz w:val="21"/>
                      <w:szCs w:val="21"/>
                      <w:lang w:val="en-US" w:eastAsia="zh-CN" w:bidi="ar"/>
                    </w:rPr>
                  </w:pPr>
                  <w:r>
                    <w:rPr>
                      <w:rFonts w:hint="eastAsia"/>
                      <w:color w:val="auto"/>
                      <w:sz w:val="21"/>
                      <w:szCs w:val="21"/>
                      <w:lang w:val="en-US" w:eastAsia="zh-CN" w:bidi="ar"/>
                    </w:rPr>
                    <w:t>1.1</w:t>
                  </w:r>
                </w:p>
              </w:tc>
              <w:tc>
                <w:tcPr>
                  <w:tcW w:w="539" w:type="pct"/>
                  <w:vAlign w:val="center"/>
                </w:tcPr>
                <w:p w14:paraId="5EAA8E1D">
                  <w:pPr>
                    <w:keepNext w:val="0"/>
                    <w:keepLines w:val="0"/>
                    <w:widowControl/>
                    <w:suppressLineNumbers w:val="0"/>
                    <w:jc w:val="center"/>
                    <w:textAlignment w:val="center"/>
                    <w:rPr>
                      <w:rFonts w:hint="default" w:eastAsia="宋体"/>
                      <w:color w:val="auto"/>
                      <w:sz w:val="21"/>
                      <w:szCs w:val="21"/>
                      <w:lang w:val="en-US" w:eastAsia="zh-CN" w:bidi="ar"/>
                    </w:rPr>
                  </w:pPr>
                  <w:r>
                    <w:rPr>
                      <w:rFonts w:hint="eastAsia"/>
                      <w:color w:val="auto"/>
                      <w:sz w:val="21"/>
                      <w:szCs w:val="21"/>
                      <w:lang w:val="en-US" w:eastAsia="zh-CN" w:bidi="ar"/>
                    </w:rPr>
                    <w:t>0.06</w:t>
                  </w:r>
                </w:p>
              </w:tc>
              <w:tc>
                <w:tcPr>
                  <w:tcW w:w="539" w:type="pct"/>
                  <w:vAlign w:val="center"/>
                </w:tcPr>
                <w:p w14:paraId="3859D1D1">
                  <w:pPr>
                    <w:keepNext w:val="0"/>
                    <w:keepLines w:val="0"/>
                    <w:widowControl/>
                    <w:suppressLineNumbers w:val="0"/>
                    <w:jc w:val="center"/>
                    <w:textAlignment w:val="center"/>
                    <w:rPr>
                      <w:rFonts w:hint="default" w:eastAsia="宋体"/>
                      <w:color w:val="auto"/>
                      <w:sz w:val="21"/>
                      <w:szCs w:val="21"/>
                      <w:lang w:val="en-US" w:eastAsia="zh-CN" w:bidi="ar"/>
                    </w:rPr>
                  </w:pPr>
                  <w:r>
                    <w:rPr>
                      <w:rFonts w:hint="eastAsia"/>
                      <w:color w:val="auto"/>
                      <w:sz w:val="21"/>
                      <w:szCs w:val="21"/>
                      <w:lang w:val="en-US" w:eastAsia="zh-CN" w:bidi="ar"/>
                    </w:rPr>
                    <w:t>0.004</w:t>
                  </w:r>
                </w:p>
              </w:tc>
              <w:tc>
                <w:tcPr>
                  <w:tcW w:w="539" w:type="pct"/>
                  <w:vAlign w:val="center"/>
                </w:tcPr>
                <w:p w14:paraId="4E98C00D">
                  <w:pPr>
                    <w:keepNext w:val="0"/>
                    <w:keepLines w:val="0"/>
                    <w:widowControl/>
                    <w:suppressLineNumbers w:val="0"/>
                    <w:jc w:val="center"/>
                    <w:textAlignment w:val="center"/>
                    <w:rPr>
                      <w:rFonts w:hint="default" w:eastAsia="宋体"/>
                      <w:color w:val="auto"/>
                      <w:sz w:val="21"/>
                      <w:szCs w:val="21"/>
                      <w:lang w:val="en-US" w:eastAsia="zh-CN" w:bidi="ar"/>
                    </w:rPr>
                  </w:pPr>
                  <w:r>
                    <w:rPr>
                      <w:rFonts w:hint="eastAsia"/>
                      <w:color w:val="auto"/>
                      <w:sz w:val="21"/>
                      <w:szCs w:val="21"/>
                      <w:lang w:val="en-US" w:eastAsia="zh-CN" w:bidi="ar"/>
                    </w:rPr>
                    <w:t>0.4</w:t>
                  </w:r>
                </w:p>
              </w:tc>
              <w:tc>
                <w:tcPr>
                  <w:tcW w:w="539" w:type="pct"/>
                  <w:vAlign w:val="center"/>
                </w:tcPr>
                <w:p w14:paraId="4E3CF183">
                  <w:pPr>
                    <w:spacing w:line="320" w:lineRule="exact"/>
                    <w:jc w:val="center"/>
                    <w:rPr>
                      <w:rFonts w:hint="default" w:eastAsia="宋体"/>
                      <w:color w:val="auto"/>
                      <w:sz w:val="21"/>
                      <w:szCs w:val="21"/>
                      <w:lang w:val="en-US" w:eastAsia="zh-CN" w:bidi="ar"/>
                    </w:rPr>
                  </w:pPr>
                  <w:r>
                    <w:rPr>
                      <w:rFonts w:hint="eastAsia"/>
                      <w:color w:val="auto"/>
                      <w:sz w:val="21"/>
                      <w:szCs w:val="21"/>
                      <w:lang w:bidi="ar"/>
                    </w:rPr>
                    <w:t>7</w:t>
                  </w:r>
                  <w:r>
                    <w:rPr>
                      <w:color w:val="auto"/>
                      <w:sz w:val="21"/>
                      <w:szCs w:val="21"/>
                    </w:rPr>
                    <w:t>～</w:t>
                  </w:r>
                  <w:r>
                    <w:rPr>
                      <w:rFonts w:hint="eastAsia"/>
                      <w:color w:val="auto"/>
                      <w:sz w:val="21"/>
                      <w:szCs w:val="21"/>
                      <w:lang w:val="en-US" w:eastAsia="zh-CN"/>
                    </w:rPr>
                    <w:t>8</w:t>
                  </w:r>
                </w:p>
              </w:tc>
            </w:tr>
            <w:tr w14:paraId="15DB8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3253009C">
                  <w:pPr>
                    <w:keepNext w:val="0"/>
                    <w:keepLines w:val="0"/>
                    <w:pageBreakBefore w:val="0"/>
                    <w:widowControl w:val="0"/>
                    <w:kinsoku/>
                    <w:wordWrap/>
                    <w:overflowPunct/>
                    <w:topLinePunct w:val="0"/>
                    <w:autoSpaceDE/>
                    <w:autoSpaceDN/>
                    <w:bidi w:val="0"/>
                    <w:adjustRightInd/>
                    <w:snapToGrid/>
                    <w:spacing w:line="320" w:lineRule="exact"/>
                    <w:ind w:left="-48" w:leftChars="-20" w:right="-48" w:rightChars="-20"/>
                    <w:jc w:val="center"/>
                    <w:textAlignment w:val="auto"/>
                    <w:rPr>
                      <w:color w:val="auto"/>
                      <w:spacing w:val="-6"/>
                      <w:sz w:val="21"/>
                      <w:szCs w:val="21"/>
                      <w:lang w:bidi="ar"/>
                    </w:rPr>
                  </w:pPr>
                  <w:r>
                    <w:rPr>
                      <w:rFonts w:hint="eastAsia"/>
                      <w:color w:val="auto"/>
                      <w:spacing w:val="-6"/>
                      <w:sz w:val="21"/>
                      <w:szCs w:val="21"/>
                      <w:lang w:bidi="ar"/>
                    </w:rPr>
                    <w:t>执行标准</w:t>
                  </w:r>
                </w:p>
              </w:tc>
              <w:tc>
                <w:tcPr>
                  <w:tcW w:w="539" w:type="pct"/>
                  <w:vAlign w:val="center"/>
                </w:tcPr>
                <w:p w14:paraId="1BF6F803">
                  <w:pPr>
                    <w:spacing w:line="320" w:lineRule="exact"/>
                    <w:jc w:val="center"/>
                    <w:rPr>
                      <w:rFonts w:hint="default" w:eastAsia="宋体"/>
                      <w:color w:val="FF0000"/>
                      <w:sz w:val="21"/>
                      <w:szCs w:val="21"/>
                      <w:lang w:val="en-US" w:eastAsia="zh-CN" w:bidi="ar"/>
                    </w:rPr>
                  </w:pPr>
                  <w:r>
                    <w:rPr>
                      <w:rFonts w:hint="eastAsia"/>
                      <w:color w:val="FF0000"/>
                      <w:sz w:val="21"/>
                      <w:szCs w:val="21"/>
                      <w:lang w:val="en-US" w:eastAsia="zh-CN" w:bidi="ar"/>
                    </w:rPr>
                    <w:t>100</w:t>
                  </w:r>
                </w:p>
              </w:tc>
              <w:tc>
                <w:tcPr>
                  <w:tcW w:w="539" w:type="pct"/>
                  <w:vAlign w:val="center"/>
                </w:tcPr>
                <w:p w14:paraId="19E12719">
                  <w:pPr>
                    <w:spacing w:line="320" w:lineRule="exact"/>
                    <w:jc w:val="center"/>
                    <w:rPr>
                      <w:rFonts w:hint="default" w:eastAsia="宋体"/>
                      <w:color w:val="FF0000"/>
                      <w:sz w:val="21"/>
                      <w:szCs w:val="21"/>
                      <w:lang w:val="en-US" w:eastAsia="zh-CN" w:bidi="ar"/>
                    </w:rPr>
                  </w:pPr>
                  <w:r>
                    <w:rPr>
                      <w:rFonts w:hint="eastAsia"/>
                      <w:color w:val="FF0000"/>
                      <w:sz w:val="21"/>
                      <w:szCs w:val="21"/>
                      <w:lang w:val="en-US" w:eastAsia="zh-CN" w:bidi="ar"/>
                    </w:rPr>
                    <w:t>10</w:t>
                  </w:r>
                </w:p>
              </w:tc>
              <w:tc>
                <w:tcPr>
                  <w:tcW w:w="539" w:type="pct"/>
                  <w:vAlign w:val="center"/>
                </w:tcPr>
                <w:p w14:paraId="58903C37">
                  <w:pPr>
                    <w:spacing w:line="320" w:lineRule="exact"/>
                    <w:jc w:val="center"/>
                    <w:rPr>
                      <w:rFonts w:hint="default" w:eastAsia="宋体"/>
                      <w:color w:val="FF0000"/>
                      <w:sz w:val="21"/>
                      <w:szCs w:val="21"/>
                      <w:lang w:val="en-US" w:eastAsia="zh-CN" w:bidi="ar"/>
                    </w:rPr>
                  </w:pPr>
                  <w:r>
                    <w:rPr>
                      <w:rFonts w:hint="eastAsia"/>
                      <w:color w:val="FF0000"/>
                      <w:sz w:val="21"/>
                      <w:szCs w:val="21"/>
                      <w:lang w:val="en-US" w:eastAsia="zh-CN" w:bidi="ar"/>
                    </w:rPr>
                    <w:t>70</w:t>
                  </w:r>
                </w:p>
              </w:tc>
              <w:tc>
                <w:tcPr>
                  <w:tcW w:w="539" w:type="pct"/>
                  <w:vAlign w:val="center"/>
                </w:tcPr>
                <w:p w14:paraId="7C41772F">
                  <w:pPr>
                    <w:spacing w:line="320" w:lineRule="exact"/>
                    <w:jc w:val="center"/>
                    <w:rPr>
                      <w:rFonts w:hint="default" w:eastAsia="宋体"/>
                      <w:color w:val="FF0000"/>
                      <w:sz w:val="21"/>
                      <w:szCs w:val="21"/>
                      <w:lang w:val="en-US" w:eastAsia="zh-CN" w:bidi="ar"/>
                    </w:rPr>
                  </w:pPr>
                  <w:r>
                    <w:rPr>
                      <w:rFonts w:hint="eastAsia"/>
                      <w:color w:val="FF0000"/>
                      <w:sz w:val="21"/>
                      <w:szCs w:val="21"/>
                      <w:lang w:val="en-US" w:eastAsia="zh-CN" w:bidi="ar"/>
                    </w:rPr>
                    <w:t>5</w:t>
                  </w:r>
                </w:p>
              </w:tc>
              <w:tc>
                <w:tcPr>
                  <w:tcW w:w="539" w:type="pct"/>
                  <w:vAlign w:val="center"/>
                </w:tcPr>
                <w:p w14:paraId="158EED24">
                  <w:pPr>
                    <w:spacing w:line="320" w:lineRule="exact"/>
                    <w:jc w:val="center"/>
                    <w:rPr>
                      <w:rFonts w:hint="default" w:eastAsia="宋体"/>
                      <w:color w:val="FF0000"/>
                      <w:sz w:val="21"/>
                      <w:szCs w:val="21"/>
                      <w:lang w:val="en-US" w:eastAsia="zh-CN" w:bidi="ar"/>
                    </w:rPr>
                  </w:pPr>
                  <w:r>
                    <w:rPr>
                      <w:rFonts w:hint="eastAsia"/>
                      <w:color w:val="FF0000"/>
                      <w:sz w:val="21"/>
                      <w:szCs w:val="21"/>
                      <w:lang w:val="en-US" w:eastAsia="zh-CN" w:bidi="ar"/>
                    </w:rPr>
                    <w:t>2.0</w:t>
                  </w:r>
                </w:p>
              </w:tc>
              <w:tc>
                <w:tcPr>
                  <w:tcW w:w="539" w:type="pct"/>
                  <w:vAlign w:val="center"/>
                </w:tcPr>
                <w:p w14:paraId="472A8A33">
                  <w:pPr>
                    <w:spacing w:line="320" w:lineRule="exact"/>
                    <w:jc w:val="center"/>
                    <w:rPr>
                      <w:rFonts w:hint="default" w:eastAsia="宋体"/>
                      <w:color w:val="FF0000"/>
                      <w:sz w:val="21"/>
                      <w:szCs w:val="21"/>
                      <w:lang w:val="en-US" w:eastAsia="zh-CN"/>
                    </w:rPr>
                  </w:pPr>
                  <w:r>
                    <w:rPr>
                      <w:rFonts w:hint="eastAsia"/>
                      <w:color w:val="FF0000"/>
                      <w:sz w:val="21"/>
                      <w:szCs w:val="21"/>
                      <w:lang w:val="en-US" w:eastAsia="zh-CN"/>
                    </w:rPr>
                    <w:t>1.0</w:t>
                  </w:r>
                </w:p>
              </w:tc>
              <w:tc>
                <w:tcPr>
                  <w:tcW w:w="539" w:type="pct"/>
                  <w:vAlign w:val="center"/>
                </w:tcPr>
                <w:p w14:paraId="3E2A8FF3">
                  <w:pPr>
                    <w:spacing w:line="320" w:lineRule="exact"/>
                    <w:jc w:val="center"/>
                    <w:rPr>
                      <w:rFonts w:hint="default" w:eastAsia="宋体"/>
                      <w:color w:val="FF0000"/>
                      <w:sz w:val="21"/>
                      <w:szCs w:val="21"/>
                      <w:lang w:val="en-US" w:eastAsia="zh-CN"/>
                    </w:rPr>
                  </w:pPr>
                  <w:r>
                    <w:rPr>
                      <w:rFonts w:hint="eastAsia"/>
                      <w:color w:val="FF0000"/>
                      <w:sz w:val="21"/>
                      <w:szCs w:val="21"/>
                      <w:lang w:val="en-US" w:eastAsia="zh-CN"/>
                    </w:rPr>
                    <w:t>0.5</w:t>
                  </w:r>
                </w:p>
              </w:tc>
              <w:tc>
                <w:tcPr>
                  <w:tcW w:w="539" w:type="pct"/>
                  <w:vAlign w:val="center"/>
                </w:tcPr>
                <w:p w14:paraId="52E9ECEA">
                  <w:pPr>
                    <w:spacing w:line="320" w:lineRule="exact"/>
                    <w:jc w:val="center"/>
                    <w:rPr>
                      <w:color w:val="FF0000"/>
                      <w:sz w:val="21"/>
                      <w:szCs w:val="21"/>
                    </w:rPr>
                  </w:pPr>
                  <w:r>
                    <w:rPr>
                      <w:color w:val="FF0000"/>
                      <w:sz w:val="21"/>
                      <w:szCs w:val="21"/>
                    </w:rPr>
                    <w:t>6～9</w:t>
                  </w:r>
                </w:p>
              </w:tc>
            </w:tr>
            <w:tr w14:paraId="23E7B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7" w:type="pct"/>
                  <w:vAlign w:val="center"/>
                </w:tcPr>
                <w:p w14:paraId="32C6267B">
                  <w:pPr>
                    <w:keepNext w:val="0"/>
                    <w:keepLines w:val="0"/>
                    <w:pageBreakBefore w:val="0"/>
                    <w:widowControl w:val="0"/>
                    <w:kinsoku/>
                    <w:wordWrap/>
                    <w:overflowPunct/>
                    <w:topLinePunct w:val="0"/>
                    <w:autoSpaceDE/>
                    <w:autoSpaceDN/>
                    <w:bidi w:val="0"/>
                    <w:adjustRightInd/>
                    <w:snapToGrid/>
                    <w:spacing w:line="320" w:lineRule="exact"/>
                    <w:ind w:left="-48" w:leftChars="-20" w:right="-48" w:rightChars="-20"/>
                    <w:jc w:val="center"/>
                    <w:textAlignment w:val="auto"/>
                    <w:rPr>
                      <w:color w:val="auto"/>
                      <w:spacing w:val="-6"/>
                      <w:sz w:val="21"/>
                      <w:szCs w:val="21"/>
                      <w:lang w:bidi="ar"/>
                    </w:rPr>
                  </w:pPr>
                  <w:r>
                    <w:rPr>
                      <w:rFonts w:hint="eastAsia"/>
                      <w:color w:val="auto"/>
                      <w:spacing w:val="-6"/>
                      <w:sz w:val="21"/>
                      <w:szCs w:val="21"/>
                      <w:lang w:bidi="ar"/>
                    </w:rPr>
                    <w:t>达标情况</w:t>
                  </w:r>
                </w:p>
              </w:tc>
              <w:tc>
                <w:tcPr>
                  <w:tcW w:w="539" w:type="pct"/>
                  <w:vAlign w:val="center"/>
                </w:tcPr>
                <w:p w14:paraId="7EF71037">
                  <w:pPr>
                    <w:spacing w:line="320" w:lineRule="exact"/>
                    <w:jc w:val="center"/>
                    <w:rPr>
                      <w:color w:val="auto"/>
                      <w:sz w:val="21"/>
                      <w:szCs w:val="21"/>
                      <w:lang w:bidi="ar"/>
                    </w:rPr>
                  </w:pPr>
                  <w:r>
                    <w:rPr>
                      <w:rFonts w:hint="eastAsia"/>
                      <w:color w:val="auto"/>
                      <w:sz w:val="21"/>
                      <w:szCs w:val="21"/>
                      <w:lang w:bidi="ar"/>
                    </w:rPr>
                    <w:t>达标</w:t>
                  </w:r>
                </w:p>
              </w:tc>
              <w:tc>
                <w:tcPr>
                  <w:tcW w:w="539" w:type="pct"/>
                  <w:vAlign w:val="center"/>
                </w:tcPr>
                <w:p w14:paraId="55BC4AA3">
                  <w:pPr>
                    <w:spacing w:line="320" w:lineRule="exact"/>
                    <w:jc w:val="center"/>
                    <w:rPr>
                      <w:color w:val="auto"/>
                      <w:sz w:val="21"/>
                      <w:szCs w:val="21"/>
                      <w:lang w:bidi="ar"/>
                    </w:rPr>
                  </w:pPr>
                  <w:r>
                    <w:rPr>
                      <w:rFonts w:hint="eastAsia"/>
                      <w:color w:val="auto"/>
                      <w:sz w:val="21"/>
                      <w:szCs w:val="21"/>
                      <w:lang w:bidi="ar"/>
                    </w:rPr>
                    <w:t>达标</w:t>
                  </w:r>
                </w:p>
              </w:tc>
              <w:tc>
                <w:tcPr>
                  <w:tcW w:w="539" w:type="pct"/>
                  <w:vAlign w:val="center"/>
                </w:tcPr>
                <w:p w14:paraId="439674CF">
                  <w:pPr>
                    <w:spacing w:line="320" w:lineRule="exact"/>
                    <w:jc w:val="center"/>
                    <w:rPr>
                      <w:color w:val="auto"/>
                      <w:sz w:val="21"/>
                      <w:szCs w:val="21"/>
                      <w:lang w:bidi="ar"/>
                    </w:rPr>
                  </w:pPr>
                  <w:r>
                    <w:rPr>
                      <w:rFonts w:hint="eastAsia"/>
                      <w:color w:val="auto"/>
                      <w:sz w:val="21"/>
                      <w:szCs w:val="21"/>
                      <w:lang w:bidi="ar"/>
                    </w:rPr>
                    <w:t>达标</w:t>
                  </w:r>
                </w:p>
              </w:tc>
              <w:tc>
                <w:tcPr>
                  <w:tcW w:w="539" w:type="pct"/>
                  <w:vAlign w:val="center"/>
                </w:tcPr>
                <w:p w14:paraId="079D9CC6">
                  <w:pPr>
                    <w:spacing w:line="320" w:lineRule="exact"/>
                    <w:jc w:val="center"/>
                    <w:rPr>
                      <w:color w:val="auto"/>
                      <w:sz w:val="21"/>
                      <w:szCs w:val="21"/>
                      <w:lang w:bidi="ar"/>
                    </w:rPr>
                  </w:pPr>
                  <w:r>
                    <w:rPr>
                      <w:rFonts w:hint="eastAsia"/>
                      <w:color w:val="auto"/>
                      <w:sz w:val="21"/>
                      <w:szCs w:val="21"/>
                      <w:lang w:bidi="ar"/>
                    </w:rPr>
                    <w:t>达标</w:t>
                  </w:r>
                </w:p>
              </w:tc>
              <w:tc>
                <w:tcPr>
                  <w:tcW w:w="539" w:type="pct"/>
                  <w:vAlign w:val="center"/>
                </w:tcPr>
                <w:p w14:paraId="6D30454B">
                  <w:pPr>
                    <w:spacing w:line="320" w:lineRule="exact"/>
                    <w:jc w:val="center"/>
                    <w:rPr>
                      <w:color w:val="auto"/>
                      <w:sz w:val="21"/>
                      <w:szCs w:val="21"/>
                      <w:lang w:bidi="ar"/>
                    </w:rPr>
                  </w:pPr>
                  <w:r>
                    <w:rPr>
                      <w:rFonts w:hint="eastAsia"/>
                      <w:color w:val="auto"/>
                      <w:sz w:val="21"/>
                      <w:szCs w:val="21"/>
                      <w:lang w:bidi="ar"/>
                    </w:rPr>
                    <w:t>达标</w:t>
                  </w:r>
                </w:p>
              </w:tc>
              <w:tc>
                <w:tcPr>
                  <w:tcW w:w="539" w:type="pct"/>
                  <w:vAlign w:val="center"/>
                </w:tcPr>
                <w:p w14:paraId="209649E9">
                  <w:pPr>
                    <w:spacing w:line="320" w:lineRule="exact"/>
                    <w:jc w:val="center"/>
                    <w:rPr>
                      <w:rFonts w:hint="eastAsia"/>
                      <w:color w:val="auto"/>
                      <w:sz w:val="21"/>
                      <w:szCs w:val="21"/>
                      <w:lang w:bidi="ar"/>
                    </w:rPr>
                  </w:pPr>
                  <w:r>
                    <w:rPr>
                      <w:rFonts w:hint="eastAsia"/>
                      <w:color w:val="auto"/>
                      <w:sz w:val="21"/>
                      <w:szCs w:val="21"/>
                      <w:lang w:bidi="ar"/>
                    </w:rPr>
                    <w:t>达标</w:t>
                  </w:r>
                </w:p>
              </w:tc>
              <w:tc>
                <w:tcPr>
                  <w:tcW w:w="539" w:type="pct"/>
                  <w:vAlign w:val="center"/>
                </w:tcPr>
                <w:p w14:paraId="7D44FCF8">
                  <w:pPr>
                    <w:spacing w:line="320" w:lineRule="exact"/>
                    <w:jc w:val="center"/>
                    <w:rPr>
                      <w:rFonts w:hint="eastAsia"/>
                      <w:color w:val="auto"/>
                      <w:sz w:val="21"/>
                      <w:szCs w:val="21"/>
                      <w:lang w:bidi="ar"/>
                    </w:rPr>
                  </w:pPr>
                  <w:r>
                    <w:rPr>
                      <w:rFonts w:hint="eastAsia"/>
                      <w:color w:val="auto"/>
                      <w:sz w:val="21"/>
                      <w:szCs w:val="21"/>
                      <w:lang w:bidi="ar"/>
                    </w:rPr>
                    <w:t>达标</w:t>
                  </w:r>
                </w:p>
              </w:tc>
              <w:tc>
                <w:tcPr>
                  <w:tcW w:w="539" w:type="pct"/>
                  <w:vAlign w:val="center"/>
                </w:tcPr>
                <w:p w14:paraId="71DCB934">
                  <w:pPr>
                    <w:spacing w:line="320" w:lineRule="exact"/>
                    <w:jc w:val="center"/>
                    <w:rPr>
                      <w:rFonts w:hint="eastAsia"/>
                      <w:color w:val="auto"/>
                      <w:sz w:val="21"/>
                      <w:szCs w:val="21"/>
                      <w:lang w:bidi="ar"/>
                    </w:rPr>
                  </w:pPr>
                  <w:r>
                    <w:rPr>
                      <w:rFonts w:hint="eastAsia"/>
                      <w:color w:val="auto"/>
                      <w:sz w:val="21"/>
                      <w:szCs w:val="21"/>
                      <w:lang w:bidi="ar"/>
                    </w:rPr>
                    <w:t>达标</w:t>
                  </w:r>
                </w:p>
              </w:tc>
            </w:tr>
          </w:tbl>
          <w:p w14:paraId="4E28F72C">
            <w:pPr>
              <w:spacing w:line="520" w:lineRule="exact"/>
              <w:ind w:firstLine="480" w:firstLineChars="200"/>
              <w:rPr>
                <w:color w:val="FF0000"/>
                <w:lang w:bidi="ar"/>
              </w:rPr>
            </w:pPr>
            <w:r>
              <w:rPr>
                <w:rFonts w:hint="eastAsia"/>
                <w:color w:val="FF0000"/>
              </w:rPr>
              <w:t>由上表可知，维修车间清洗废水经处理后排放浓度可满足</w:t>
            </w:r>
            <w:r>
              <w:rPr>
                <w:rFonts w:hint="default" w:ascii="Times New Roman" w:hAnsi="Times New Roman" w:eastAsia="宋体" w:cs="Times New Roman"/>
                <w:b w:val="0"/>
                <w:bCs/>
                <w:color w:val="FF0000"/>
                <w:highlight w:val="none"/>
              </w:rPr>
              <w:t>《城市污水再生利用城市杂用水水质》</w:t>
            </w:r>
            <w:r>
              <w:rPr>
                <w:rFonts w:hint="eastAsia" w:ascii="Times New Roman" w:hAnsi="Times New Roman" w:eastAsia="宋体" w:cs="Times New Roman"/>
                <w:b w:val="0"/>
                <w:bCs/>
                <w:color w:val="FF0000"/>
                <w:highlight w:val="none"/>
                <w:lang w:eastAsia="zh-CN"/>
              </w:rPr>
              <w:t>（</w:t>
            </w:r>
            <w:r>
              <w:rPr>
                <w:rFonts w:hint="default" w:ascii="Times New Roman" w:hAnsi="Times New Roman" w:eastAsia="宋体" w:cs="Times New Roman"/>
                <w:b w:val="0"/>
                <w:bCs/>
                <w:color w:val="FF0000"/>
                <w:highlight w:val="none"/>
              </w:rPr>
              <w:t>GB/T18920­2020</w:t>
            </w:r>
            <w:r>
              <w:rPr>
                <w:rFonts w:hint="eastAsia" w:ascii="Times New Roman" w:hAnsi="Times New Roman" w:eastAsia="宋体" w:cs="Times New Roman"/>
                <w:b w:val="0"/>
                <w:bCs/>
                <w:color w:val="FF0000"/>
                <w:highlight w:val="none"/>
                <w:lang w:eastAsia="zh-CN"/>
              </w:rPr>
              <w:t>）</w:t>
            </w:r>
            <w:r>
              <w:rPr>
                <w:rFonts w:hint="eastAsia" w:cs="Times New Roman"/>
                <w:color w:val="FF0000"/>
                <w:lang w:val="en-US" w:eastAsia="zh-CN"/>
              </w:rPr>
              <w:t>中表1城市绿化、道路清扫</w:t>
            </w:r>
            <w:r>
              <w:rPr>
                <w:rFonts w:hint="eastAsia" w:ascii="Times New Roman" w:hAnsi="Times New Roman" w:eastAsia="宋体" w:cs="Times New Roman"/>
                <w:color w:val="FF0000"/>
                <w:lang w:val="en-US" w:eastAsia="zh-CN"/>
              </w:rPr>
              <w:t>标准要求</w:t>
            </w:r>
            <w:r>
              <w:rPr>
                <w:rFonts w:hint="eastAsia" w:cs="Times New Roman"/>
                <w:color w:val="FF0000"/>
                <w:lang w:val="en-US" w:eastAsia="zh-CN"/>
              </w:rPr>
              <w:t>和</w:t>
            </w:r>
            <w:r>
              <w:rPr>
                <w:color w:val="FF0000"/>
              </w:rPr>
              <w:t>《污水综合排放标准》（GB8978-1996）中</w:t>
            </w:r>
            <w:r>
              <w:rPr>
                <w:rFonts w:hint="eastAsia"/>
                <w:color w:val="FF0000"/>
                <w:lang w:val="en-US" w:eastAsia="zh-CN"/>
              </w:rPr>
              <w:t>表1和表4一级标准要求</w:t>
            </w:r>
            <w:r>
              <w:rPr>
                <w:rFonts w:hint="eastAsia"/>
                <w:color w:val="FF0000"/>
              </w:rPr>
              <w:t>。</w:t>
            </w:r>
          </w:p>
          <w:p w14:paraId="375F1008">
            <w:pPr>
              <w:spacing w:line="520" w:lineRule="exact"/>
              <w:ind w:firstLine="480" w:firstLineChars="200"/>
              <w:rPr>
                <w:color w:val="auto"/>
                <w:lang w:bidi="ar"/>
              </w:rPr>
            </w:pPr>
            <w:r>
              <w:rPr>
                <w:rFonts w:hint="eastAsia"/>
                <w:color w:val="auto"/>
                <w:lang w:bidi="ar"/>
              </w:rPr>
              <w:t>（2）生活污水</w:t>
            </w:r>
          </w:p>
          <w:p w14:paraId="5A944B4B">
            <w:pPr>
              <w:adjustRightInd w:val="0"/>
              <w:snapToGrid w:val="0"/>
              <w:spacing w:line="520" w:lineRule="exact"/>
              <w:ind w:firstLine="470" w:firstLineChars="196"/>
              <w:rPr>
                <w:bCs/>
                <w:color w:val="auto"/>
                <w:lang w:bidi="ar"/>
              </w:rPr>
            </w:pPr>
            <w:r>
              <w:rPr>
                <w:rFonts w:hint="eastAsia"/>
                <w:bCs/>
                <w:color w:val="auto"/>
                <w:lang w:bidi="ar"/>
              </w:rPr>
              <w:t>生活污水产生量按用水量的80%计，</w:t>
            </w:r>
            <w:r>
              <w:rPr>
                <w:rFonts w:hint="eastAsia"/>
                <w:color w:val="auto"/>
              </w:rPr>
              <w:t>污水产生量为3.36m</w:t>
            </w:r>
            <w:r>
              <w:rPr>
                <w:rFonts w:hint="eastAsia"/>
                <w:color w:val="auto"/>
                <w:vertAlign w:val="superscript"/>
              </w:rPr>
              <w:t>3</w:t>
            </w:r>
            <w:r>
              <w:rPr>
                <w:rFonts w:hint="eastAsia"/>
                <w:color w:val="auto"/>
              </w:rPr>
              <w:t>/d，1008m</w:t>
            </w:r>
            <w:r>
              <w:rPr>
                <w:rFonts w:hint="eastAsia"/>
                <w:color w:val="auto"/>
                <w:vertAlign w:val="superscript"/>
              </w:rPr>
              <w:t>3</w:t>
            </w:r>
            <w:r>
              <w:rPr>
                <w:rFonts w:hint="eastAsia"/>
                <w:color w:val="auto"/>
              </w:rPr>
              <w:t>/a，主要污染物为</w:t>
            </w:r>
            <w:r>
              <w:rPr>
                <w:color w:val="auto"/>
              </w:rPr>
              <w:t>CODcr</w:t>
            </w:r>
            <w:r>
              <w:rPr>
                <w:rFonts w:hint="eastAsia"/>
                <w:color w:val="auto"/>
              </w:rPr>
              <w:t>、BOD</w:t>
            </w:r>
            <w:r>
              <w:rPr>
                <w:rFonts w:hint="eastAsia"/>
                <w:color w:val="auto"/>
                <w:vertAlign w:val="subscript"/>
              </w:rPr>
              <w:t>5</w:t>
            </w:r>
            <w:r>
              <w:rPr>
                <w:rFonts w:hint="eastAsia"/>
                <w:color w:val="auto"/>
              </w:rPr>
              <w:t>、SS、NH</w:t>
            </w:r>
            <w:r>
              <w:rPr>
                <w:rFonts w:hint="eastAsia"/>
                <w:color w:val="auto"/>
                <w:vertAlign w:val="subscript"/>
              </w:rPr>
              <w:t>3</w:t>
            </w:r>
            <w:r>
              <w:rPr>
                <w:rFonts w:hint="eastAsia"/>
                <w:color w:val="auto"/>
              </w:rPr>
              <w:t>-N。类比一般生活污水，各污染物产生浓度分别为</w:t>
            </w:r>
            <w:r>
              <w:rPr>
                <w:color w:val="auto"/>
              </w:rPr>
              <w:t>CODcr</w:t>
            </w:r>
            <w:r>
              <w:rPr>
                <w:rFonts w:hint="eastAsia"/>
                <w:color w:val="auto"/>
              </w:rPr>
              <w:t>420mg/L、BOD</w:t>
            </w:r>
            <w:r>
              <w:rPr>
                <w:rFonts w:hint="eastAsia"/>
                <w:color w:val="auto"/>
                <w:vertAlign w:val="subscript"/>
              </w:rPr>
              <w:t>5</w:t>
            </w:r>
            <w:r>
              <w:rPr>
                <w:rFonts w:hint="eastAsia"/>
                <w:color w:val="auto"/>
              </w:rPr>
              <w:t>250mg/L、SS300mg/L、NH</w:t>
            </w:r>
            <w:r>
              <w:rPr>
                <w:rFonts w:hint="eastAsia"/>
                <w:color w:val="auto"/>
                <w:vertAlign w:val="subscript"/>
              </w:rPr>
              <w:t>3</w:t>
            </w:r>
            <w:r>
              <w:rPr>
                <w:rFonts w:hint="eastAsia"/>
                <w:color w:val="auto"/>
              </w:rPr>
              <w:t>-N 30.2mg/L。生活污水经化粪池处理后经园区污水管网排入</w:t>
            </w:r>
            <w:r>
              <w:rPr>
                <w:rFonts w:hint="eastAsia"/>
                <w:color w:val="auto"/>
                <w:lang w:val="en-US" w:eastAsia="zh-CN"/>
              </w:rPr>
              <w:t>蒙西工业园区</w:t>
            </w:r>
            <w:r>
              <w:rPr>
                <w:rFonts w:hint="eastAsia"/>
                <w:color w:val="auto"/>
              </w:rPr>
              <w:t>生活污水处理厂。</w:t>
            </w:r>
          </w:p>
          <w:p w14:paraId="47074D64">
            <w:pPr>
              <w:keepNext w:val="0"/>
              <w:keepLines w:val="0"/>
              <w:pageBreakBefore w:val="0"/>
              <w:widowControl w:val="0"/>
              <w:kinsoku/>
              <w:wordWrap/>
              <w:overflowPunct/>
              <w:topLinePunct w:val="0"/>
              <w:autoSpaceDE/>
              <w:autoSpaceDN/>
              <w:bidi w:val="0"/>
              <w:adjustRightInd/>
              <w:snapToGrid/>
              <w:spacing w:line="520" w:lineRule="exact"/>
              <w:ind w:right="0" w:firstLine="480" w:firstLineChars="200"/>
              <w:jc w:val="left"/>
              <w:textAlignment w:val="auto"/>
              <w:rPr>
                <w:rFonts w:hint="eastAsia" w:ascii="Times New Roman" w:hAnsi="Times New Roman" w:eastAsia="宋体"/>
                <w:color w:val="auto"/>
                <w:sz w:val="24"/>
                <w:szCs w:val="24"/>
                <w:lang w:eastAsia="zh-CN"/>
              </w:rPr>
            </w:pPr>
            <w:r>
              <w:rPr>
                <w:rFonts w:hint="eastAsia" w:ascii="Times New Roman" w:hAnsi="Times New Roman" w:eastAsia="宋体"/>
                <w:color w:val="auto"/>
                <w:sz w:val="24"/>
                <w:szCs w:val="24"/>
                <w:lang w:eastAsia="zh-CN"/>
              </w:rPr>
              <w:t>本项目</w:t>
            </w:r>
            <w:r>
              <w:rPr>
                <w:rFonts w:hint="eastAsia"/>
                <w:color w:val="auto"/>
                <w:sz w:val="24"/>
                <w:szCs w:val="24"/>
                <w:lang w:val="en-US" w:eastAsia="zh-CN"/>
              </w:rPr>
              <w:t>生活污水</w:t>
            </w:r>
            <w:r>
              <w:rPr>
                <w:rFonts w:hint="eastAsia" w:ascii="Times New Roman" w:hAnsi="Times New Roman" w:eastAsia="宋体"/>
                <w:color w:val="auto"/>
                <w:sz w:val="24"/>
                <w:szCs w:val="24"/>
                <w:lang w:eastAsia="zh-CN"/>
              </w:rPr>
              <w:t>污染源强核算结果见下表：</w:t>
            </w:r>
          </w:p>
          <w:p w14:paraId="15897B28">
            <w:pPr>
              <w:pStyle w:val="34"/>
              <w:keepNext w:val="0"/>
              <w:keepLines w:val="0"/>
              <w:pageBreakBefore w:val="0"/>
              <w:kinsoku/>
              <w:wordWrap/>
              <w:overflowPunct/>
              <w:topLinePunct w:val="0"/>
              <w:bidi w:val="0"/>
              <w:spacing w:line="500" w:lineRule="exact"/>
              <w:ind w:left="0" w:leftChars="0" w:right="0" w:firstLine="0" w:firstLineChars="0"/>
              <w:jc w:val="center"/>
              <w:textAlignment w:val="auto"/>
              <w:rPr>
                <w:rFonts w:hint="default" w:ascii="Times New Roman" w:hAnsi="Times New Roman" w:eastAsia="宋体"/>
                <w:b/>
                <w:bCs/>
                <w:color w:val="auto"/>
                <w:sz w:val="24"/>
                <w:szCs w:val="24"/>
                <w:highlight w:val="none"/>
                <w:lang w:val="en-US" w:eastAsia="zh-CN"/>
              </w:rPr>
            </w:pPr>
            <w:r>
              <w:rPr>
                <w:rFonts w:hint="eastAsia" w:ascii="Times New Roman" w:hAnsi="Times New Roman" w:eastAsia="宋体"/>
                <w:b/>
                <w:bCs/>
                <w:color w:val="auto"/>
                <w:sz w:val="24"/>
                <w:szCs w:val="24"/>
                <w:highlight w:val="none"/>
                <w:lang w:eastAsia="zh-CN"/>
              </w:rPr>
              <w:t>表</w:t>
            </w:r>
            <w:r>
              <w:rPr>
                <w:rFonts w:hint="eastAsia" w:ascii="Times New Roman" w:hAnsi="Times New Roman" w:eastAsia="宋体"/>
                <w:b/>
                <w:bCs/>
                <w:color w:val="auto"/>
                <w:sz w:val="24"/>
                <w:szCs w:val="24"/>
                <w:highlight w:val="none"/>
                <w:lang w:val="en-US" w:eastAsia="zh-CN"/>
              </w:rPr>
              <w:t>4-7   项目废水污染物排放情况一览表</w:t>
            </w:r>
          </w:p>
          <w:tbl>
            <w:tblPr>
              <w:tblStyle w:val="26"/>
              <w:tblW w:w="49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871"/>
              <w:gridCol w:w="900"/>
              <w:gridCol w:w="720"/>
              <w:gridCol w:w="840"/>
              <w:gridCol w:w="870"/>
              <w:gridCol w:w="840"/>
              <w:gridCol w:w="930"/>
              <w:gridCol w:w="840"/>
              <w:gridCol w:w="764"/>
            </w:tblGrid>
            <w:tr w14:paraId="2BEB7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762" w:type="dxa"/>
                  <w:vMerge w:val="restart"/>
                  <w:noWrap w:val="0"/>
                  <w:vAlign w:val="center"/>
                </w:tcPr>
                <w:p w14:paraId="715C0D2E">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eastAsia" w:ascii="Times New Roman" w:hAnsi="Times New Roman" w:eastAsia="宋体" w:cs="Times New Roman"/>
                      <w:color w:val="auto"/>
                      <w:sz w:val="21"/>
                      <w:szCs w:val="21"/>
                      <w:highlight w:val="none"/>
                      <w:vertAlign w:val="baseline"/>
                      <w:lang w:eastAsia="zh-CN"/>
                    </w:rPr>
                  </w:pPr>
                  <w:r>
                    <w:rPr>
                      <w:rFonts w:hint="eastAsia" w:ascii="Times New Roman" w:hAnsi="Times New Roman" w:eastAsia="宋体" w:cs="Times New Roman"/>
                      <w:color w:val="auto"/>
                      <w:sz w:val="21"/>
                      <w:szCs w:val="21"/>
                      <w:highlight w:val="none"/>
                      <w:vertAlign w:val="baseline"/>
                      <w:lang w:eastAsia="zh-CN"/>
                    </w:rPr>
                    <w:t>污水来源</w:t>
                  </w:r>
                </w:p>
              </w:tc>
              <w:tc>
                <w:tcPr>
                  <w:tcW w:w="871" w:type="dxa"/>
                  <w:vMerge w:val="restart"/>
                  <w:noWrap w:val="0"/>
                  <w:vAlign w:val="center"/>
                </w:tcPr>
                <w:p w14:paraId="0E5CA829">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eastAsia="zh-CN"/>
                    </w:rPr>
                    <w:t>废水量</w:t>
                  </w:r>
                  <w:r>
                    <w:rPr>
                      <w:rFonts w:hint="eastAsia" w:ascii="Times New Roman" w:hAnsi="Times New Roman" w:eastAsia="宋体" w:cs="Times New Roman"/>
                      <w:color w:val="auto"/>
                      <w:sz w:val="21"/>
                      <w:szCs w:val="21"/>
                      <w:highlight w:val="none"/>
                      <w:vertAlign w:val="baseline"/>
                      <w:lang w:val="en-US" w:eastAsia="zh-CN"/>
                    </w:rPr>
                    <w:t>t/a</w:t>
                  </w:r>
                </w:p>
              </w:tc>
              <w:tc>
                <w:tcPr>
                  <w:tcW w:w="900" w:type="dxa"/>
                  <w:vMerge w:val="restart"/>
                  <w:noWrap w:val="0"/>
                  <w:vAlign w:val="center"/>
                </w:tcPr>
                <w:p w14:paraId="435E62AA">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污染物名称</w:t>
                  </w:r>
                </w:p>
              </w:tc>
              <w:tc>
                <w:tcPr>
                  <w:tcW w:w="1560" w:type="dxa"/>
                  <w:gridSpan w:val="2"/>
                  <w:noWrap w:val="0"/>
                  <w:vAlign w:val="center"/>
                </w:tcPr>
                <w:p w14:paraId="3DC21D06">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eastAsia" w:ascii="Times New Roman" w:hAnsi="Times New Roman" w:eastAsia="宋体" w:cs="Times New Roman"/>
                      <w:color w:val="auto"/>
                      <w:sz w:val="21"/>
                      <w:szCs w:val="21"/>
                      <w:highlight w:val="none"/>
                      <w:vertAlign w:val="baseline"/>
                      <w:lang w:eastAsia="zh-CN"/>
                    </w:rPr>
                  </w:pPr>
                  <w:r>
                    <w:rPr>
                      <w:rFonts w:hint="eastAsia" w:ascii="Times New Roman" w:hAnsi="Times New Roman" w:eastAsia="宋体" w:cs="Times New Roman"/>
                      <w:color w:val="auto"/>
                      <w:sz w:val="21"/>
                      <w:szCs w:val="21"/>
                      <w:highlight w:val="none"/>
                      <w:vertAlign w:val="baseline"/>
                      <w:lang w:eastAsia="zh-CN"/>
                    </w:rPr>
                    <w:t>产生情况</w:t>
                  </w:r>
                </w:p>
              </w:tc>
              <w:tc>
                <w:tcPr>
                  <w:tcW w:w="870" w:type="dxa"/>
                  <w:vMerge w:val="restart"/>
                  <w:noWrap w:val="0"/>
                  <w:vAlign w:val="center"/>
                </w:tcPr>
                <w:p w14:paraId="4AEC45DF">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eastAsia" w:ascii="Times New Roman" w:hAnsi="Times New Roman" w:eastAsia="宋体" w:cs="Times New Roman"/>
                      <w:color w:val="auto"/>
                      <w:sz w:val="21"/>
                      <w:szCs w:val="21"/>
                      <w:highlight w:val="none"/>
                      <w:vertAlign w:val="baseline"/>
                      <w:lang w:eastAsia="zh-CN"/>
                    </w:rPr>
                  </w:pPr>
                  <w:r>
                    <w:rPr>
                      <w:rFonts w:hint="eastAsia" w:ascii="Times New Roman" w:hAnsi="Times New Roman" w:eastAsia="宋体" w:cs="Times New Roman"/>
                      <w:color w:val="auto"/>
                      <w:sz w:val="21"/>
                      <w:szCs w:val="21"/>
                      <w:highlight w:val="none"/>
                      <w:vertAlign w:val="baseline"/>
                      <w:lang w:eastAsia="zh-CN"/>
                    </w:rPr>
                    <w:t>治理措施</w:t>
                  </w:r>
                </w:p>
              </w:tc>
              <w:tc>
                <w:tcPr>
                  <w:tcW w:w="840" w:type="dxa"/>
                  <w:vMerge w:val="restart"/>
                  <w:noWrap w:val="0"/>
                  <w:vAlign w:val="center"/>
                </w:tcPr>
                <w:p w14:paraId="0DFD1633">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处理效率（%）</w:t>
                  </w:r>
                </w:p>
              </w:tc>
              <w:tc>
                <w:tcPr>
                  <w:tcW w:w="1770" w:type="dxa"/>
                  <w:gridSpan w:val="2"/>
                  <w:noWrap w:val="0"/>
                  <w:vAlign w:val="center"/>
                </w:tcPr>
                <w:p w14:paraId="7351BE02">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eastAsia" w:ascii="Times New Roman" w:hAnsi="Times New Roman" w:eastAsia="宋体" w:cs="Times New Roman"/>
                      <w:color w:val="auto"/>
                      <w:sz w:val="21"/>
                      <w:szCs w:val="21"/>
                      <w:highlight w:val="none"/>
                      <w:vertAlign w:val="baseline"/>
                      <w:lang w:eastAsia="zh-CN"/>
                    </w:rPr>
                  </w:pPr>
                  <w:r>
                    <w:rPr>
                      <w:rFonts w:hint="eastAsia" w:ascii="Times New Roman" w:hAnsi="Times New Roman" w:eastAsia="宋体" w:cs="Times New Roman"/>
                      <w:color w:val="auto"/>
                      <w:sz w:val="21"/>
                      <w:szCs w:val="21"/>
                      <w:highlight w:val="none"/>
                      <w:vertAlign w:val="baseline"/>
                      <w:lang w:eastAsia="zh-CN"/>
                    </w:rPr>
                    <w:t>污染物接管</w:t>
                  </w:r>
                </w:p>
              </w:tc>
              <w:tc>
                <w:tcPr>
                  <w:tcW w:w="764" w:type="dxa"/>
                  <w:vMerge w:val="restart"/>
                  <w:noWrap w:val="0"/>
                  <w:vAlign w:val="center"/>
                </w:tcPr>
                <w:p w14:paraId="10B694AD">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eastAsia="zh-CN"/>
                    </w:rPr>
                    <w:t>接管标准</w:t>
                  </w:r>
                  <w:r>
                    <w:rPr>
                      <w:rFonts w:hint="default" w:ascii="Times New Roman" w:hAnsi="Times New Roman" w:eastAsia="宋体" w:cs="Times New Roman"/>
                      <w:color w:val="auto"/>
                      <w:sz w:val="21"/>
                      <w:szCs w:val="21"/>
                      <w:highlight w:val="none"/>
                      <w:lang w:val="en-US" w:eastAsia="zh-CN"/>
                    </w:rPr>
                    <w:t>mg/L</w:t>
                  </w:r>
                </w:p>
              </w:tc>
            </w:tr>
            <w:tr w14:paraId="7021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762" w:type="dxa"/>
                  <w:vMerge w:val="continue"/>
                  <w:noWrap w:val="0"/>
                  <w:vAlign w:val="center"/>
                </w:tcPr>
                <w:p w14:paraId="7FE92B20">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color w:val="auto"/>
                      <w:highlight w:val="none"/>
                    </w:rPr>
                  </w:pPr>
                </w:p>
              </w:tc>
              <w:tc>
                <w:tcPr>
                  <w:tcW w:w="871" w:type="dxa"/>
                  <w:vMerge w:val="continue"/>
                  <w:noWrap w:val="0"/>
                  <w:vAlign w:val="center"/>
                </w:tcPr>
                <w:p w14:paraId="253E4D1B">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color w:val="auto"/>
                      <w:highlight w:val="none"/>
                    </w:rPr>
                  </w:pPr>
                </w:p>
              </w:tc>
              <w:tc>
                <w:tcPr>
                  <w:tcW w:w="900" w:type="dxa"/>
                  <w:vMerge w:val="continue"/>
                  <w:noWrap w:val="0"/>
                  <w:vAlign w:val="center"/>
                </w:tcPr>
                <w:p w14:paraId="3E45C3A7">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color w:val="auto"/>
                      <w:highlight w:val="none"/>
                    </w:rPr>
                  </w:pPr>
                </w:p>
              </w:tc>
              <w:tc>
                <w:tcPr>
                  <w:tcW w:w="720" w:type="dxa"/>
                  <w:noWrap w:val="0"/>
                  <w:vAlign w:val="center"/>
                </w:tcPr>
                <w:p w14:paraId="76FAEB35">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color w:val="auto"/>
                      <w:highlight w:val="none"/>
                    </w:rPr>
                  </w:pPr>
                  <w:r>
                    <w:rPr>
                      <w:rFonts w:hint="default" w:ascii="Times New Roman" w:hAnsi="Times New Roman" w:eastAsia="宋体" w:cs="Times New Roman"/>
                      <w:color w:val="auto"/>
                      <w:sz w:val="21"/>
                      <w:szCs w:val="21"/>
                      <w:highlight w:val="none"/>
                      <w:lang w:val="en-US" w:eastAsia="zh-CN"/>
                    </w:rPr>
                    <w:t>浓度mg/L</w:t>
                  </w:r>
                </w:p>
              </w:tc>
              <w:tc>
                <w:tcPr>
                  <w:tcW w:w="840" w:type="dxa"/>
                  <w:noWrap w:val="0"/>
                  <w:vAlign w:val="center"/>
                </w:tcPr>
                <w:p w14:paraId="4C74AAA4">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color w:val="auto"/>
                      <w:highlight w:val="none"/>
                    </w:rPr>
                  </w:pPr>
                  <w:r>
                    <w:rPr>
                      <w:rFonts w:hint="default" w:ascii="Times New Roman" w:hAnsi="Times New Roman" w:eastAsia="宋体" w:cs="Times New Roman"/>
                      <w:color w:val="auto"/>
                      <w:sz w:val="21"/>
                      <w:szCs w:val="21"/>
                      <w:highlight w:val="none"/>
                      <w:lang w:val="en-US" w:eastAsia="zh-CN"/>
                    </w:rPr>
                    <w:t>产生量t/a</w:t>
                  </w:r>
                </w:p>
              </w:tc>
              <w:tc>
                <w:tcPr>
                  <w:tcW w:w="870" w:type="dxa"/>
                  <w:vMerge w:val="continue"/>
                  <w:noWrap w:val="0"/>
                  <w:vAlign w:val="center"/>
                </w:tcPr>
                <w:p w14:paraId="32F04060">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color w:val="auto"/>
                      <w:highlight w:val="none"/>
                    </w:rPr>
                  </w:pPr>
                </w:p>
              </w:tc>
              <w:tc>
                <w:tcPr>
                  <w:tcW w:w="840" w:type="dxa"/>
                  <w:vMerge w:val="continue"/>
                  <w:noWrap w:val="0"/>
                  <w:vAlign w:val="center"/>
                </w:tcPr>
                <w:p w14:paraId="7CE8BDE1">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color w:val="auto"/>
                      <w:highlight w:val="none"/>
                    </w:rPr>
                  </w:pPr>
                </w:p>
              </w:tc>
              <w:tc>
                <w:tcPr>
                  <w:tcW w:w="930" w:type="dxa"/>
                  <w:noWrap w:val="0"/>
                  <w:vAlign w:val="center"/>
                </w:tcPr>
                <w:p w14:paraId="6D94922B">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color w:val="auto"/>
                      <w:highlight w:val="none"/>
                    </w:rPr>
                  </w:pPr>
                  <w:r>
                    <w:rPr>
                      <w:rFonts w:hint="default" w:ascii="Times New Roman" w:hAnsi="Times New Roman" w:eastAsia="宋体" w:cs="Times New Roman"/>
                      <w:color w:val="auto"/>
                      <w:sz w:val="21"/>
                      <w:szCs w:val="21"/>
                      <w:highlight w:val="none"/>
                      <w:lang w:val="en-US" w:eastAsia="zh-CN"/>
                    </w:rPr>
                    <w:t>浓度mg/L</w:t>
                  </w:r>
                </w:p>
              </w:tc>
              <w:tc>
                <w:tcPr>
                  <w:tcW w:w="840" w:type="dxa"/>
                  <w:noWrap w:val="0"/>
                  <w:vAlign w:val="center"/>
                </w:tcPr>
                <w:p w14:paraId="682DCFE0">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color w:val="auto"/>
                      <w:highlight w:val="none"/>
                    </w:rPr>
                  </w:pPr>
                  <w:r>
                    <w:rPr>
                      <w:rFonts w:hint="eastAsia" w:ascii="Times New Roman" w:hAnsi="Times New Roman" w:eastAsia="宋体" w:cs="Times New Roman"/>
                      <w:color w:val="auto"/>
                      <w:sz w:val="21"/>
                      <w:szCs w:val="21"/>
                      <w:highlight w:val="none"/>
                      <w:lang w:val="en-US" w:eastAsia="zh-CN"/>
                    </w:rPr>
                    <w:t>接管</w:t>
                  </w:r>
                  <w:r>
                    <w:rPr>
                      <w:rFonts w:hint="default" w:ascii="Times New Roman" w:hAnsi="Times New Roman" w:eastAsia="宋体" w:cs="Times New Roman"/>
                      <w:color w:val="auto"/>
                      <w:sz w:val="21"/>
                      <w:szCs w:val="21"/>
                      <w:highlight w:val="none"/>
                      <w:lang w:val="en-US" w:eastAsia="zh-CN"/>
                    </w:rPr>
                    <w:t>量t/a</w:t>
                  </w:r>
                </w:p>
              </w:tc>
              <w:tc>
                <w:tcPr>
                  <w:tcW w:w="764" w:type="dxa"/>
                  <w:vMerge w:val="continue"/>
                  <w:noWrap w:val="0"/>
                  <w:vAlign w:val="center"/>
                </w:tcPr>
                <w:p w14:paraId="5E72A780">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color w:val="auto"/>
                      <w:highlight w:val="none"/>
                    </w:rPr>
                  </w:pPr>
                </w:p>
              </w:tc>
            </w:tr>
            <w:tr w14:paraId="065F3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vMerge w:val="restart"/>
                  <w:noWrap w:val="0"/>
                  <w:vAlign w:val="center"/>
                </w:tcPr>
                <w:p w14:paraId="5F4972A9">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生活污水</w:t>
                  </w:r>
                </w:p>
              </w:tc>
              <w:tc>
                <w:tcPr>
                  <w:tcW w:w="871" w:type="dxa"/>
                  <w:vMerge w:val="restart"/>
                  <w:noWrap w:val="0"/>
                  <w:vAlign w:val="center"/>
                </w:tcPr>
                <w:p w14:paraId="3B942095">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1008</w:t>
                  </w:r>
                </w:p>
              </w:tc>
              <w:tc>
                <w:tcPr>
                  <w:tcW w:w="900" w:type="dxa"/>
                  <w:noWrap w:val="0"/>
                  <w:vAlign w:val="center"/>
                </w:tcPr>
                <w:p w14:paraId="589AC37F">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default" w:ascii="Times New Roman" w:hAnsi="Times New Roman" w:eastAsia="宋体" w:cs="Times New Roman"/>
                      <w:color w:val="auto"/>
                      <w:sz w:val="21"/>
                      <w:szCs w:val="21"/>
                      <w:highlight w:val="none"/>
                      <w:vertAlign w:val="baseline"/>
                    </w:rPr>
                  </w:pPr>
                  <w:r>
                    <w:rPr>
                      <w:color w:val="auto"/>
                      <w:sz w:val="21"/>
                      <w:szCs w:val="21"/>
                      <w:highlight w:val="none"/>
                    </w:rPr>
                    <w:t>CODcr</w:t>
                  </w:r>
                </w:p>
              </w:tc>
              <w:tc>
                <w:tcPr>
                  <w:tcW w:w="720" w:type="dxa"/>
                  <w:noWrap w:val="0"/>
                  <w:vAlign w:val="center"/>
                </w:tcPr>
                <w:p w14:paraId="172787DA">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420</w:t>
                  </w:r>
                </w:p>
              </w:tc>
              <w:tc>
                <w:tcPr>
                  <w:tcW w:w="840" w:type="dxa"/>
                  <w:noWrap w:val="0"/>
                  <w:vAlign w:val="center"/>
                </w:tcPr>
                <w:p w14:paraId="1D8BCFC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0.423 </w:t>
                  </w:r>
                </w:p>
              </w:tc>
              <w:tc>
                <w:tcPr>
                  <w:tcW w:w="870" w:type="dxa"/>
                  <w:vMerge w:val="restart"/>
                  <w:noWrap w:val="0"/>
                  <w:vAlign w:val="center"/>
                </w:tcPr>
                <w:p w14:paraId="52B92005">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化粪池</w:t>
                  </w:r>
                </w:p>
              </w:tc>
              <w:tc>
                <w:tcPr>
                  <w:tcW w:w="840" w:type="dxa"/>
                  <w:noWrap w:val="0"/>
                  <w:vAlign w:val="center"/>
                </w:tcPr>
                <w:p w14:paraId="1BBBD90D">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w:t>
                  </w:r>
                </w:p>
              </w:tc>
              <w:tc>
                <w:tcPr>
                  <w:tcW w:w="930" w:type="dxa"/>
                  <w:noWrap w:val="0"/>
                  <w:vAlign w:val="center"/>
                </w:tcPr>
                <w:p w14:paraId="0397959C">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right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420</w:t>
                  </w:r>
                </w:p>
              </w:tc>
              <w:tc>
                <w:tcPr>
                  <w:tcW w:w="840" w:type="dxa"/>
                  <w:noWrap w:val="0"/>
                  <w:vAlign w:val="center"/>
                </w:tcPr>
                <w:p w14:paraId="2D3F43D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0.423 </w:t>
                  </w:r>
                </w:p>
              </w:tc>
              <w:tc>
                <w:tcPr>
                  <w:tcW w:w="764" w:type="dxa"/>
                  <w:noWrap w:val="0"/>
                  <w:vAlign w:val="center"/>
                </w:tcPr>
                <w:p w14:paraId="3511A60F">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500</w:t>
                  </w:r>
                </w:p>
              </w:tc>
            </w:tr>
            <w:tr w14:paraId="1D92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vMerge w:val="continue"/>
                  <w:noWrap w:val="0"/>
                  <w:vAlign w:val="center"/>
                </w:tcPr>
                <w:p w14:paraId="39A20C96">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rPr>
                  </w:pPr>
                </w:p>
              </w:tc>
              <w:tc>
                <w:tcPr>
                  <w:tcW w:w="871" w:type="dxa"/>
                  <w:vMerge w:val="continue"/>
                  <w:noWrap w:val="0"/>
                  <w:vAlign w:val="center"/>
                </w:tcPr>
                <w:p w14:paraId="6E9B8BB4">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rPr>
                  </w:pPr>
                </w:p>
              </w:tc>
              <w:tc>
                <w:tcPr>
                  <w:tcW w:w="900" w:type="dxa"/>
                  <w:noWrap w:val="0"/>
                  <w:vAlign w:val="center"/>
                </w:tcPr>
                <w:p w14:paraId="131B3C2E">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BOD</w:t>
                  </w:r>
                  <w:r>
                    <w:rPr>
                      <w:rFonts w:hint="default" w:ascii="Times New Roman" w:hAnsi="Times New Roman" w:eastAsia="宋体" w:cs="Times New Roman"/>
                      <w:color w:val="auto"/>
                      <w:sz w:val="21"/>
                      <w:szCs w:val="21"/>
                      <w:highlight w:val="none"/>
                      <w:vertAlign w:val="subscript"/>
                      <w:lang w:val="en-US" w:eastAsia="zh-CN"/>
                    </w:rPr>
                    <w:t>5</w:t>
                  </w:r>
                </w:p>
              </w:tc>
              <w:tc>
                <w:tcPr>
                  <w:tcW w:w="720" w:type="dxa"/>
                  <w:noWrap w:val="0"/>
                  <w:vAlign w:val="center"/>
                </w:tcPr>
                <w:p w14:paraId="6979B983">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250</w:t>
                  </w:r>
                </w:p>
              </w:tc>
              <w:tc>
                <w:tcPr>
                  <w:tcW w:w="840" w:type="dxa"/>
                  <w:noWrap w:val="0"/>
                  <w:vAlign w:val="center"/>
                </w:tcPr>
                <w:p w14:paraId="1B6B71A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0.252 </w:t>
                  </w:r>
                </w:p>
              </w:tc>
              <w:tc>
                <w:tcPr>
                  <w:tcW w:w="870" w:type="dxa"/>
                  <w:vMerge w:val="continue"/>
                  <w:noWrap w:val="0"/>
                  <w:vAlign w:val="center"/>
                </w:tcPr>
                <w:p w14:paraId="5CF9CF97">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rPr>
                  </w:pPr>
                </w:p>
              </w:tc>
              <w:tc>
                <w:tcPr>
                  <w:tcW w:w="840" w:type="dxa"/>
                  <w:noWrap w:val="0"/>
                  <w:vAlign w:val="center"/>
                </w:tcPr>
                <w:p w14:paraId="434D5F1D">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w:t>
                  </w:r>
                </w:p>
              </w:tc>
              <w:tc>
                <w:tcPr>
                  <w:tcW w:w="930" w:type="dxa"/>
                  <w:noWrap w:val="0"/>
                  <w:vAlign w:val="center"/>
                </w:tcPr>
                <w:p w14:paraId="093EA007">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right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250</w:t>
                  </w:r>
                </w:p>
              </w:tc>
              <w:tc>
                <w:tcPr>
                  <w:tcW w:w="840" w:type="dxa"/>
                  <w:noWrap w:val="0"/>
                  <w:vAlign w:val="center"/>
                </w:tcPr>
                <w:p w14:paraId="7D53BF1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0.252 </w:t>
                  </w:r>
                </w:p>
              </w:tc>
              <w:tc>
                <w:tcPr>
                  <w:tcW w:w="764" w:type="dxa"/>
                  <w:noWrap w:val="0"/>
                  <w:vAlign w:val="center"/>
                </w:tcPr>
                <w:p w14:paraId="015DCF61">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300</w:t>
                  </w:r>
                </w:p>
              </w:tc>
            </w:tr>
            <w:tr w14:paraId="19C3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vMerge w:val="continue"/>
                  <w:noWrap w:val="0"/>
                  <w:vAlign w:val="center"/>
                </w:tcPr>
                <w:p w14:paraId="46ACEEB1">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rPr>
                  </w:pPr>
                </w:p>
              </w:tc>
              <w:tc>
                <w:tcPr>
                  <w:tcW w:w="871" w:type="dxa"/>
                  <w:vMerge w:val="continue"/>
                  <w:noWrap w:val="0"/>
                  <w:vAlign w:val="center"/>
                </w:tcPr>
                <w:p w14:paraId="627374C2">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rPr>
                  </w:pPr>
                </w:p>
              </w:tc>
              <w:tc>
                <w:tcPr>
                  <w:tcW w:w="900" w:type="dxa"/>
                  <w:noWrap w:val="0"/>
                  <w:vAlign w:val="center"/>
                </w:tcPr>
                <w:p w14:paraId="5483F992">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SS</w:t>
                  </w:r>
                </w:p>
              </w:tc>
              <w:tc>
                <w:tcPr>
                  <w:tcW w:w="720" w:type="dxa"/>
                  <w:noWrap w:val="0"/>
                  <w:vAlign w:val="center"/>
                </w:tcPr>
                <w:p w14:paraId="38946FEB">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300</w:t>
                  </w:r>
                </w:p>
              </w:tc>
              <w:tc>
                <w:tcPr>
                  <w:tcW w:w="840" w:type="dxa"/>
                  <w:noWrap w:val="0"/>
                  <w:vAlign w:val="center"/>
                </w:tcPr>
                <w:p w14:paraId="0AE1BB8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0.302 </w:t>
                  </w:r>
                </w:p>
              </w:tc>
              <w:tc>
                <w:tcPr>
                  <w:tcW w:w="870" w:type="dxa"/>
                  <w:vMerge w:val="continue"/>
                  <w:noWrap w:val="0"/>
                  <w:vAlign w:val="center"/>
                </w:tcPr>
                <w:p w14:paraId="0D2EA4DA">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rPr>
                  </w:pPr>
                </w:p>
              </w:tc>
              <w:tc>
                <w:tcPr>
                  <w:tcW w:w="840" w:type="dxa"/>
                  <w:noWrap w:val="0"/>
                  <w:vAlign w:val="center"/>
                </w:tcPr>
                <w:p w14:paraId="571DEA8C">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w:t>
                  </w:r>
                </w:p>
              </w:tc>
              <w:tc>
                <w:tcPr>
                  <w:tcW w:w="930" w:type="dxa"/>
                  <w:noWrap w:val="0"/>
                  <w:vAlign w:val="center"/>
                </w:tcPr>
                <w:p w14:paraId="5F966926">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right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300</w:t>
                  </w:r>
                </w:p>
              </w:tc>
              <w:tc>
                <w:tcPr>
                  <w:tcW w:w="840" w:type="dxa"/>
                  <w:noWrap w:val="0"/>
                  <w:vAlign w:val="center"/>
                </w:tcPr>
                <w:p w14:paraId="6B88ECE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0.302 </w:t>
                  </w:r>
                </w:p>
              </w:tc>
              <w:tc>
                <w:tcPr>
                  <w:tcW w:w="764" w:type="dxa"/>
                  <w:noWrap w:val="0"/>
                  <w:vAlign w:val="center"/>
                </w:tcPr>
                <w:p w14:paraId="2A350FA3">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400</w:t>
                  </w:r>
                </w:p>
              </w:tc>
            </w:tr>
            <w:tr w14:paraId="677D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vMerge w:val="continue"/>
                  <w:noWrap w:val="0"/>
                  <w:vAlign w:val="center"/>
                </w:tcPr>
                <w:p w14:paraId="7D027F5B">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rPr>
                  </w:pPr>
                </w:p>
              </w:tc>
              <w:tc>
                <w:tcPr>
                  <w:tcW w:w="871" w:type="dxa"/>
                  <w:vMerge w:val="continue"/>
                  <w:noWrap w:val="0"/>
                  <w:vAlign w:val="center"/>
                </w:tcPr>
                <w:p w14:paraId="3B2F102D">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rPr>
                  </w:pPr>
                </w:p>
              </w:tc>
              <w:tc>
                <w:tcPr>
                  <w:tcW w:w="900" w:type="dxa"/>
                  <w:noWrap w:val="0"/>
                  <w:vAlign w:val="center"/>
                </w:tcPr>
                <w:p w14:paraId="7A0E6275">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NH</w:t>
                  </w:r>
                  <w:r>
                    <w:rPr>
                      <w:rFonts w:hint="default" w:ascii="Times New Roman" w:hAnsi="Times New Roman" w:eastAsia="宋体" w:cs="Times New Roman"/>
                      <w:color w:val="auto"/>
                      <w:sz w:val="21"/>
                      <w:szCs w:val="21"/>
                      <w:highlight w:val="none"/>
                      <w:vertAlign w:val="subscript"/>
                      <w:lang w:val="en-US" w:eastAsia="zh-CN"/>
                    </w:rPr>
                    <w:t>3</w:t>
                  </w:r>
                  <w:r>
                    <w:rPr>
                      <w:rFonts w:hint="default" w:ascii="Times New Roman" w:hAnsi="Times New Roman" w:eastAsia="宋体" w:cs="Times New Roman"/>
                      <w:color w:val="auto"/>
                      <w:sz w:val="21"/>
                      <w:szCs w:val="21"/>
                      <w:highlight w:val="none"/>
                      <w:vertAlign w:val="baseline"/>
                      <w:lang w:val="en-US" w:eastAsia="zh-CN"/>
                    </w:rPr>
                    <w:t>-N</w:t>
                  </w:r>
                </w:p>
              </w:tc>
              <w:tc>
                <w:tcPr>
                  <w:tcW w:w="720" w:type="dxa"/>
                  <w:noWrap w:val="0"/>
                  <w:vAlign w:val="center"/>
                </w:tcPr>
                <w:p w14:paraId="016027E6">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30.2</w:t>
                  </w:r>
                </w:p>
              </w:tc>
              <w:tc>
                <w:tcPr>
                  <w:tcW w:w="840" w:type="dxa"/>
                  <w:noWrap w:val="0"/>
                  <w:vAlign w:val="center"/>
                </w:tcPr>
                <w:p w14:paraId="263F3E91">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0.030 </w:t>
                  </w:r>
                </w:p>
              </w:tc>
              <w:tc>
                <w:tcPr>
                  <w:tcW w:w="870" w:type="dxa"/>
                  <w:vMerge w:val="continue"/>
                  <w:noWrap w:val="0"/>
                  <w:vAlign w:val="center"/>
                </w:tcPr>
                <w:p w14:paraId="0DE0DC2A">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rPr>
                  </w:pPr>
                </w:p>
              </w:tc>
              <w:tc>
                <w:tcPr>
                  <w:tcW w:w="840" w:type="dxa"/>
                  <w:noWrap w:val="0"/>
                  <w:vAlign w:val="center"/>
                </w:tcPr>
                <w:p w14:paraId="4CCDFBF5">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w:t>
                  </w:r>
                </w:p>
              </w:tc>
              <w:tc>
                <w:tcPr>
                  <w:tcW w:w="930" w:type="dxa"/>
                  <w:noWrap w:val="0"/>
                  <w:vAlign w:val="center"/>
                </w:tcPr>
                <w:p w14:paraId="79EACAD4">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30.2</w:t>
                  </w:r>
                </w:p>
              </w:tc>
              <w:tc>
                <w:tcPr>
                  <w:tcW w:w="840" w:type="dxa"/>
                  <w:noWrap w:val="0"/>
                  <w:vAlign w:val="center"/>
                </w:tcPr>
                <w:p w14:paraId="01844B8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30</w:t>
                  </w:r>
                </w:p>
              </w:tc>
              <w:tc>
                <w:tcPr>
                  <w:tcW w:w="764" w:type="dxa"/>
                  <w:noWrap w:val="0"/>
                  <w:vAlign w:val="center"/>
                </w:tcPr>
                <w:p w14:paraId="233E810E">
                  <w:pPr>
                    <w:pStyle w:val="36"/>
                    <w:keepNext w:val="0"/>
                    <w:keepLines w:val="0"/>
                    <w:pageBreakBefore w:val="0"/>
                    <w:widowControl/>
                    <w:kinsoku/>
                    <w:wordWrap/>
                    <w:overflowPunct/>
                    <w:topLinePunct w:val="0"/>
                    <w:autoSpaceDE/>
                    <w:autoSpaceDN/>
                    <w:bidi w:val="0"/>
                    <w:adjustRightInd/>
                    <w:snapToGrid w:val="0"/>
                    <w:spacing w:before="0" w:after="0" w:line="320" w:lineRule="exact"/>
                    <w:ind w:right="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w:t>
                  </w:r>
                </w:p>
              </w:tc>
            </w:tr>
          </w:tbl>
          <w:p w14:paraId="5F0E1FBA">
            <w:pPr>
              <w:spacing w:line="500" w:lineRule="exact"/>
              <w:ind w:firstLine="480" w:firstLineChars="200"/>
              <w:jc w:val="left"/>
              <w:rPr>
                <w:color w:val="auto"/>
              </w:rPr>
            </w:pPr>
            <w:r>
              <w:rPr>
                <w:rFonts w:hint="eastAsia"/>
                <w:color w:val="auto"/>
              </w:rPr>
              <w:t>（3）污水处理厂依托可行性分析</w:t>
            </w:r>
          </w:p>
          <w:p w14:paraId="487F10AA">
            <w:pPr>
              <w:spacing w:line="500" w:lineRule="exact"/>
              <w:ind w:firstLine="480" w:firstLineChars="200"/>
              <w:jc w:val="left"/>
              <w:rPr>
                <w:b/>
                <w:bCs/>
                <w:color w:val="auto"/>
                <w:lang w:bidi="ar"/>
              </w:rPr>
            </w:pPr>
            <w:r>
              <w:rPr>
                <w:rFonts w:hint="eastAsia"/>
                <w:color w:val="auto"/>
              </w:rPr>
              <w:t>鄂托克旗蒙西高新技术工业园区高新发展有限责任公司污水处理厂，目前污水处理厂处理规模为1500m</w:t>
            </w:r>
            <w:r>
              <w:rPr>
                <w:rFonts w:hint="eastAsia"/>
                <w:color w:val="auto"/>
                <w:vertAlign w:val="superscript"/>
              </w:rPr>
              <w:t>3</w:t>
            </w:r>
            <w:r>
              <w:rPr>
                <w:rFonts w:hint="eastAsia"/>
                <w:color w:val="auto"/>
              </w:rPr>
              <w:t>/d，剩余处理规模约487m</w:t>
            </w:r>
            <w:r>
              <w:rPr>
                <w:rFonts w:hint="eastAsia"/>
                <w:color w:val="auto"/>
                <w:vertAlign w:val="superscript"/>
              </w:rPr>
              <w:t>3</w:t>
            </w:r>
            <w:r>
              <w:rPr>
                <w:rFonts w:hint="eastAsia"/>
                <w:color w:val="auto"/>
              </w:rPr>
              <w:t>/d，尾水排放标准执行《城镇污水处理厂污染物排放标准》(GB18918-2002）中表1中一级 A 标准，通过管道送往园区企业综合利用或用于园区绿化、洒水降尘等。</w:t>
            </w:r>
            <w:r>
              <w:rPr>
                <w:color w:val="auto"/>
              </w:rPr>
              <w:t>本项目生活污水符合该污水厂收水类型，且排放量仅</w:t>
            </w:r>
            <w:r>
              <w:rPr>
                <w:rFonts w:hint="eastAsia"/>
                <w:bCs/>
                <w:color w:val="auto"/>
              </w:rPr>
              <w:t>3.36</w:t>
            </w:r>
            <w:r>
              <w:rPr>
                <w:bCs/>
                <w:color w:val="auto"/>
              </w:rPr>
              <w:t>m</w:t>
            </w:r>
            <w:r>
              <w:rPr>
                <w:bCs/>
                <w:color w:val="auto"/>
                <w:vertAlign w:val="superscript"/>
              </w:rPr>
              <w:t>3</w:t>
            </w:r>
            <w:r>
              <w:rPr>
                <w:bCs/>
                <w:color w:val="auto"/>
              </w:rPr>
              <w:t>/d，远小于污水厂</w:t>
            </w:r>
            <w:r>
              <w:rPr>
                <w:rFonts w:hint="eastAsia"/>
                <w:bCs/>
                <w:color w:val="auto"/>
              </w:rPr>
              <w:t>剩余处理</w:t>
            </w:r>
            <w:r>
              <w:rPr>
                <w:bCs/>
                <w:color w:val="auto"/>
              </w:rPr>
              <w:t>规模，因此依托可行。</w:t>
            </w:r>
          </w:p>
          <w:p w14:paraId="37A26781">
            <w:pPr>
              <w:spacing w:line="500" w:lineRule="exact"/>
              <w:ind w:firstLine="480" w:firstLineChars="200"/>
              <w:jc w:val="left"/>
              <w:rPr>
                <w:color w:val="auto"/>
              </w:rPr>
            </w:pPr>
            <w:r>
              <w:rPr>
                <w:rFonts w:hint="eastAsia"/>
                <w:color w:val="auto"/>
              </w:rPr>
              <w:t>（4）初期雨水</w:t>
            </w:r>
          </w:p>
          <w:p w14:paraId="04BB3895">
            <w:pPr>
              <w:pStyle w:val="23"/>
              <w:spacing w:before="0" w:after="0" w:line="480" w:lineRule="exact"/>
              <w:ind w:firstLine="480" w:firstLineChars="200"/>
              <w:rPr>
                <w:color w:val="auto"/>
                <w:sz w:val="24"/>
                <w:szCs w:val="24"/>
              </w:rPr>
            </w:pPr>
            <w:r>
              <w:rPr>
                <w:rFonts w:hint="eastAsia"/>
                <w:color w:val="auto"/>
                <w:sz w:val="24"/>
                <w:szCs w:val="24"/>
              </w:rPr>
              <w:t>暴雨强度计算公式如下：</w:t>
            </w:r>
          </w:p>
          <w:p w14:paraId="0FE88A77">
            <w:pPr>
              <w:pStyle w:val="23"/>
              <w:spacing w:before="0" w:after="0" w:line="480" w:lineRule="exact"/>
              <w:ind w:firstLine="480" w:firstLineChars="200"/>
              <w:rPr>
                <w:bCs/>
                <w:color w:val="auto"/>
                <w:sz w:val="24"/>
                <w:szCs w:val="24"/>
              </w:rPr>
            </w:pPr>
            <w:r>
              <w:rPr>
                <w:bCs/>
                <w:color w:val="auto"/>
                <w:sz w:val="24"/>
                <w:szCs w:val="24"/>
              </w:rPr>
              <w:t>V=10qF</w:t>
            </w:r>
          </w:p>
          <w:p w14:paraId="0B3ACDEB">
            <w:pPr>
              <w:pStyle w:val="23"/>
              <w:spacing w:before="0" w:after="0" w:line="480" w:lineRule="exact"/>
              <w:ind w:firstLine="480" w:firstLineChars="200"/>
              <w:rPr>
                <w:bCs/>
                <w:color w:val="auto"/>
                <w:sz w:val="24"/>
                <w:szCs w:val="24"/>
              </w:rPr>
            </w:pPr>
            <w:r>
              <w:rPr>
                <w:bCs/>
                <w:color w:val="auto"/>
                <w:sz w:val="24"/>
                <w:szCs w:val="24"/>
              </w:rPr>
              <w:t>式中：q</w:t>
            </w:r>
            <w:r>
              <w:rPr>
                <w:color w:val="auto"/>
                <w:sz w:val="24"/>
                <w:szCs w:val="24"/>
              </w:rPr>
              <w:t>——</w:t>
            </w:r>
            <w:r>
              <w:rPr>
                <w:bCs/>
                <w:color w:val="auto"/>
                <w:sz w:val="24"/>
                <w:szCs w:val="24"/>
              </w:rPr>
              <w:t>降雨强度，mm；</w:t>
            </w:r>
            <w:r>
              <w:rPr>
                <w:rFonts w:hint="eastAsia"/>
                <w:bCs/>
                <w:color w:val="auto"/>
                <w:sz w:val="24"/>
                <w:szCs w:val="24"/>
              </w:rPr>
              <w:t>年均降雨量</w:t>
            </w:r>
            <w:r>
              <w:rPr>
                <w:bCs/>
                <w:color w:val="auto"/>
                <w:sz w:val="24"/>
                <w:szCs w:val="24"/>
              </w:rPr>
              <w:t>264.4</w:t>
            </w:r>
            <w:r>
              <w:rPr>
                <w:rFonts w:hint="eastAsia"/>
                <w:bCs/>
                <w:color w:val="auto"/>
                <w:sz w:val="24"/>
                <w:szCs w:val="24"/>
              </w:rPr>
              <w:t>mm，降雨天数按7-9月计</w:t>
            </w:r>
            <w:r>
              <w:rPr>
                <w:bCs/>
                <w:color w:val="auto"/>
                <w:sz w:val="24"/>
                <w:szCs w:val="24"/>
              </w:rPr>
              <w:t>；</w:t>
            </w:r>
          </w:p>
          <w:p w14:paraId="3CC4A869">
            <w:pPr>
              <w:pStyle w:val="23"/>
              <w:spacing w:before="0" w:after="0" w:line="480" w:lineRule="exact"/>
              <w:ind w:firstLine="1200" w:firstLineChars="500"/>
              <w:rPr>
                <w:color w:val="auto"/>
                <w:sz w:val="24"/>
                <w:szCs w:val="24"/>
              </w:rPr>
            </w:pPr>
            <w:r>
              <w:rPr>
                <w:rFonts w:hint="eastAsia"/>
                <w:bCs/>
                <w:color w:val="auto"/>
                <w:sz w:val="24"/>
                <w:szCs w:val="24"/>
              </w:rPr>
              <w:t>F</w:t>
            </w:r>
            <w:r>
              <w:rPr>
                <w:color w:val="auto"/>
                <w:sz w:val="24"/>
                <w:szCs w:val="24"/>
              </w:rPr>
              <w:t>——</w:t>
            </w:r>
            <w:r>
              <w:rPr>
                <w:rFonts w:hint="eastAsia"/>
                <w:bCs/>
                <w:color w:val="auto"/>
                <w:sz w:val="24"/>
                <w:szCs w:val="24"/>
              </w:rPr>
              <w:t>项目汇水面积，hm</w:t>
            </w:r>
            <w:r>
              <w:rPr>
                <w:rFonts w:hint="eastAsia"/>
                <w:bCs/>
                <w:color w:val="auto"/>
                <w:sz w:val="24"/>
                <w:szCs w:val="24"/>
                <w:vertAlign w:val="superscript"/>
              </w:rPr>
              <w:t>2</w:t>
            </w:r>
            <w:r>
              <w:rPr>
                <w:rFonts w:hint="eastAsia"/>
                <w:bCs/>
                <w:color w:val="auto"/>
                <w:sz w:val="24"/>
                <w:szCs w:val="24"/>
              </w:rPr>
              <w:t>，取4.36。汇水面积主要为厂区内除车间外露天场地面积</w:t>
            </w:r>
            <w:r>
              <w:rPr>
                <w:rFonts w:hint="eastAsia"/>
                <w:color w:val="auto"/>
                <w:sz w:val="24"/>
                <w:szCs w:val="24"/>
              </w:rPr>
              <w:t>。</w:t>
            </w:r>
          </w:p>
          <w:p w14:paraId="78C71DFB">
            <w:pPr>
              <w:pStyle w:val="23"/>
              <w:spacing w:before="0" w:after="0" w:line="480" w:lineRule="exact"/>
              <w:ind w:firstLine="480" w:firstLineChars="200"/>
              <w:rPr>
                <w:color w:val="auto"/>
                <w:sz w:val="24"/>
                <w:szCs w:val="24"/>
              </w:rPr>
            </w:pPr>
            <w:r>
              <w:rPr>
                <w:rFonts w:hint="eastAsia"/>
                <w:color w:val="auto"/>
                <w:sz w:val="24"/>
                <w:szCs w:val="24"/>
              </w:rPr>
              <w:t>经计算，</w:t>
            </w:r>
            <w:r>
              <w:rPr>
                <w:color w:val="auto"/>
                <w:sz w:val="24"/>
                <w:szCs w:val="24"/>
              </w:rPr>
              <w:t>q=</w:t>
            </w:r>
            <w:r>
              <w:rPr>
                <w:bCs/>
                <w:color w:val="auto"/>
                <w:sz w:val="24"/>
                <w:szCs w:val="24"/>
              </w:rPr>
              <w:t>10×264.4/90×</w:t>
            </w:r>
            <w:r>
              <w:rPr>
                <w:rFonts w:hint="eastAsia"/>
                <w:bCs/>
                <w:color w:val="auto"/>
                <w:sz w:val="24"/>
                <w:szCs w:val="24"/>
              </w:rPr>
              <w:t>4.36</w:t>
            </w:r>
            <w:r>
              <w:rPr>
                <w:bCs/>
                <w:color w:val="auto"/>
                <w:sz w:val="24"/>
                <w:szCs w:val="24"/>
              </w:rPr>
              <w:t>=</w:t>
            </w:r>
            <w:r>
              <w:rPr>
                <w:rFonts w:hint="eastAsia"/>
                <w:bCs/>
                <w:color w:val="auto"/>
                <w:sz w:val="24"/>
                <w:szCs w:val="24"/>
              </w:rPr>
              <w:t>128.1</w:t>
            </w:r>
            <w:r>
              <w:rPr>
                <w:bCs/>
                <w:color w:val="auto"/>
                <w:sz w:val="24"/>
                <w:szCs w:val="24"/>
              </w:rPr>
              <w:t>m</w:t>
            </w:r>
            <w:r>
              <w:rPr>
                <w:bCs/>
                <w:color w:val="auto"/>
                <w:sz w:val="24"/>
                <w:szCs w:val="24"/>
                <w:vertAlign w:val="superscript"/>
              </w:rPr>
              <w:t>3</w:t>
            </w:r>
            <w:r>
              <w:rPr>
                <w:rFonts w:hint="eastAsia"/>
                <w:color w:val="auto"/>
                <w:sz w:val="24"/>
                <w:szCs w:val="24"/>
              </w:rPr>
              <w:t>。项目拟在厂区最低处（西南侧）建设</w:t>
            </w:r>
            <w:r>
              <w:rPr>
                <w:color w:val="auto"/>
                <w:sz w:val="24"/>
                <w:szCs w:val="24"/>
              </w:rPr>
              <w:t>1</w:t>
            </w:r>
            <w:r>
              <w:rPr>
                <w:rFonts w:hint="eastAsia"/>
                <w:color w:val="auto"/>
                <w:sz w:val="24"/>
                <w:szCs w:val="24"/>
              </w:rPr>
              <w:t>座150</w:t>
            </w:r>
            <w:r>
              <w:rPr>
                <w:color w:val="auto"/>
                <w:sz w:val="24"/>
                <w:szCs w:val="24"/>
              </w:rPr>
              <w:t>m</w:t>
            </w:r>
            <w:r>
              <w:rPr>
                <w:color w:val="auto"/>
                <w:sz w:val="24"/>
                <w:szCs w:val="24"/>
                <w:vertAlign w:val="superscript"/>
              </w:rPr>
              <w:t>3</w:t>
            </w:r>
            <w:r>
              <w:rPr>
                <w:rFonts w:hint="eastAsia"/>
                <w:color w:val="auto"/>
                <w:sz w:val="24"/>
                <w:szCs w:val="24"/>
              </w:rPr>
              <w:t>初期雨水池，可以满足本项目厂区内初期雨水收集的要求；收集的雨水经沉淀后回用于厂区空地洒水降尘。</w:t>
            </w:r>
          </w:p>
          <w:p w14:paraId="1F27F8E5">
            <w:pPr>
              <w:spacing w:line="480" w:lineRule="exact"/>
              <w:ind w:firstLine="480" w:firstLineChars="200"/>
              <w:rPr>
                <w:color w:val="auto"/>
                <w:lang w:bidi="ar"/>
              </w:rPr>
            </w:pPr>
            <w:r>
              <w:rPr>
                <w:rFonts w:hint="eastAsia"/>
                <w:color w:val="auto"/>
                <w:lang w:bidi="ar"/>
              </w:rPr>
              <w:t>（5）事故废水</w:t>
            </w:r>
          </w:p>
          <w:p w14:paraId="0633C440">
            <w:pPr>
              <w:spacing w:line="480" w:lineRule="exact"/>
              <w:ind w:firstLine="480" w:firstLineChars="200"/>
              <w:rPr>
                <w:bCs/>
                <w:color w:val="auto"/>
              </w:rPr>
            </w:pPr>
            <w:r>
              <w:rPr>
                <w:bCs/>
                <w:color w:val="auto"/>
              </w:rPr>
              <w:t>事故储存设施总有效容积计算公式为：</w:t>
            </w:r>
          </w:p>
          <w:p w14:paraId="61294314">
            <w:pPr>
              <w:spacing w:line="480" w:lineRule="exact"/>
              <w:jc w:val="center"/>
              <w:rPr>
                <w:bCs/>
                <w:color w:val="auto"/>
              </w:rPr>
            </w:pPr>
            <w:r>
              <w:rPr>
                <w:bCs/>
                <w:color w:val="auto"/>
              </w:rPr>
              <w:t>V</w:t>
            </w:r>
            <w:r>
              <w:rPr>
                <w:bCs/>
                <w:color w:val="auto"/>
                <w:vertAlign w:val="subscript"/>
              </w:rPr>
              <w:t>总</w:t>
            </w:r>
            <w:r>
              <w:rPr>
                <w:bCs/>
                <w:color w:val="auto"/>
              </w:rPr>
              <w:t>=（V</w:t>
            </w:r>
            <w:r>
              <w:rPr>
                <w:bCs/>
                <w:color w:val="auto"/>
                <w:vertAlign w:val="subscript"/>
              </w:rPr>
              <w:t>1</w:t>
            </w:r>
            <w:r>
              <w:rPr>
                <w:bCs/>
                <w:color w:val="auto"/>
              </w:rPr>
              <w:t>+V</w:t>
            </w:r>
            <w:r>
              <w:rPr>
                <w:bCs/>
                <w:color w:val="auto"/>
                <w:vertAlign w:val="subscript"/>
              </w:rPr>
              <w:t>2</w:t>
            </w:r>
            <w:r>
              <w:rPr>
                <w:bCs/>
                <w:color w:val="auto"/>
              </w:rPr>
              <w:t>-V</w:t>
            </w:r>
            <w:r>
              <w:rPr>
                <w:bCs/>
                <w:color w:val="auto"/>
                <w:vertAlign w:val="subscript"/>
              </w:rPr>
              <w:t>3</w:t>
            </w:r>
            <w:r>
              <w:rPr>
                <w:bCs/>
                <w:color w:val="auto"/>
              </w:rPr>
              <w:t>）</w:t>
            </w:r>
            <w:r>
              <w:rPr>
                <w:bCs/>
                <w:color w:val="auto"/>
                <w:vertAlign w:val="subscript"/>
              </w:rPr>
              <w:t>max</w:t>
            </w:r>
            <w:r>
              <w:rPr>
                <w:bCs/>
                <w:color w:val="auto"/>
              </w:rPr>
              <w:t>+V</w:t>
            </w:r>
            <w:r>
              <w:rPr>
                <w:bCs/>
                <w:color w:val="auto"/>
                <w:vertAlign w:val="subscript"/>
              </w:rPr>
              <w:t>4</w:t>
            </w:r>
            <w:r>
              <w:rPr>
                <w:bCs/>
                <w:color w:val="auto"/>
              </w:rPr>
              <w:t>+V</w:t>
            </w:r>
            <w:r>
              <w:rPr>
                <w:bCs/>
                <w:color w:val="auto"/>
                <w:vertAlign w:val="subscript"/>
              </w:rPr>
              <w:t>5</w:t>
            </w:r>
          </w:p>
          <w:p w14:paraId="2C3BCAC6">
            <w:pPr>
              <w:spacing w:line="480" w:lineRule="exact"/>
              <w:ind w:firstLine="480" w:firstLineChars="200"/>
              <w:rPr>
                <w:bCs/>
                <w:color w:val="auto"/>
              </w:rPr>
            </w:pPr>
            <w:r>
              <w:rPr>
                <w:bCs/>
                <w:color w:val="auto"/>
              </w:rPr>
              <w:t>V</w:t>
            </w:r>
            <w:r>
              <w:rPr>
                <w:bCs/>
                <w:color w:val="auto"/>
                <w:vertAlign w:val="subscript"/>
              </w:rPr>
              <w:t>1</w:t>
            </w:r>
            <w:r>
              <w:rPr>
                <w:bCs/>
                <w:color w:val="auto"/>
              </w:rPr>
              <w:t>-收集系统范围内发生事故的一个最大储罐或装置内留存物料量最大的设备的物料量；0m</w:t>
            </w:r>
            <w:r>
              <w:rPr>
                <w:bCs/>
                <w:color w:val="auto"/>
                <w:vertAlign w:val="superscript"/>
              </w:rPr>
              <w:t>3</w:t>
            </w:r>
            <w:r>
              <w:rPr>
                <w:bCs/>
                <w:color w:val="auto"/>
              </w:rPr>
              <w:t>；</w:t>
            </w:r>
          </w:p>
          <w:p w14:paraId="66027F50">
            <w:pPr>
              <w:spacing w:line="480" w:lineRule="exact"/>
              <w:ind w:firstLine="480" w:firstLineChars="200"/>
              <w:rPr>
                <w:bCs/>
                <w:color w:val="auto"/>
              </w:rPr>
            </w:pPr>
            <w:r>
              <w:rPr>
                <w:bCs/>
                <w:color w:val="auto"/>
              </w:rPr>
              <w:t>V</w:t>
            </w:r>
            <w:r>
              <w:rPr>
                <w:bCs/>
                <w:color w:val="auto"/>
                <w:vertAlign w:val="subscript"/>
              </w:rPr>
              <w:t>2</w:t>
            </w:r>
            <w:r>
              <w:rPr>
                <w:bCs/>
                <w:color w:val="auto"/>
              </w:rPr>
              <w:t>-发生事故的储罐或装置的消防水量，m</w:t>
            </w:r>
            <w:r>
              <w:rPr>
                <w:bCs/>
                <w:color w:val="auto"/>
                <w:vertAlign w:val="superscript"/>
              </w:rPr>
              <w:t>3</w:t>
            </w:r>
            <w:r>
              <w:rPr>
                <w:bCs/>
                <w:color w:val="auto"/>
              </w:rPr>
              <w:t>；V</w:t>
            </w:r>
            <w:r>
              <w:rPr>
                <w:bCs/>
                <w:color w:val="auto"/>
                <w:vertAlign w:val="subscript"/>
              </w:rPr>
              <w:t>2</w:t>
            </w:r>
            <w:r>
              <w:rPr>
                <w:bCs/>
                <w:color w:val="auto"/>
              </w:rPr>
              <w:t>=∑Q</w:t>
            </w:r>
            <w:r>
              <w:rPr>
                <w:bCs/>
                <w:color w:val="auto"/>
                <w:vertAlign w:val="subscript"/>
              </w:rPr>
              <w:t>消</w:t>
            </w:r>
            <w:r>
              <w:rPr>
                <w:bCs/>
                <w:color w:val="auto"/>
              </w:rPr>
              <w:t>t</w:t>
            </w:r>
            <w:r>
              <w:rPr>
                <w:bCs/>
                <w:color w:val="auto"/>
                <w:vertAlign w:val="subscript"/>
              </w:rPr>
              <w:t>消</w:t>
            </w:r>
            <w:r>
              <w:rPr>
                <w:bCs/>
                <w:color w:val="auto"/>
              </w:rPr>
              <w:t>；</w:t>
            </w:r>
            <w:r>
              <w:rPr>
                <w:rFonts w:hint="eastAsia"/>
                <w:bCs/>
                <w:color w:val="auto"/>
              </w:rPr>
              <w:t>根据《消防给水及消火栓系统技术规范》（GB50974-2014），室内</w:t>
            </w:r>
            <w:r>
              <w:rPr>
                <w:bCs/>
                <w:color w:val="auto"/>
              </w:rPr>
              <w:t>消防用水量</w:t>
            </w:r>
            <w:r>
              <w:rPr>
                <w:rFonts w:hint="eastAsia"/>
                <w:bCs/>
                <w:color w:val="auto"/>
              </w:rPr>
              <w:t>为15</w:t>
            </w:r>
            <w:r>
              <w:rPr>
                <w:bCs/>
                <w:color w:val="auto"/>
              </w:rPr>
              <w:t>L/s</w:t>
            </w:r>
            <w:r>
              <w:rPr>
                <w:rFonts w:hint="eastAsia"/>
                <w:bCs/>
                <w:color w:val="auto"/>
              </w:rPr>
              <w:t>、室外消防用水量为20</w:t>
            </w:r>
            <w:r>
              <w:rPr>
                <w:bCs/>
                <w:color w:val="auto"/>
              </w:rPr>
              <w:t>L/s，</w:t>
            </w:r>
            <w:r>
              <w:rPr>
                <w:rFonts w:hint="eastAsia"/>
                <w:bCs/>
                <w:color w:val="auto"/>
              </w:rPr>
              <w:t>灭火</w:t>
            </w:r>
            <w:r>
              <w:rPr>
                <w:bCs/>
                <w:color w:val="auto"/>
              </w:rPr>
              <w:t>时间按2h计。最大消防用水量144m³，即V</w:t>
            </w:r>
            <w:r>
              <w:rPr>
                <w:bCs/>
                <w:color w:val="auto"/>
                <w:vertAlign w:val="subscript"/>
              </w:rPr>
              <w:t>2</w:t>
            </w:r>
            <w:r>
              <w:rPr>
                <w:bCs/>
                <w:color w:val="auto"/>
              </w:rPr>
              <w:t>=</w:t>
            </w:r>
            <w:r>
              <w:rPr>
                <w:rFonts w:hint="eastAsia"/>
                <w:bCs/>
                <w:color w:val="auto"/>
              </w:rPr>
              <w:t>252</w:t>
            </w:r>
            <w:r>
              <w:rPr>
                <w:bCs/>
                <w:color w:val="auto"/>
              </w:rPr>
              <w:t>m³</w:t>
            </w:r>
          </w:p>
          <w:p w14:paraId="19FD60DC">
            <w:pPr>
              <w:spacing w:line="480" w:lineRule="exact"/>
              <w:ind w:firstLine="480" w:firstLineChars="200"/>
              <w:rPr>
                <w:bCs/>
                <w:color w:val="auto"/>
              </w:rPr>
            </w:pPr>
            <w:r>
              <w:rPr>
                <w:bCs/>
                <w:color w:val="auto"/>
              </w:rPr>
              <w:t>V</w:t>
            </w:r>
            <w:r>
              <w:rPr>
                <w:bCs/>
                <w:color w:val="auto"/>
                <w:vertAlign w:val="subscript"/>
              </w:rPr>
              <w:t>3</w:t>
            </w:r>
            <w:r>
              <w:rPr>
                <w:bCs/>
                <w:color w:val="auto"/>
              </w:rPr>
              <w:t>-发生事故时可以传输到其他储存或处理设施的物料量，0m</w:t>
            </w:r>
            <w:r>
              <w:rPr>
                <w:bCs/>
                <w:color w:val="auto"/>
                <w:vertAlign w:val="superscript"/>
              </w:rPr>
              <w:t>3</w:t>
            </w:r>
            <w:r>
              <w:rPr>
                <w:bCs/>
                <w:color w:val="auto"/>
              </w:rPr>
              <w:t>；</w:t>
            </w:r>
          </w:p>
          <w:p w14:paraId="54E9D017">
            <w:pPr>
              <w:spacing w:line="480" w:lineRule="exact"/>
              <w:ind w:firstLine="480" w:firstLineChars="200"/>
              <w:rPr>
                <w:bCs/>
                <w:color w:val="auto"/>
              </w:rPr>
            </w:pPr>
            <w:r>
              <w:rPr>
                <w:bCs/>
                <w:color w:val="auto"/>
              </w:rPr>
              <w:t>V</w:t>
            </w:r>
            <w:r>
              <w:rPr>
                <w:bCs/>
                <w:color w:val="auto"/>
                <w:vertAlign w:val="subscript"/>
              </w:rPr>
              <w:t>4</w:t>
            </w:r>
            <w:r>
              <w:rPr>
                <w:bCs/>
                <w:color w:val="auto"/>
              </w:rPr>
              <w:t>-发生事故时仍必须进入该收集系统的生产废水量，0m</w:t>
            </w:r>
            <w:r>
              <w:rPr>
                <w:bCs/>
                <w:color w:val="auto"/>
                <w:vertAlign w:val="superscript"/>
              </w:rPr>
              <w:t>3</w:t>
            </w:r>
            <w:r>
              <w:rPr>
                <w:bCs/>
                <w:color w:val="auto"/>
              </w:rPr>
              <w:t>；</w:t>
            </w:r>
          </w:p>
          <w:p w14:paraId="1C70FDA9">
            <w:pPr>
              <w:spacing w:line="480" w:lineRule="exact"/>
              <w:ind w:firstLine="480" w:firstLineChars="200"/>
              <w:rPr>
                <w:bCs/>
                <w:color w:val="auto"/>
              </w:rPr>
            </w:pPr>
            <w:r>
              <w:rPr>
                <w:bCs/>
                <w:color w:val="auto"/>
              </w:rPr>
              <w:t>V</w:t>
            </w:r>
            <w:r>
              <w:rPr>
                <w:bCs/>
                <w:color w:val="auto"/>
                <w:vertAlign w:val="subscript"/>
              </w:rPr>
              <w:t>5</w:t>
            </w:r>
            <w:r>
              <w:rPr>
                <w:bCs/>
                <w:color w:val="auto"/>
              </w:rPr>
              <w:t>-发生事故时可能进入该收集系统的降雨量，m</w:t>
            </w:r>
            <w:r>
              <w:rPr>
                <w:bCs/>
                <w:color w:val="auto"/>
                <w:vertAlign w:val="superscript"/>
              </w:rPr>
              <w:t>3</w:t>
            </w:r>
            <w:r>
              <w:rPr>
                <w:bCs/>
                <w:color w:val="auto"/>
              </w:rPr>
              <w:t>；</w:t>
            </w:r>
            <w:r>
              <w:rPr>
                <w:rFonts w:hint="eastAsia"/>
                <w:bCs/>
                <w:color w:val="auto"/>
              </w:rPr>
              <w:t>128.1</w:t>
            </w:r>
            <w:r>
              <w:rPr>
                <w:bCs/>
                <w:color w:val="auto"/>
              </w:rPr>
              <w:t>m</w:t>
            </w:r>
            <w:r>
              <w:rPr>
                <w:bCs/>
                <w:color w:val="auto"/>
                <w:vertAlign w:val="superscript"/>
              </w:rPr>
              <w:t>3</w:t>
            </w:r>
            <w:r>
              <w:rPr>
                <w:rFonts w:hint="eastAsia"/>
                <w:bCs/>
                <w:color w:val="auto"/>
              </w:rPr>
              <w:t>。</w:t>
            </w:r>
          </w:p>
          <w:p w14:paraId="51308236">
            <w:pPr>
              <w:spacing w:line="480" w:lineRule="exact"/>
              <w:ind w:firstLine="480" w:firstLineChars="200"/>
              <w:rPr>
                <w:bCs/>
                <w:color w:val="auto"/>
              </w:rPr>
            </w:pPr>
            <w:r>
              <w:rPr>
                <w:bCs/>
                <w:color w:val="auto"/>
              </w:rPr>
              <w:t>V</w:t>
            </w:r>
            <w:r>
              <w:rPr>
                <w:bCs/>
                <w:color w:val="auto"/>
                <w:vertAlign w:val="subscript"/>
              </w:rPr>
              <w:t>总</w:t>
            </w:r>
            <w:r>
              <w:rPr>
                <w:bCs/>
                <w:color w:val="auto"/>
              </w:rPr>
              <w:t>=0+</w:t>
            </w:r>
            <w:r>
              <w:rPr>
                <w:rFonts w:hint="eastAsia"/>
                <w:bCs/>
                <w:color w:val="auto"/>
              </w:rPr>
              <w:t>252</w:t>
            </w:r>
            <w:r>
              <w:rPr>
                <w:bCs/>
                <w:color w:val="auto"/>
              </w:rPr>
              <w:t>-0+0+</w:t>
            </w:r>
            <w:r>
              <w:rPr>
                <w:rFonts w:hint="eastAsia"/>
                <w:bCs/>
                <w:color w:val="auto"/>
              </w:rPr>
              <w:t>128.1</w:t>
            </w:r>
            <w:r>
              <w:rPr>
                <w:bCs/>
                <w:color w:val="auto"/>
              </w:rPr>
              <w:t>=</w:t>
            </w:r>
            <w:r>
              <w:rPr>
                <w:rFonts w:hint="eastAsia"/>
                <w:bCs/>
                <w:color w:val="auto"/>
              </w:rPr>
              <w:t>380.1</w:t>
            </w:r>
            <w:r>
              <w:rPr>
                <w:bCs/>
                <w:color w:val="auto"/>
              </w:rPr>
              <w:t>m</w:t>
            </w:r>
            <w:r>
              <w:rPr>
                <w:bCs/>
                <w:color w:val="auto"/>
                <w:vertAlign w:val="superscript"/>
              </w:rPr>
              <w:t>3</w:t>
            </w:r>
          </w:p>
          <w:p w14:paraId="280E2671">
            <w:pPr>
              <w:spacing w:line="480" w:lineRule="exact"/>
              <w:ind w:firstLine="480" w:firstLineChars="200"/>
              <w:rPr>
                <w:b/>
                <w:bCs/>
                <w:color w:val="auto"/>
                <w:lang w:bidi="ar"/>
              </w:rPr>
            </w:pPr>
            <w:r>
              <w:rPr>
                <w:rFonts w:hint="eastAsia"/>
                <w:color w:val="auto"/>
                <w:lang w:bidi="ar"/>
              </w:rPr>
              <w:t>项目拟在厂区最低处（西南侧）设置1座400m</w:t>
            </w:r>
            <w:r>
              <w:rPr>
                <w:rFonts w:hint="eastAsia"/>
                <w:color w:val="auto"/>
                <w:vertAlign w:val="superscript"/>
                <w:lang w:bidi="ar"/>
              </w:rPr>
              <w:t>3</w:t>
            </w:r>
            <w:r>
              <w:rPr>
                <w:rFonts w:hint="eastAsia"/>
                <w:color w:val="auto"/>
                <w:lang w:bidi="ar"/>
              </w:rPr>
              <w:t>事故水池，可</w:t>
            </w:r>
            <w:r>
              <w:rPr>
                <w:bCs/>
                <w:color w:val="auto"/>
              </w:rPr>
              <w:t>满足本项目事故废水的</w:t>
            </w:r>
            <w:r>
              <w:rPr>
                <w:rFonts w:hint="eastAsia"/>
                <w:bCs/>
                <w:color w:val="auto"/>
              </w:rPr>
              <w:t>收集</w:t>
            </w:r>
            <w:r>
              <w:rPr>
                <w:bCs/>
                <w:color w:val="auto"/>
              </w:rPr>
              <w:t>。</w:t>
            </w:r>
          </w:p>
          <w:p w14:paraId="0B2899B9">
            <w:pPr>
              <w:spacing w:line="480" w:lineRule="exact"/>
              <w:ind w:firstLine="482" w:firstLineChars="200"/>
              <w:rPr>
                <w:rFonts w:hint="default"/>
                <w:b/>
                <w:bCs/>
                <w:color w:val="0000FF"/>
                <w:lang w:val="en-US" w:bidi="ar"/>
              </w:rPr>
            </w:pPr>
            <w:r>
              <w:rPr>
                <w:rFonts w:hint="eastAsia"/>
                <w:b/>
                <w:bCs/>
                <w:color w:val="0000FF"/>
                <w:lang w:val="en-US" w:eastAsia="zh-CN"/>
              </w:rPr>
              <w:t>2.2废水污染监测计划</w:t>
            </w:r>
          </w:p>
          <w:p w14:paraId="57C6B99D">
            <w:pPr>
              <w:spacing w:line="480" w:lineRule="exact"/>
              <w:ind w:firstLine="480" w:firstLineChars="200"/>
              <w:rPr>
                <w:rFonts w:hint="eastAsia"/>
                <w:b/>
                <w:bCs/>
                <w:color w:val="0000FF"/>
                <w:lang w:bidi="ar"/>
              </w:rPr>
            </w:pPr>
            <w:r>
              <w:rPr>
                <w:rFonts w:ascii="Times New Roman" w:hAnsi="Times New Roman" w:eastAsia="宋体"/>
                <w:color w:val="0000FF"/>
                <w:szCs w:val="24"/>
                <w:lang w:bidi="ar"/>
              </w:rPr>
              <w:t>依据《排污单位自行监测技术指南  总则》（HJ819-2017），监测要求见下表。</w:t>
            </w:r>
          </w:p>
          <w:p w14:paraId="7D75FB4C">
            <w:pPr>
              <w:spacing w:line="480" w:lineRule="exact"/>
              <w:ind w:firstLine="1687" w:firstLineChars="700"/>
              <w:rPr>
                <w:rFonts w:hint="eastAsia"/>
                <w:b/>
                <w:bCs/>
                <w:color w:val="0000FF"/>
                <w:lang w:bidi="ar"/>
              </w:rPr>
            </w:pPr>
            <w:r>
              <w:rPr>
                <w:b/>
                <w:bCs/>
                <w:color w:val="0000FF"/>
              </w:rPr>
              <w:t>表</w:t>
            </w:r>
            <w:r>
              <w:rPr>
                <w:rFonts w:hint="eastAsia"/>
                <w:b/>
                <w:bCs/>
                <w:color w:val="0000FF"/>
              </w:rPr>
              <w:t>4-</w:t>
            </w:r>
            <w:r>
              <w:rPr>
                <w:rFonts w:hint="eastAsia"/>
                <w:b/>
                <w:bCs/>
                <w:color w:val="0000FF"/>
                <w:lang w:val="en-US" w:eastAsia="zh-CN"/>
              </w:rPr>
              <w:t>8</w:t>
            </w:r>
            <w:r>
              <w:rPr>
                <w:rFonts w:hint="eastAsia"/>
                <w:b/>
                <w:bCs/>
                <w:color w:val="0000FF"/>
              </w:rPr>
              <w:t xml:space="preserve">    </w:t>
            </w:r>
            <w:r>
              <w:rPr>
                <w:rFonts w:hint="eastAsia"/>
                <w:b/>
                <w:bCs/>
                <w:color w:val="0000FF"/>
                <w:lang w:val="en-US" w:eastAsia="zh-CN"/>
              </w:rPr>
              <w:t>废水污染监测计划</w:t>
            </w:r>
            <w:r>
              <w:rPr>
                <w:b/>
                <w:bCs/>
                <w:color w:val="0000FF"/>
              </w:rPr>
              <w:t>一览表</w:t>
            </w:r>
          </w:p>
          <w:tbl>
            <w:tblPr>
              <w:tblStyle w:val="107"/>
              <w:tblW w:w="496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058"/>
              <w:gridCol w:w="1274"/>
              <w:gridCol w:w="1906"/>
              <w:gridCol w:w="865"/>
              <w:gridCol w:w="2562"/>
            </w:tblGrid>
            <w:tr w14:paraId="457AD4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2" w:type="pct"/>
                  <w:tcBorders>
                    <w:top w:val="single" w:color="auto" w:sz="6" w:space="0"/>
                    <w:left w:val="single" w:color="auto" w:sz="6" w:space="0"/>
                    <w:bottom w:val="single" w:color="auto" w:sz="6" w:space="0"/>
                    <w:right w:val="single" w:color="auto" w:sz="6" w:space="0"/>
                  </w:tcBorders>
                  <w:noWrap w:val="0"/>
                  <w:vAlign w:val="center"/>
                </w:tcPr>
                <w:p w14:paraId="7B8B53BF">
                  <w:pPr>
                    <w:pStyle w:val="62"/>
                    <w:autoSpaceDE/>
                    <w:autoSpaceDN/>
                    <w:spacing w:line="320" w:lineRule="exact"/>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eastAsia="zh-CN"/>
                    </w:rPr>
                    <w:t>项目</w:t>
                  </w:r>
                </w:p>
              </w:tc>
              <w:tc>
                <w:tcPr>
                  <w:tcW w:w="638" w:type="pct"/>
                  <w:tcBorders>
                    <w:top w:val="single" w:color="auto" w:sz="6" w:space="0"/>
                    <w:left w:val="single" w:color="auto" w:sz="6" w:space="0"/>
                    <w:bottom w:val="single" w:color="auto" w:sz="6" w:space="0"/>
                    <w:right w:val="single" w:color="auto" w:sz="6" w:space="0"/>
                  </w:tcBorders>
                  <w:noWrap w:val="0"/>
                  <w:vAlign w:val="center"/>
                </w:tcPr>
                <w:p w14:paraId="02B8AB6B">
                  <w:pPr>
                    <w:pStyle w:val="62"/>
                    <w:autoSpaceDE/>
                    <w:autoSpaceDN/>
                    <w:spacing w:line="320" w:lineRule="exact"/>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eastAsia="zh-CN"/>
                    </w:rPr>
                    <w:t>污染源</w:t>
                  </w:r>
                </w:p>
                <w:p w14:paraId="1364802D">
                  <w:pPr>
                    <w:pStyle w:val="62"/>
                    <w:autoSpaceDE/>
                    <w:autoSpaceDN/>
                    <w:spacing w:line="320" w:lineRule="exact"/>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eastAsia="zh-CN"/>
                    </w:rPr>
                    <w:t>名称</w:t>
                  </w:r>
                </w:p>
              </w:tc>
              <w:tc>
                <w:tcPr>
                  <w:tcW w:w="769" w:type="pct"/>
                  <w:tcBorders>
                    <w:top w:val="single" w:color="auto" w:sz="6" w:space="0"/>
                    <w:left w:val="single" w:color="auto" w:sz="6" w:space="0"/>
                    <w:bottom w:val="single" w:color="auto" w:sz="6" w:space="0"/>
                    <w:right w:val="single" w:color="auto" w:sz="6" w:space="0"/>
                  </w:tcBorders>
                  <w:noWrap w:val="0"/>
                  <w:vAlign w:val="center"/>
                </w:tcPr>
                <w:p w14:paraId="5B40690F">
                  <w:pPr>
                    <w:pStyle w:val="62"/>
                    <w:autoSpaceDE/>
                    <w:autoSpaceDN/>
                    <w:spacing w:line="320" w:lineRule="exact"/>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eastAsia="zh-CN"/>
                    </w:rPr>
                    <w:t>监测</w:t>
                  </w:r>
                </w:p>
                <w:p w14:paraId="25BCF8DA">
                  <w:pPr>
                    <w:pStyle w:val="62"/>
                    <w:autoSpaceDE/>
                    <w:autoSpaceDN/>
                    <w:spacing w:line="320" w:lineRule="exact"/>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eastAsia="zh-CN"/>
                    </w:rPr>
                    <w:t>位置</w:t>
                  </w:r>
                </w:p>
              </w:tc>
              <w:tc>
                <w:tcPr>
                  <w:tcW w:w="1150" w:type="pct"/>
                  <w:tcBorders>
                    <w:top w:val="single" w:color="auto" w:sz="6" w:space="0"/>
                    <w:left w:val="single" w:color="auto" w:sz="6" w:space="0"/>
                    <w:bottom w:val="single" w:color="auto" w:sz="6" w:space="0"/>
                    <w:right w:val="single" w:color="auto" w:sz="6" w:space="0"/>
                  </w:tcBorders>
                  <w:noWrap w:val="0"/>
                  <w:vAlign w:val="center"/>
                </w:tcPr>
                <w:p w14:paraId="5C10F63A">
                  <w:pPr>
                    <w:pStyle w:val="62"/>
                    <w:autoSpaceDE/>
                    <w:autoSpaceDN/>
                    <w:spacing w:line="320" w:lineRule="exact"/>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eastAsia="zh-CN"/>
                    </w:rPr>
                    <w:t>监测项目</w:t>
                  </w:r>
                </w:p>
              </w:tc>
              <w:tc>
                <w:tcPr>
                  <w:tcW w:w="522" w:type="pct"/>
                  <w:tcBorders>
                    <w:top w:val="single" w:color="auto" w:sz="6" w:space="0"/>
                    <w:left w:val="single" w:color="auto" w:sz="6" w:space="0"/>
                    <w:bottom w:val="single" w:color="auto" w:sz="6" w:space="0"/>
                    <w:right w:val="single" w:color="auto" w:sz="6" w:space="0"/>
                  </w:tcBorders>
                  <w:noWrap w:val="0"/>
                  <w:vAlign w:val="center"/>
                </w:tcPr>
                <w:p w14:paraId="158CB624">
                  <w:pPr>
                    <w:pStyle w:val="62"/>
                    <w:autoSpaceDE/>
                    <w:autoSpaceDN/>
                    <w:spacing w:line="320" w:lineRule="exact"/>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eastAsia="zh-CN"/>
                    </w:rPr>
                    <w:t>监测</w:t>
                  </w:r>
                </w:p>
                <w:p w14:paraId="160F480E">
                  <w:pPr>
                    <w:pStyle w:val="62"/>
                    <w:autoSpaceDE/>
                    <w:autoSpaceDN/>
                    <w:spacing w:line="320" w:lineRule="exact"/>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eastAsia="zh-CN"/>
                    </w:rPr>
                    <w:t>频次</w:t>
                  </w:r>
                </w:p>
              </w:tc>
              <w:tc>
                <w:tcPr>
                  <w:tcW w:w="1546" w:type="pct"/>
                  <w:tcBorders>
                    <w:top w:val="single" w:color="auto" w:sz="6" w:space="0"/>
                    <w:left w:val="single" w:color="auto" w:sz="6" w:space="0"/>
                    <w:bottom w:val="single" w:color="auto" w:sz="6" w:space="0"/>
                    <w:right w:val="single" w:color="auto" w:sz="6" w:space="0"/>
                  </w:tcBorders>
                  <w:noWrap w:val="0"/>
                  <w:vAlign w:val="center"/>
                </w:tcPr>
                <w:p w14:paraId="18D2D735">
                  <w:pPr>
                    <w:pStyle w:val="62"/>
                    <w:autoSpaceDE/>
                    <w:autoSpaceDN/>
                    <w:spacing w:line="320" w:lineRule="exact"/>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eastAsia="zh-CN"/>
                    </w:rPr>
                    <w:t>执行标准</w:t>
                  </w:r>
                </w:p>
              </w:tc>
            </w:tr>
            <w:tr w14:paraId="7D7401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2" w:type="pct"/>
                  <w:tcBorders>
                    <w:top w:val="single" w:color="auto" w:sz="6" w:space="0"/>
                    <w:left w:val="single" w:color="auto" w:sz="6" w:space="0"/>
                    <w:bottom w:val="single" w:color="auto" w:sz="6" w:space="0"/>
                    <w:right w:val="single" w:color="auto" w:sz="6" w:space="0"/>
                  </w:tcBorders>
                  <w:noWrap w:val="0"/>
                  <w:vAlign w:val="center"/>
                </w:tcPr>
                <w:p w14:paraId="3EED0EFB">
                  <w:pPr>
                    <w:pStyle w:val="62"/>
                    <w:autoSpaceDE/>
                    <w:autoSpaceDN/>
                    <w:spacing w:line="320" w:lineRule="exact"/>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eastAsia="zh-CN"/>
                    </w:rPr>
                    <w:t>废水</w:t>
                  </w:r>
                </w:p>
              </w:tc>
              <w:tc>
                <w:tcPr>
                  <w:tcW w:w="638" w:type="pct"/>
                  <w:tcBorders>
                    <w:top w:val="single" w:color="auto" w:sz="6" w:space="0"/>
                    <w:left w:val="single" w:color="auto" w:sz="6" w:space="0"/>
                    <w:bottom w:val="single" w:color="auto" w:sz="6" w:space="0"/>
                    <w:right w:val="single" w:color="auto" w:sz="6" w:space="0"/>
                  </w:tcBorders>
                  <w:noWrap w:val="0"/>
                  <w:vAlign w:val="center"/>
                </w:tcPr>
                <w:p w14:paraId="58F8C03A">
                  <w:pPr>
                    <w:pStyle w:val="62"/>
                    <w:autoSpaceDE/>
                    <w:autoSpaceDN/>
                    <w:spacing w:line="320" w:lineRule="exact"/>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eastAsia="zh-CN"/>
                    </w:rPr>
                    <w:t>生产废水</w:t>
                  </w:r>
                </w:p>
              </w:tc>
              <w:tc>
                <w:tcPr>
                  <w:tcW w:w="769" w:type="pct"/>
                  <w:tcBorders>
                    <w:top w:val="single" w:color="auto" w:sz="6" w:space="0"/>
                    <w:left w:val="single" w:color="auto" w:sz="6" w:space="0"/>
                    <w:bottom w:val="single" w:color="auto" w:sz="6" w:space="0"/>
                    <w:right w:val="single" w:color="auto" w:sz="6" w:space="0"/>
                  </w:tcBorders>
                  <w:noWrap w:val="0"/>
                  <w:vAlign w:val="center"/>
                </w:tcPr>
                <w:p w14:paraId="77C0A5A1">
                  <w:pPr>
                    <w:pStyle w:val="62"/>
                    <w:autoSpaceDE/>
                    <w:autoSpaceDN/>
                    <w:spacing w:line="320" w:lineRule="exact"/>
                    <w:rPr>
                      <w:rFonts w:hint="default" w:ascii="Times New Roman" w:hAnsi="Times New Roman" w:eastAsia="宋体" w:cs="Times New Roman"/>
                      <w:color w:val="0000FF"/>
                      <w:sz w:val="21"/>
                      <w:szCs w:val="21"/>
                      <w:lang w:val="en-US" w:eastAsia="zh-CN"/>
                    </w:rPr>
                  </w:pPr>
                  <w:r>
                    <w:rPr>
                      <w:rFonts w:hint="default" w:ascii="Times New Roman" w:hAnsi="Times New Roman" w:eastAsia="宋体" w:cs="Times New Roman"/>
                      <w:color w:val="0000FF"/>
                      <w:sz w:val="21"/>
                      <w:szCs w:val="21"/>
                      <w:lang w:val="en-US" w:eastAsia="zh-CN"/>
                    </w:rPr>
                    <w:t>污水处理设施进、出口</w:t>
                  </w:r>
                </w:p>
              </w:tc>
              <w:tc>
                <w:tcPr>
                  <w:tcW w:w="1150" w:type="pct"/>
                  <w:tcBorders>
                    <w:top w:val="single" w:color="auto" w:sz="6" w:space="0"/>
                    <w:left w:val="single" w:color="auto" w:sz="6" w:space="0"/>
                    <w:bottom w:val="single" w:color="auto" w:sz="6" w:space="0"/>
                    <w:right w:val="single" w:color="auto" w:sz="6" w:space="0"/>
                  </w:tcBorders>
                  <w:noWrap w:val="0"/>
                  <w:vAlign w:val="center"/>
                </w:tcPr>
                <w:p w14:paraId="27A5B8E8">
                  <w:pPr>
                    <w:pStyle w:val="62"/>
                    <w:autoSpaceDE/>
                    <w:autoSpaceDN/>
                    <w:spacing w:line="320" w:lineRule="exact"/>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sz w:val="21"/>
                      <w:szCs w:val="21"/>
                      <w:lang w:val="en-US" w:eastAsia="zh-CN"/>
                    </w:rPr>
                    <w:t>pH、</w:t>
                  </w:r>
                  <w:r>
                    <w:rPr>
                      <w:rFonts w:hint="default" w:ascii="Times New Roman" w:hAnsi="Times New Roman" w:eastAsia="宋体" w:cs="Times New Roman"/>
                      <w:color w:val="0000FF"/>
                      <w:sz w:val="21"/>
                      <w:szCs w:val="21"/>
                      <w:lang w:eastAsia="zh-CN"/>
                    </w:rPr>
                    <w:t>COD、BOD</w:t>
                  </w:r>
                  <w:r>
                    <w:rPr>
                      <w:rFonts w:hint="default" w:ascii="Times New Roman" w:hAnsi="Times New Roman" w:eastAsia="宋体" w:cs="Times New Roman"/>
                      <w:color w:val="0000FF"/>
                      <w:sz w:val="21"/>
                      <w:szCs w:val="21"/>
                      <w:vertAlign w:val="subscript"/>
                      <w:lang w:eastAsia="zh-CN"/>
                    </w:rPr>
                    <w:t>5</w:t>
                  </w:r>
                  <w:r>
                    <w:rPr>
                      <w:rFonts w:hint="default" w:ascii="Times New Roman" w:hAnsi="Times New Roman" w:eastAsia="宋体" w:cs="Times New Roman"/>
                      <w:color w:val="0000FF"/>
                      <w:sz w:val="21"/>
                      <w:szCs w:val="21"/>
                      <w:lang w:eastAsia="zh-CN"/>
                    </w:rPr>
                    <w:t>、SS、石油类、</w:t>
                  </w:r>
                  <w:r>
                    <w:rPr>
                      <w:rFonts w:hint="default" w:ascii="Times New Roman" w:hAnsi="Times New Roman" w:eastAsia="宋体" w:cs="Times New Roman"/>
                      <w:color w:val="0000FF"/>
                      <w:sz w:val="21"/>
                      <w:szCs w:val="21"/>
                      <w:lang w:val="en-US" w:eastAsia="zh-CN"/>
                    </w:rPr>
                    <w:t>锌、铅、LAS</w:t>
                  </w:r>
                </w:p>
              </w:tc>
              <w:tc>
                <w:tcPr>
                  <w:tcW w:w="522" w:type="pct"/>
                  <w:tcBorders>
                    <w:top w:val="single" w:color="auto" w:sz="6" w:space="0"/>
                    <w:left w:val="single" w:color="auto" w:sz="6" w:space="0"/>
                    <w:bottom w:val="single" w:color="auto" w:sz="6" w:space="0"/>
                    <w:right w:val="single" w:color="auto" w:sz="6" w:space="0"/>
                  </w:tcBorders>
                  <w:noWrap w:val="0"/>
                  <w:vAlign w:val="center"/>
                </w:tcPr>
                <w:p w14:paraId="2F0DD27D">
                  <w:pPr>
                    <w:pStyle w:val="62"/>
                    <w:autoSpaceDE/>
                    <w:autoSpaceDN/>
                    <w:spacing w:line="320" w:lineRule="exact"/>
                    <w:rPr>
                      <w:rFonts w:hint="default" w:ascii="Times New Roman" w:hAnsi="Times New Roman" w:eastAsia="宋体" w:cs="Times New Roman"/>
                      <w:color w:val="0000FF"/>
                      <w:sz w:val="21"/>
                      <w:szCs w:val="21"/>
                      <w:lang w:val="en-US" w:eastAsia="zh-CN"/>
                    </w:rPr>
                  </w:pPr>
                  <w:r>
                    <w:rPr>
                      <w:rFonts w:hint="default" w:ascii="Times New Roman" w:hAnsi="Times New Roman" w:eastAsia="宋体" w:cs="Times New Roman"/>
                      <w:color w:val="0000FF"/>
                      <w:sz w:val="21"/>
                      <w:szCs w:val="21"/>
                      <w:lang w:eastAsia="zh-CN"/>
                    </w:rPr>
                    <w:t>1次</w:t>
                  </w:r>
                  <w:r>
                    <w:rPr>
                      <w:rFonts w:hint="default" w:ascii="Times New Roman" w:hAnsi="Times New Roman" w:eastAsia="宋体" w:cs="Times New Roman"/>
                      <w:color w:val="0000FF"/>
                      <w:sz w:val="21"/>
                      <w:szCs w:val="21"/>
                      <w:lang w:val="en-US" w:eastAsia="zh-CN"/>
                    </w:rPr>
                    <w:t>/季</w:t>
                  </w:r>
                </w:p>
                <w:p w14:paraId="326E7BA9">
                  <w:pPr>
                    <w:pStyle w:val="62"/>
                    <w:autoSpaceDE/>
                    <w:autoSpaceDN/>
                    <w:spacing w:line="320" w:lineRule="exact"/>
                    <w:rPr>
                      <w:rFonts w:hint="default" w:ascii="Times New Roman" w:hAnsi="Times New Roman" w:eastAsia="宋体" w:cs="Times New Roman"/>
                      <w:color w:val="0000FF"/>
                      <w:sz w:val="21"/>
                      <w:szCs w:val="21"/>
                      <w:lang w:val="en-US" w:eastAsia="zh-CN"/>
                    </w:rPr>
                  </w:pPr>
                  <w:r>
                    <w:rPr>
                      <w:rFonts w:hint="eastAsia" w:ascii="Times New Roman" w:hAnsi="Times New Roman" w:eastAsia="宋体" w:cs="Times New Roman"/>
                      <w:color w:val="0000FF"/>
                      <w:sz w:val="21"/>
                      <w:szCs w:val="21"/>
                      <w:lang w:val="en-US" w:eastAsia="zh-CN"/>
                    </w:rPr>
                    <w:t>度</w:t>
                  </w:r>
                </w:p>
              </w:tc>
              <w:tc>
                <w:tcPr>
                  <w:tcW w:w="1546" w:type="pct"/>
                  <w:tcBorders>
                    <w:top w:val="single" w:color="auto" w:sz="6" w:space="0"/>
                    <w:left w:val="single" w:color="auto" w:sz="6" w:space="0"/>
                    <w:bottom w:val="single" w:color="auto" w:sz="6" w:space="0"/>
                    <w:right w:val="single" w:color="auto" w:sz="6" w:space="0"/>
                  </w:tcBorders>
                  <w:noWrap w:val="0"/>
                  <w:vAlign w:val="center"/>
                </w:tcPr>
                <w:p w14:paraId="00080D47">
                  <w:pPr>
                    <w:pStyle w:val="62"/>
                    <w:autoSpaceDE/>
                    <w:autoSpaceDN/>
                    <w:spacing w:line="320" w:lineRule="exact"/>
                    <w:rPr>
                      <w:rFonts w:hint="default" w:ascii="Times New Roman" w:hAnsi="Times New Roman" w:eastAsia="宋体" w:cs="Times New Roman"/>
                      <w:color w:val="0000FF"/>
                      <w:sz w:val="21"/>
                      <w:szCs w:val="21"/>
                      <w:lang w:eastAsia="zh-CN"/>
                    </w:rPr>
                  </w:pPr>
                  <w:r>
                    <w:rPr>
                      <w:rFonts w:hint="default" w:ascii="Times New Roman" w:hAnsi="Times New Roman" w:eastAsia="宋体" w:cs="Times New Roman"/>
                      <w:color w:val="0000FF"/>
                    </w:rPr>
                    <w:t>《城市污水再生利用城市杂用水水质》</w:t>
                  </w:r>
                  <w:r>
                    <w:rPr>
                      <w:rFonts w:hint="default" w:ascii="Times New Roman" w:hAnsi="Times New Roman" w:eastAsia="宋体" w:cs="Times New Roman"/>
                      <w:color w:val="0000FF"/>
                      <w:lang w:eastAsia="zh-CN"/>
                    </w:rPr>
                    <w:t>（</w:t>
                  </w:r>
                  <w:r>
                    <w:rPr>
                      <w:rFonts w:hint="default" w:ascii="Times New Roman" w:hAnsi="Times New Roman" w:eastAsia="宋体" w:cs="Times New Roman"/>
                      <w:color w:val="0000FF"/>
                    </w:rPr>
                    <w:t>GB/T18920­2020</w:t>
                  </w:r>
                  <w:r>
                    <w:rPr>
                      <w:rFonts w:hint="default" w:ascii="Times New Roman" w:hAnsi="Times New Roman" w:eastAsia="宋体" w:cs="Times New Roman"/>
                      <w:color w:val="0000FF"/>
                      <w:lang w:eastAsia="zh-CN"/>
                    </w:rPr>
                    <w:t>）</w:t>
                  </w:r>
                  <w:r>
                    <w:rPr>
                      <w:rFonts w:hint="default" w:ascii="Times New Roman" w:hAnsi="Times New Roman" w:cs="Times New Roman"/>
                      <w:color w:val="0000FF"/>
                      <w:lang w:val="en-US" w:eastAsia="zh-CN"/>
                    </w:rPr>
                    <w:t>中表1</w:t>
                  </w:r>
                  <w:r>
                    <w:rPr>
                      <w:rFonts w:hint="default" w:ascii="Times New Roman" w:hAnsi="Times New Roman" w:eastAsia="宋体" w:cs="Times New Roman"/>
                      <w:color w:val="0000FF"/>
                      <w:lang w:val="en-US" w:eastAsia="zh-CN"/>
                    </w:rPr>
                    <w:t>标准要求</w:t>
                  </w:r>
                </w:p>
              </w:tc>
            </w:tr>
          </w:tbl>
          <w:p w14:paraId="3071D5E5">
            <w:pPr>
              <w:spacing w:line="480" w:lineRule="exact"/>
              <w:ind w:firstLine="482" w:firstLineChars="200"/>
              <w:rPr>
                <w:b/>
                <w:bCs/>
                <w:color w:val="auto"/>
                <w:lang w:bidi="ar"/>
              </w:rPr>
            </w:pPr>
            <w:r>
              <w:rPr>
                <w:rFonts w:hint="eastAsia"/>
                <w:b/>
                <w:bCs/>
                <w:color w:val="auto"/>
                <w:lang w:bidi="ar"/>
              </w:rPr>
              <w:t>3、声环境影响分析</w:t>
            </w:r>
          </w:p>
          <w:p w14:paraId="6D3DA285">
            <w:pPr>
              <w:spacing w:line="480" w:lineRule="exact"/>
              <w:ind w:firstLine="482" w:firstLineChars="200"/>
              <w:rPr>
                <w:b/>
                <w:bCs/>
                <w:color w:val="auto"/>
                <w:szCs w:val="30"/>
                <w:lang w:bidi="ar"/>
              </w:rPr>
            </w:pPr>
            <w:r>
              <w:rPr>
                <w:rFonts w:hint="eastAsia"/>
                <w:b/>
                <w:bCs/>
                <w:color w:val="auto"/>
                <w:szCs w:val="30"/>
                <w:lang w:bidi="ar"/>
              </w:rPr>
              <w:t>3.1噪声源强分析</w:t>
            </w:r>
          </w:p>
          <w:p w14:paraId="6223A6F8">
            <w:pPr>
              <w:spacing w:line="480" w:lineRule="exact"/>
              <w:ind w:firstLine="480" w:firstLineChars="200"/>
              <w:rPr>
                <w:bCs/>
                <w:color w:val="auto"/>
              </w:rPr>
            </w:pPr>
            <w:r>
              <w:rPr>
                <w:color w:val="auto"/>
                <w:szCs w:val="30"/>
                <w:lang w:bidi="ar"/>
              </w:rPr>
              <w:t>本工程主要产噪设备为</w:t>
            </w:r>
            <w:r>
              <w:rPr>
                <w:rFonts w:hint="eastAsia"/>
                <w:color w:val="auto"/>
                <w:szCs w:val="30"/>
                <w:lang w:bidi="ar"/>
              </w:rPr>
              <w:t>破碎机</w:t>
            </w:r>
            <w:r>
              <w:rPr>
                <w:color w:val="auto"/>
              </w:rPr>
              <w:t>、</w:t>
            </w:r>
            <w:r>
              <w:rPr>
                <w:rFonts w:hint="eastAsia"/>
                <w:color w:val="auto"/>
              </w:rPr>
              <w:t>剪断机</w:t>
            </w:r>
            <w:r>
              <w:rPr>
                <w:color w:val="auto"/>
              </w:rPr>
              <w:t>、</w:t>
            </w:r>
            <w:r>
              <w:rPr>
                <w:rFonts w:hint="eastAsia"/>
                <w:color w:val="auto"/>
              </w:rPr>
              <w:t>打包机、轮胎拆装机</w:t>
            </w:r>
            <w:r>
              <w:rPr>
                <w:color w:val="auto"/>
                <w:szCs w:val="30"/>
                <w:lang w:bidi="ar"/>
              </w:rPr>
              <w:t>等，噪声在</w:t>
            </w:r>
            <w:r>
              <w:rPr>
                <w:rFonts w:hint="eastAsia"/>
                <w:color w:val="auto"/>
                <w:szCs w:val="30"/>
                <w:lang w:bidi="ar"/>
              </w:rPr>
              <w:t>75</w:t>
            </w:r>
            <w:r>
              <w:rPr>
                <w:color w:val="auto"/>
                <w:szCs w:val="30"/>
                <w:lang w:bidi="ar"/>
              </w:rPr>
              <w:t>-</w:t>
            </w:r>
            <w:r>
              <w:rPr>
                <w:rFonts w:hint="eastAsia"/>
                <w:color w:val="auto"/>
                <w:szCs w:val="30"/>
                <w:lang w:bidi="ar"/>
              </w:rPr>
              <w:t>85</w:t>
            </w:r>
            <w:r>
              <w:rPr>
                <w:color w:val="auto"/>
                <w:szCs w:val="30"/>
                <w:lang w:bidi="ar"/>
              </w:rPr>
              <w:t>dB(A)之间</w:t>
            </w:r>
            <w:r>
              <w:rPr>
                <w:rFonts w:hint="eastAsia"/>
                <w:bCs/>
                <w:color w:val="auto"/>
              </w:rPr>
              <w:t xml:space="preserve">。项目噪声源强情况见下表。 </w:t>
            </w:r>
          </w:p>
          <w:p w14:paraId="72248554">
            <w:pPr>
              <w:spacing w:line="480" w:lineRule="exact"/>
              <w:ind w:firstLine="1205" w:firstLineChars="500"/>
              <w:rPr>
                <w:b/>
                <w:color w:val="auto"/>
              </w:rPr>
            </w:pPr>
            <w:r>
              <w:rPr>
                <w:b/>
                <w:color w:val="auto"/>
              </w:rPr>
              <w:t>表</w:t>
            </w:r>
            <w:r>
              <w:rPr>
                <w:rFonts w:hint="eastAsia"/>
                <w:b/>
                <w:color w:val="auto"/>
              </w:rPr>
              <w:t>4-</w:t>
            </w:r>
            <w:r>
              <w:rPr>
                <w:rFonts w:hint="eastAsia"/>
                <w:b/>
                <w:color w:val="auto"/>
                <w:lang w:val="en-US" w:eastAsia="zh-CN"/>
              </w:rPr>
              <w:t>9</w:t>
            </w:r>
            <w:r>
              <w:rPr>
                <w:rFonts w:hint="eastAsia"/>
                <w:b/>
                <w:color w:val="auto"/>
              </w:rPr>
              <w:t xml:space="preserve">  本项目噪声源强调查清单（室内声源）</w:t>
            </w:r>
          </w:p>
          <w:tbl>
            <w:tblPr>
              <w:tblStyle w:val="25"/>
              <w:tblW w:w="82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
              <w:gridCol w:w="477"/>
              <w:gridCol w:w="735"/>
              <w:gridCol w:w="638"/>
              <w:gridCol w:w="726"/>
              <w:gridCol w:w="535"/>
              <w:gridCol w:w="501"/>
              <w:gridCol w:w="630"/>
              <w:gridCol w:w="390"/>
              <w:gridCol w:w="615"/>
              <w:gridCol w:w="630"/>
              <w:gridCol w:w="420"/>
              <w:gridCol w:w="598"/>
              <w:gridCol w:w="527"/>
              <w:gridCol w:w="547"/>
            </w:tblGrid>
            <w:tr w14:paraId="0FDB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vMerge w:val="restart"/>
                  <w:tcBorders>
                    <w:tl2br w:val="nil"/>
                    <w:tr2bl w:val="nil"/>
                  </w:tcBorders>
                  <w:noWrap/>
                  <w:vAlign w:val="center"/>
                </w:tcPr>
                <w:p w14:paraId="7C54591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序号</w:t>
                  </w:r>
                </w:p>
              </w:tc>
              <w:tc>
                <w:tcPr>
                  <w:tcW w:w="477" w:type="dxa"/>
                  <w:vMerge w:val="restart"/>
                  <w:tcBorders>
                    <w:tl2br w:val="nil"/>
                    <w:tr2bl w:val="nil"/>
                  </w:tcBorders>
                  <w:noWrap/>
                  <w:vAlign w:val="center"/>
                </w:tcPr>
                <w:p w14:paraId="1ED3C44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建筑物名称</w:t>
                  </w:r>
                </w:p>
              </w:tc>
              <w:tc>
                <w:tcPr>
                  <w:tcW w:w="735" w:type="dxa"/>
                  <w:vMerge w:val="restart"/>
                  <w:tcBorders>
                    <w:tl2br w:val="nil"/>
                    <w:tr2bl w:val="nil"/>
                  </w:tcBorders>
                  <w:noWrap/>
                  <w:vAlign w:val="center"/>
                </w:tcPr>
                <w:p w14:paraId="526B168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声源名称</w:t>
                  </w:r>
                </w:p>
              </w:tc>
              <w:tc>
                <w:tcPr>
                  <w:tcW w:w="638" w:type="dxa"/>
                  <w:vMerge w:val="restart"/>
                  <w:tcBorders>
                    <w:tl2br w:val="nil"/>
                    <w:tr2bl w:val="nil"/>
                  </w:tcBorders>
                  <w:noWrap/>
                  <w:vAlign w:val="center"/>
                </w:tcPr>
                <w:p w14:paraId="4A428C7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型号</w:t>
                  </w:r>
                </w:p>
              </w:tc>
              <w:tc>
                <w:tcPr>
                  <w:tcW w:w="726" w:type="dxa"/>
                  <w:tcBorders>
                    <w:tl2br w:val="nil"/>
                    <w:tr2bl w:val="nil"/>
                  </w:tcBorders>
                  <w:noWrap/>
                  <w:vAlign w:val="center"/>
                </w:tcPr>
                <w:p w14:paraId="55B7D8E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声源源强</w:t>
                  </w:r>
                </w:p>
              </w:tc>
              <w:tc>
                <w:tcPr>
                  <w:tcW w:w="535" w:type="dxa"/>
                  <w:vMerge w:val="restart"/>
                  <w:tcBorders>
                    <w:tl2br w:val="nil"/>
                    <w:tr2bl w:val="nil"/>
                  </w:tcBorders>
                  <w:noWrap/>
                  <w:vAlign w:val="center"/>
                </w:tcPr>
                <w:p w14:paraId="249A6AE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声源控制措施</w:t>
                  </w:r>
                </w:p>
              </w:tc>
              <w:tc>
                <w:tcPr>
                  <w:tcW w:w="1521" w:type="dxa"/>
                  <w:gridSpan w:val="3"/>
                  <w:tcBorders>
                    <w:tl2br w:val="nil"/>
                    <w:tr2bl w:val="nil"/>
                  </w:tcBorders>
                  <w:noWrap/>
                  <w:vAlign w:val="center"/>
                </w:tcPr>
                <w:p w14:paraId="4CE401B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空间相对位置/m</w:t>
                  </w:r>
                </w:p>
              </w:tc>
              <w:tc>
                <w:tcPr>
                  <w:tcW w:w="615" w:type="dxa"/>
                  <w:vMerge w:val="restart"/>
                  <w:tcBorders>
                    <w:tl2br w:val="nil"/>
                    <w:tr2bl w:val="nil"/>
                  </w:tcBorders>
                  <w:noWrap/>
                  <w:vAlign w:val="center"/>
                </w:tcPr>
                <w:p w14:paraId="286F7C6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距室内边界距离/m</w:t>
                  </w:r>
                </w:p>
              </w:tc>
              <w:tc>
                <w:tcPr>
                  <w:tcW w:w="630" w:type="dxa"/>
                  <w:vMerge w:val="restart"/>
                  <w:tcBorders>
                    <w:tl2br w:val="nil"/>
                    <w:tr2bl w:val="nil"/>
                  </w:tcBorders>
                  <w:noWrap/>
                  <w:vAlign w:val="center"/>
                </w:tcPr>
                <w:p w14:paraId="42B749C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室内边界声级/dB(A)</w:t>
                  </w:r>
                </w:p>
              </w:tc>
              <w:tc>
                <w:tcPr>
                  <w:tcW w:w="420" w:type="dxa"/>
                  <w:vMerge w:val="restart"/>
                  <w:tcBorders>
                    <w:tl2br w:val="nil"/>
                    <w:tr2bl w:val="nil"/>
                  </w:tcBorders>
                  <w:noWrap/>
                  <w:vAlign w:val="center"/>
                </w:tcPr>
                <w:p w14:paraId="0206322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运行时段</w:t>
                  </w:r>
                </w:p>
              </w:tc>
              <w:tc>
                <w:tcPr>
                  <w:tcW w:w="598" w:type="dxa"/>
                  <w:vMerge w:val="restart"/>
                  <w:tcBorders>
                    <w:tl2br w:val="nil"/>
                    <w:tr2bl w:val="nil"/>
                  </w:tcBorders>
                  <w:noWrap/>
                  <w:vAlign w:val="center"/>
                </w:tcPr>
                <w:p w14:paraId="746B108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建筑物插入损失/dB(A)</w:t>
                  </w:r>
                </w:p>
              </w:tc>
              <w:tc>
                <w:tcPr>
                  <w:tcW w:w="1074" w:type="dxa"/>
                  <w:gridSpan w:val="2"/>
                  <w:tcBorders>
                    <w:tl2br w:val="nil"/>
                    <w:tr2bl w:val="nil"/>
                  </w:tcBorders>
                  <w:noWrap/>
                  <w:vAlign w:val="center"/>
                </w:tcPr>
                <w:p w14:paraId="773C255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建筑物外噪声</w:t>
                  </w:r>
                </w:p>
              </w:tc>
            </w:tr>
            <w:tr w14:paraId="5562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vMerge w:val="continue"/>
                  <w:tcBorders>
                    <w:tl2br w:val="nil"/>
                    <w:tr2bl w:val="nil"/>
                  </w:tcBorders>
                  <w:noWrap/>
                  <w:vAlign w:val="center"/>
                </w:tcPr>
                <w:p w14:paraId="754985E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477" w:type="dxa"/>
                  <w:vMerge w:val="continue"/>
                  <w:tcBorders>
                    <w:tl2br w:val="nil"/>
                    <w:tr2bl w:val="nil"/>
                  </w:tcBorders>
                  <w:noWrap/>
                  <w:vAlign w:val="center"/>
                </w:tcPr>
                <w:p w14:paraId="78B9E5A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vMerge w:val="continue"/>
                  <w:tcBorders>
                    <w:tl2br w:val="nil"/>
                    <w:tr2bl w:val="nil"/>
                  </w:tcBorders>
                  <w:noWrap/>
                  <w:vAlign w:val="center"/>
                </w:tcPr>
                <w:p w14:paraId="0969538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638" w:type="dxa"/>
                  <w:vMerge w:val="continue"/>
                  <w:tcBorders>
                    <w:tl2br w:val="nil"/>
                    <w:tr2bl w:val="nil"/>
                  </w:tcBorders>
                  <w:noWrap/>
                  <w:vAlign w:val="center"/>
                </w:tcPr>
                <w:p w14:paraId="6DED2BA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26" w:type="dxa"/>
                  <w:tcBorders>
                    <w:tl2br w:val="nil"/>
                    <w:tr2bl w:val="nil"/>
                  </w:tcBorders>
                  <w:vAlign w:val="center"/>
                </w:tcPr>
                <w:p w14:paraId="7F0ECE7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(声压级/距声源距离)</w:t>
                  </w:r>
                  <w:r>
                    <w:rPr>
                      <w:color w:val="auto"/>
                      <w:spacing w:val="-6"/>
                      <w:kern w:val="0"/>
                      <w:sz w:val="18"/>
                      <w:szCs w:val="18"/>
                      <w:lang w:bidi="ar"/>
                    </w:rPr>
                    <w:br w:type="textWrapping"/>
                  </w:r>
                  <w:r>
                    <w:rPr>
                      <w:color w:val="auto"/>
                      <w:spacing w:val="-6"/>
                      <w:kern w:val="0"/>
                      <w:sz w:val="18"/>
                      <w:szCs w:val="18"/>
                      <w:lang w:bidi="ar"/>
                    </w:rPr>
                    <w:t>(dB(A)/m)</w:t>
                  </w:r>
                </w:p>
              </w:tc>
              <w:tc>
                <w:tcPr>
                  <w:tcW w:w="535" w:type="dxa"/>
                  <w:vMerge w:val="continue"/>
                  <w:tcBorders>
                    <w:tl2br w:val="nil"/>
                    <w:tr2bl w:val="nil"/>
                  </w:tcBorders>
                  <w:noWrap/>
                  <w:vAlign w:val="center"/>
                </w:tcPr>
                <w:p w14:paraId="369B1EC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noWrap/>
                  <w:vAlign w:val="center"/>
                </w:tcPr>
                <w:p w14:paraId="44ED299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X</w:t>
                  </w:r>
                </w:p>
              </w:tc>
              <w:tc>
                <w:tcPr>
                  <w:tcW w:w="630" w:type="dxa"/>
                  <w:tcBorders>
                    <w:tl2br w:val="nil"/>
                    <w:tr2bl w:val="nil"/>
                  </w:tcBorders>
                  <w:noWrap/>
                  <w:vAlign w:val="center"/>
                </w:tcPr>
                <w:p w14:paraId="3A78A44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Y</w:t>
                  </w:r>
                </w:p>
              </w:tc>
              <w:tc>
                <w:tcPr>
                  <w:tcW w:w="390" w:type="dxa"/>
                  <w:tcBorders>
                    <w:tl2br w:val="nil"/>
                    <w:tr2bl w:val="nil"/>
                  </w:tcBorders>
                  <w:noWrap/>
                  <w:vAlign w:val="center"/>
                </w:tcPr>
                <w:p w14:paraId="7150F8B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Z</w:t>
                  </w:r>
                </w:p>
              </w:tc>
              <w:tc>
                <w:tcPr>
                  <w:tcW w:w="615" w:type="dxa"/>
                  <w:vMerge w:val="continue"/>
                  <w:tcBorders>
                    <w:tl2br w:val="nil"/>
                    <w:tr2bl w:val="nil"/>
                  </w:tcBorders>
                  <w:noWrap/>
                  <w:vAlign w:val="center"/>
                </w:tcPr>
                <w:p w14:paraId="4DF78D1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630" w:type="dxa"/>
                  <w:vMerge w:val="continue"/>
                  <w:tcBorders>
                    <w:tl2br w:val="nil"/>
                    <w:tr2bl w:val="nil"/>
                  </w:tcBorders>
                  <w:noWrap/>
                  <w:vAlign w:val="center"/>
                </w:tcPr>
                <w:p w14:paraId="372BD02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420" w:type="dxa"/>
                  <w:vMerge w:val="continue"/>
                  <w:tcBorders>
                    <w:tl2br w:val="nil"/>
                    <w:tr2bl w:val="nil"/>
                  </w:tcBorders>
                  <w:noWrap/>
                  <w:vAlign w:val="center"/>
                </w:tcPr>
                <w:p w14:paraId="6A1BE2E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98" w:type="dxa"/>
                  <w:vMerge w:val="continue"/>
                  <w:tcBorders>
                    <w:tl2br w:val="nil"/>
                    <w:tr2bl w:val="nil"/>
                  </w:tcBorders>
                  <w:noWrap/>
                  <w:vAlign w:val="center"/>
                </w:tcPr>
                <w:p w14:paraId="2A2948E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27" w:type="dxa"/>
                  <w:tcBorders>
                    <w:tl2br w:val="nil"/>
                    <w:tr2bl w:val="nil"/>
                  </w:tcBorders>
                  <w:noWrap/>
                  <w:vAlign w:val="center"/>
                </w:tcPr>
                <w:p w14:paraId="35AE8DF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声压级/dB(A)</w:t>
                  </w:r>
                </w:p>
              </w:tc>
              <w:tc>
                <w:tcPr>
                  <w:tcW w:w="547" w:type="dxa"/>
                  <w:tcBorders>
                    <w:tl2br w:val="nil"/>
                    <w:tr2bl w:val="nil"/>
                  </w:tcBorders>
                  <w:noWrap/>
                  <w:vAlign w:val="center"/>
                </w:tcPr>
                <w:p w14:paraId="096D75A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建筑物外距离</w:t>
                  </w:r>
                </w:p>
              </w:tc>
            </w:tr>
            <w:tr w14:paraId="2DCC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60756DA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477" w:type="dxa"/>
                  <w:vMerge w:val="restart"/>
                  <w:tcBorders>
                    <w:tl2br w:val="nil"/>
                    <w:tr2bl w:val="nil"/>
                  </w:tcBorders>
                  <w:shd w:val="clear" w:color="auto" w:fill="FFFFFF"/>
                  <w:noWrap/>
                  <w:vAlign w:val="center"/>
                </w:tcPr>
                <w:p w14:paraId="5519CC3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维修车间</w:t>
                  </w:r>
                </w:p>
              </w:tc>
              <w:tc>
                <w:tcPr>
                  <w:tcW w:w="735" w:type="dxa"/>
                  <w:tcBorders>
                    <w:tl2br w:val="nil"/>
                    <w:tr2bl w:val="nil"/>
                  </w:tcBorders>
                  <w:shd w:val="clear" w:color="auto" w:fill="FFFFFF"/>
                  <w:noWrap/>
                  <w:vAlign w:val="center"/>
                </w:tcPr>
                <w:p w14:paraId="7FC19DC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轮胎拆装机1</w:t>
                  </w:r>
                </w:p>
              </w:tc>
              <w:tc>
                <w:tcPr>
                  <w:tcW w:w="638" w:type="dxa"/>
                  <w:tcBorders>
                    <w:tl2br w:val="nil"/>
                    <w:tr2bl w:val="nil"/>
                  </w:tcBorders>
                  <w:shd w:val="clear" w:color="auto" w:fill="FFFFFF"/>
                  <w:noWrap/>
                  <w:vAlign w:val="center"/>
                </w:tcPr>
                <w:p w14:paraId="51F2495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color w:val="auto"/>
                      <w:spacing w:val="-6"/>
                      <w:sz w:val="18"/>
                      <w:szCs w:val="18"/>
                    </w:rPr>
                    <w:t>JT568</w:t>
                  </w:r>
                </w:p>
              </w:tc>
              <w:tc>
                <w:tcPr>
                  <w:tcW w:w="726" w:type="dxa"/>
                  <w:tcBorders>
                    <w:tl2br w:val="nil"/>
                    <w:tr2bl w:val="nil"/>
                  </w:tcBorders>
                  <w:shd w:val="clear" w:color="auto" w:fill="FFFFFF"/>
                  <w:noWrap/>
                  <w:vAlign w:val="center"/>
                </w:tcPr>
                <w:p w14:paraId="65B4A46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85/1</w:t>
                  </w:r>
                </w:p>
              </w:tc>
              <w:tc>
                <w:tcPr>
                  <w:tcW w:w="535" w:type="dxa"/>
                  <w:vMerge w:val="restart"/>
                  <w:tcBorders>
                    <w:tl2br w:val="nil"/>
                    <w:tr2bl w:val="nil"/>
                  </w:tcBorders>
                  <w:shd w:val="clear" w:color="auto" w:fill="FFFFFF"/>
                  <w:noWrap/>
                  <w:vAlign w:val="center"/>
                </w:tcPr>
                <w:p w14:paraId="6DF18E1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rFonts w:hint="eastAsia"/>
                      <w:color w:val="auto"/>
                      <w:spacing w:val="-6"/>
                      <w:sz w:val="18"/>
                      <w:szCs w:val="18"/>
                    </w:rPr>
                    <w:t>室内隔声+减振</w:t>
                  </w:r>
                </w:p>
              </w:tc>
              <w:tc>
                <w:tcPr>
                  <w:tcW w:w="501" w:type="dxa"/>
                  <w:tcBorders>
                    <w:tl2br w:val="nil"/>
                    <w:tr2bl w:val="nil"/>
                  </w:tcBorders>
                  <w:shd w:val="clear" w:color="auto" w:fill="FFFFFF"/>
                  <w:noWrap/>
                  <w:vAlign w:val="center"/>
                </w:tcPr>
                <w:p w14:paraId="3E3D1E7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49.27</w:t>
                  </w:r>
                </w:p>
              </w:tc>
              <w:tc>
                <w:tcPr>
                  <w:tcW w:w="630" w:type="dxa"/>
                  <w:tcBorders>
                    <w:tl2br w:val="nil"/>
                    <w:tr2bl w:val="nil"/>
                  </w:tcBorders>
                  <w:shd w:val="clear" w:color="auto" w:fill="FFFFFF"/>
                  <w:noWrap/>
                  <w:vAlign w:val="center"/>
                </w:tcPr>
                <w:p w14:paraId="5C1ECB8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103.22</w:t>
                  </w:r>
                </w:p>
              </w:tc>
              <w:tc>
                <w:tcPr>
                  <w:tcW w:w="390" w:type="dxa"/>
                  <w:tcBorders>
                    <w:tl2br w:val="nil"/>
                    <w:tr2bl w:val="nil"/>
                  </w:tcBorders>
                  <w:shd w:val="clear" w:color="auto" w:fill="FFFFFF"/>
                  <w:noWrap/>
                  <w:vAlign w:val="center"/>
                </w:tcPr>
                <w:p w14:paraId="68D3E9D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shd w:val="clear" w:color="auto" w:fill="FFFFFF"/>
                  <w:noWrap/>
                  <w:vAlign w:val="center"/>
                </w:tcPr>
                <w:p w14:paraId="3E92618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14.99</w:t>
                  </w:r>
                </w:p>
              </w:tc>
              <w:tc>
                <w:tcPr>
                  <w:tcW w:w="630" w:type="dxa"/>
                  <w:tcBorders>
                    <w:tl2br w:val="nil"/>
                    <w:tr2bl w:val="nil"/>
                  </w:tcBorders>
                  <w:shd w:val="clear" w:color="auto" w:fill="FFFFFF"/>
                  <w:noWrap/>
                  <w:vAlign w:val="center"/>
                </w:tcPr>
                <w:p w14:paraId="1FA118A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77.29</w:t>
                  </w:r>
                </w:p>
              </w:tc>
              <w:tc>
                <w:tcPr>
                  <w:tcW w:w="420" w:type="dxa"/>
                  <w:tcBorders>
                    <w:tl2br w:val="nil"/>
                    <w:tr2bl w:val="nil"/>
                  </w:tcBorders>
                  <w:shd w:val="clear" w:color="auto" w:fill="FFFFFF"/>
                  <w:noWrap/>
                  <w:vAlign w:val="center"/>
                </w:tcPr>
                <w:p w14:paraId="6F22826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昼间</w:t>
                  </w:r>
                </w:p>
              </w:tc>
              <w:tc>
                <w:tcPr>
                  <w:tcW w:w="598" w:type="dxa"/>
                  <w:tcBorders>
                    <w:tl2br w:val="nil"/>
                    <w:tr2bl w:val="nil"/>
                  </w:tcBorders>
                  <w:shd w:val="clear" w:color="auto" w:fill="FFFFFF"/>
                  <w:noWrap/>
                  <w:vAlign w:val="center"/>
                </w:tcPr>
                <w:p w14:paraId="557CDB2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shd w:val="clear" w:color="auto" w:fill="FFFFFF"/>
                  <w:noWrap/>
                  <w:vAlign w:val="center"/>
                </w:tcPr>
                <w:p w14:paraId="6843890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51.29</w:t>
                  </w:r>
                </w:p>
              </w:tc>
              <w:tc>
                <w:tcPr>
                  <w:tcW w:w="547" w:type="dxa"/>
                  <w:tcBorders>
                    <w:tl2br w:val="nil"/>
                    <w:tr2bl w:val="nil"/>
                  </w:tcBorders>
                  <w:shd w:val="clear" w:color="auto" w:fill="FFFFFF"/>
                  <w:noWrap/>
                  <w:vAlign w:val="center"/>
                </w:tcPr>
                <w:p w14:paraId="0218E21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605EC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4088C8D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w:t>
                  </w:r>
                </w:p>
              </w:tc>
              <w:tc>
                <w:tcPr>
                  <w:tcW w:w="477" w:type="dxa"/>
                  <w:vMerge w:val="continue"/>
                  <w:tcBorders>
                    <w:tl2br w:val="nil"/>
                    <w:tr2bl w:val="nil"/>
                  </w:tcBorders>
                  <w:shd w:val="clear" w:color="auto" w:fill="FFFFFF"/>
                  <w:noWrap/>
                  <w:vAlign w:val="center"/>
                </w:tcPr>
                <w:p w14:paraId="290E75E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shd w:val="clear" w:color="auto" w:fill="FFFFFF"/>
                  <w:noWrap/>
                  <w:vAlign w:val="center"/>
                </w:tcPr>
                <w:p w14:paraId="1471B90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轮胎拆装机2</w:t>
                  </w:r>
                </w:p>
              </w:tc>
              <w:tc>
                <w:tcPr>
                  <w:tcW w:w="638" w:type="dxa"/>
                  <w:tcBorders>
                    <w:tl2br w:val="nil"/>
                    <w:tr2bl w:val="nil"/>
                  </w:tcBorders>
                  <w:shd w:val="clear" w:color="auto" w:fill="FFFFFF"/>
                  <w:noWrap/>
                  <w:vAlign w:val="center"/>
                </w:tcPr>
                <w:p w14:paraId="10AE479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color w:val="auto"/>
                      <w:spacing w:val="-6"/>
                      <w:sz w:val="18"/>
                      <w:szCs w:val="18"/>
                    </w:rPr>
                    <w:t>JT568</w:t>
                  </w:r>
                </w:p>
              </w:tc>
              <w:tc>
                <w:tcPr>
                  <w:tcW w:w="726" w:type="dxa"/>
                  <w:tcBorders>
                    <w:tl2br w:val="nil"/>
                    <w:tr2bl w:val="nil"/>
                  </w:tcBorders>
                  <w:shd w:val="clear" w:color="auto" w:fill="FFFFFF"/>
                  <w:noWrap/>
                  <w:vAlign w:val="center"/>
                </w:tcPr>
                <w:p w14:paraId="1A81B59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85/1</w:t>
                  </w:r>
                </w:p>
              </w:tc>
              <w:tc>
                <w:tcPr>
                  <w:tcW w:w="535" w:type="dxa"/>
                  <w:vMerge w:val="continue"/>
                  <w:tcBorders>
                    <w:tl2br w:val="nil"/>
                    <w:tr2bl w:val="nil"/>
                  </w:tcBorders>
                  <w:shd w:val="clear" w:color="auto" w:fill="FFFFFF"/>
                  <w:noWrap/>
                  <w:vAlign w:val="center"/>
                </w:tcPr>
                <w:p w14:paraId="310E91B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shd w:val="clear" w:color="auto" w:fill="FFFFFF"/>
                  <w:noWrap/>
                  <w:vAlign w:val="center"/>
                </w:tcPr>
                <w:p w14:paraId="45395F7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54.09</w:t>
                  </w:r>
                </w:p>
              </w:tc>
              <w:tc>
                <w:tcPr>
                  <w:tcW w:w="630" w:type="dxa"/>
                  <w:tcBorders>
                    <w:tl2br w:val="nil"/>
                    <w:tr2bl w:val="nil"/>
                  </w:tcBorders>
                  <w:shd w:val="clear" w:color="auto" w:fill="FFFFFF"/>
                  <w:noWrap/>
                  <w:vAlign w:val="center"/>
                </w:tcPr>
                <w:p w14:paraId="73A05D4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102.69</w:t>
                  </w:r>
                </w:p>
              </w:tc>
              <w:tc>
                <w:tcPr>
                  <w:tcW w:w="390" w:type="dxa"/>
                  <w:tcBorders>
                    <w:tl2br w:val="nil"/>
                    <w:tr2bl w:val="nil"/>
                  </w:tcBorders>
                  <w:shd w:val="clear" w:color="auto" w:fill="FFFFFF"/>
                  <w:noWrap/>
                  <w:vAlign w:val="center"/>
                </w:tcPr>
                <w:p w14:paraId="0287B2B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shd w:val="clear" w:color="auto" w:fill="FFFFFF"/>
                  <w:noWrap/>
                  <w:vAlign w:val="center"/>
                </w:tcPr>
                <w:p w14:paraId="069B192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15.38</w:t>
                  </w:r>
                </w:p>
              </w:tc>
              <w:tc>
                <w:tcPr>
                  <w:tcW w:w="630" w:type="dxa"/>
                  <w:tcBorders>
                    <w:tl2br w:val="nil"/>
                    <w:tr2bl w:val="nil"/>
                  </w:tcBorders>
                  <w:shd w:val="clear" w:color="auto" w:fill="FFFFFF"/>
                  <w:noWrap/>
                  <w:vAlign w:val="center"/>
                </w:tcPr>
                <w:p w14:paraId="6FB1920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77.29</w:t>
                  </w:r>
                </w:p>
              </w:tc>
              <w:tc>
                <w:tcPr>
                  <w:tcW w:w="420" w:type="dxa"/>
                  <w:tcBorders>
                    <w:tl2br w:val="nil"/>
                    <w:tr2bl w:val="nil"/>
                  </w:tcBorders>
                  <w:shd w:val="clear" w:color="auto" w:fill="FFFFFF"/>
                  <w:noWrap/>
                  <w:vAlign w:val="center"/>
                </w:tcPr>
                <w:p w14:paraId="6B90B6A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昼间</w:t>
                  </w:r>
                </w:p>
              </w:tc>
              <w:tc>
                <w:tcPr>
                  <w:tcW w:w="598" w:type="dxa"/>
                  <w:tcBorders>
                    <w:tl2br w:val="nil"/>
                    <w:tr2bl w:val="nil"/>
                  </w:tcBorders>
                  <w:shd w:val="clear" w:color="auto" w:fill="FFFFFF"/>
                  <w:noWrap/>
                  <w:vAlign w:val="center"/>
                </w:tcPr>
                <w:p w14:paraId="6BA848D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shd w:val="clear" w:color="auto" w:fill="FFFFFF"/>
                  <w:noWrap/>
                  <w:vAlign w:val="center"/>
                </w:tcPr>
                <w:p w14:paraId="57583AB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51.29</w:t>
                  </w:r>
                </w:p>
              </w:tc>
              <w:tc>
                <w:tcPr>
                  <w:tcW w:w="547" w:type="dxa"/>
                  <w:tcBorders>
                    <w:tl2br w:val="nil"/>
                    <w:tr2bl w:val="nil"/>
                  </w:tcBorders>
                  <w:shd w:val="clear" w:color="auto" w:fill="FFFFFF"/>
                  <w:noWrap/>
                  <w:vAlign w:val="center"/>
                </w:tcPr>
                <w:p w14:paraId="54D8724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3FF81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634E4CD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3</w:t>
                  </w:r>
                </w:p>
              </w:tc>
              <w:tc>
                <w:tcPr>
                  <w:tcW w:w="477" w:type="dxa"/>
                  <w:vMerge w:val="continue"/>
                  <w:tcBorders>
                    <w:tl2br w:val="nil"/>
                    <w:tr2bl w:val="nil"/>
                  </w:tcBorders>
                  <w:shd w:val="clear" w:color="auto" w:fill="FFFFFF"/>
                  <w:noWrap/>
                  <w:vAlign w:val="center"/>
                </w:tcPr>
                <w:p w14:paraId="65853DF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shd w:val="clear" w:color="auto" w:fill="FFFFFF"/>
                  <w:noWrap/>
                  <w:vAlign w:val="center"/>
                </w:tcPr>
                <w:p w14:paraId="6F8ED8A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电焊机1</w:t>
                  </w:r>
                </w:p>
              </w:tc>
              <w:tc>
                <w:tcPr>
                  <w:tcW w:w="638" w:type="dxa"/>
                  <w:tcBorders>
                    <w:tl2br w:val="nil"/>
                    <w:tr2bl w:val="nil"/>
                  </w:tcBorders>
                  <w:shd w:val="clear" w:color="auto" w:fill="FFFFFF"/>
                  <w:noWrap/>
                  <w:vAlign w:val="center"/>
                </w:tcPr>
                <w:p w14:paraId="5D83FBD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color w:val="auto"/>
                      <w:spacing w:val="-6"/>
                      <w:sz w:val="18"/>
                      <w:szCs w:val="18"/>
                    </w:rPr>
                    <w:t>ZX7-500A</w:t>
                  </w:r>
                </w:p>
              </w:tc>
              <w:tc>
                <w:tcPr>
                  <w:tcW w:w="726" w:type="dxa"/>
                  <w:tcBorders>
                    <w:tl2br w:val="nil"/>
                    <w:tr2bl w:val="nil"/>
                  </w:tcBorders>
                  <w:shd w:val="clear" w:color="auto" w:fill="FFFFFF"/>
                  <w:noWrap/>
                  <w:vAlign w:val="center"/>
                </w:tcPr>
                <w:p w14:paraId="354D008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75/1</w:t>
                  </w:r>
                </w:p>
              </w:tc>
              <w:tc>
                <w:tcPr>
                  <w:tcW w:w="535" w:type="dxa"/>
                  <w:vMerge w:val="continue"/>
                  <w:tcBorders>
                    <w:tl2br w:val="nil"/>
                    <w:tr2bl w:val="nil"/>
                  </w:tcBorders>
                  <w:shd w:val="clear" w:color="auto" w:fill="FFFFFF"/>
                  <w:noWrap/>
                  <w:vAlign w:val="center"/>
                </w:tcPr>
                <w:p w14:paraId="35B1F8D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shd w:val="clear" w:color="auto" w:fill="FFFFFF"/>
                  <w:noWrap/>
                  <w:vAlign w:val="center"/>
                </w:tcPr>
                <w:p w14:paraId="1E4246C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43.93</w:t>
                  </w:r>
                </w:p>
              </w:tc>
              <w:tc>
                <w:tcPr>
                  <w:tcW w:w="630" w:type="dxa"/>
                  <w:tcBorders>
                    <w:tl2br w:val="nil"/>
                    <w:tr2bl w:val="nil"/>
                  </w:tcBorders>
                  <w:shd w:val="clear" w:color="auto" w:fill="FFFFFF"/>
                  <w:noWrap/>
                  <w:vAlign w:val="center"/>
                </w:tcPr>
                <w:p w14:paraId="2177D3A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98.41</w:t>
                  </w:r>
                </w:p>
              </w:tc>
              <w:tc>
                <w:tcPr>
                  <w:tcW w:w="390" w:type="dxa"/>
                  <w:tcBorders>
                    <w:tl2br w:val="nil"/>
                    <w:tr2bl w:val="nil"/>
                  </w:tcBorders>
                  <w:shd w:val="clear" w:color="auto" w:fill="FFFFFF"/>
                  <w:noWrap/>
                  <w:vAlign w:val="center"/>
                </w:tcPr>
                <w:p w14:paraId="66FD258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shd w:val="clear" w:color="auto" w:fill="FFFFFF"/>
                  <w:noWrap/>
                  <w:vAlign w:val="center"/>
                </w:tcPr>
                <w:p w14:paraId="72315B5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19.95</w:t>
                  </w:r>
                </w:p>
              </w:tc>
              <w:tc>
                <w:tcPr>
                  <w:tcW w:w="630" w:type="dxa"/>
                  <w:tcBorders>
                    <w:tl2br w:val="nil"/>
                    <w:tr2bl w:val="nil"/>
                  </w:tcBorders>
                  <w:shd w:val="clear" w:color="auto" w:fill="FFFFFF"/>
                  <w:noWrap/>
                  <w:vAlign w:val="center"/>
                </w:tcPr>
                <w:p w14:paraId="701BF55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67.28</w:t>
                  </w:r>
                </w:p>
              </w:tc>
              <w:tc>
                <w:tcPr>
                  <w:tcW w:w="420" w:type="dxa"/>
                  <w:tcBorders>
                    <w:tl2br w:val="nil"/>
                    <w:tr2bl w:val="nil"/>
                  </w:tcBorders>
                  <w:shd w:val="clear" w:color="auto" w:fill="FFFFFF"/>
                  <w:noWrap/>
                  <w:vAlign w:val="center"/>
                </w:tcPr>
                <w:p w14:paraId="351EE06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昼间</w:t>
                  </w:r>
                </w:p>
              </w:tc>
              <w:tc>
                <w:tcPr>
                  <w:tcW w:w="598" w:type="dxa"/>
                  <w:tcBorders>
                    <w:tl2br w:val="nil"/>
                    <w:tr2bl w:val="nil"/>
                  </w:tcBorders>
                  <w:shd w:val="clear" w:color="auto" w:fill="FFFFFF"/>
                  <w:noWrap/>
                  <w:vAlign w:val="center"/>
                </w:tcPr>
                <w:p w14:paraId="1A7B79A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shd w:val="clear" w:color="auto" w:fill="FFFFFF"/>
                  <w:noWrap/>
                  <w:vAlign w:val="center"/>
                </w:tcPr>
                <w:p w14:paraId="1C805F3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41.28</w:t>
                  </w:r>
                </w:p>
              </w:tc>
              <w:tc>
                <w:tcPr>
                  <w:tcW w:w="547" w:type="dxa"/>
                  <w:tcBorders>
                    <w:tl2br w:val="nil"/>
                    <w:tr2bl w:val="nil"/>
                  </w:tcBorders>
                  <w:shd w:val="clear" w:color="auto" w:fill="FFFFFF"/>
                  <w:noWrap/>
                  <w:vAlign w:val="center"/>
                </w:tcPr>
                <w:p w14:paraId="4E29E75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7CA27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121CC07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w:t>
                  </w:r>
                </w:p>
              </w:tc>
              <w:tc>
                <w:tcPr>
                  <w:tcW w:w="477" w:type="dxa"/>
                  <w:vMerge w:val="continue"/>
                  <w:tcBorders>
                    <w:tl2br w:val="nil"/>
                    <w:tr2bl w:val="nil"/>
                  </w:tcBorders>
                  <w:shd w:val="clear" w:color="auto" w:fill="FFFFFF"/>
                  <w:noWrap/>
                  <w:vAlign w:val="center"/>
                </w:tcPr>
                <w:p w14:paraId="1BC09AB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shd w:val="clear" w:color="auto" w:fill="FFFFFF"/>
                  <w:noWrap/>
                  <w:vAlign w:val="center"/>
                </w:tcPr>
                <w:p w14:paraId="2CC0119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电焊机2</w:t>
                  </w:r>
                </w:p>
              </w:tc>
              <w:tc>
                <w:tcPr>
                  <w:tcW w:w="638" w:type="dxa"/>
                  <w:tcBorders>
                    <w:tl2br w:val="nil"/>
                    <w:tr2bl w:val="nil"/>
                  </w:tcBorders>
                  <w:shd w:val="clear" w:color="auto" w:fill="FFFFFF"/>
                  <w:noWrap/>
                  <w:vAlign w:val="center"/>
                </w:tcPr>
                <w:p w14:paraId="3D52B86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color w:val="auto"/>
                      <w:spacing w:val="-6"/>
                      <w:sz w:val="18"/>
                      <w:szCs w:val="18"/>
                    </w:rPr>
                    <w:t>ZX7-500A</w:t>
                  </w:r>
                </w:p>
              </w:tc>
              <w:tc>
                <w:tcPr>
                  <w:tcW w:w="726" w:type="dxa"/>
                  <w:tcBorders>
                    <w:tl2br w:val="nil"/>
                    <w:tr2bl w:val="nil"/>
                  </w:tcBorders>
                  <w:shd w:val="clear" w:color="auto" w:fill="FFFFFF"/>
                  <w:noWrap/>
                  <w:vAlign w:val="center"/>
                </w:tcPr>
                <w:p w14:paraId="15D6B27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75/1</w:t>
                  </w:r>
                </w:p>
              </w:tc>
              <w:tc>
                <w:tcPr>
                  <w:tcW w:w="535" w:type="dxa"/>
                  <w:vMerge w:val="continue"/>
                  <w:tcBorders>
                    <w:tl2br w:val="nil"/>
                    <w:tr2bl w:val="nil"/>
                  </w:tcBorders>
                  <w:shd w:val="clear" w:color="auto" w:fill="FFFFFF"/>
                  <w:noWrap/>
                  <w:vAlign w:val="center"/>
                </w:tcPr>
                <w:p w14:paraId="0A020B6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shd w:val="clear" w:color="auto" w:fill="FFFFFF"/>
                  <w:noWrap/>
                  <w:vAlign w:val="center"/>
                </w:tcPr>
                <w:p w14:paraId="6E01E4B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48.47</w:t>
                  </w:r>
                </w:p>
              </w:tc>
              <w:tc>
                <w:tcPr>
                  <w:tcW w:w="630" w:type="dxa"/>
                  <w:tcBorders>
                    <w:tl2br w:val="nil"/>
                    <w:tr2bl w:val="nil"/>
                  </w:tcBorders>
                  <w:shd w:val="clear" w:color="auto" w:fill="FFFFFF"/>
                  <w:noWrap/>
                  <w:vAlign w:val="center"/>
                </w:tcPr>
                <w:p w14:paraId="4C4952C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97.88</w:t>
                  </w:r>
                </w:p>
              </w:tc>
              <w:tc>
                <w:tcPr>
                  <w:tcW w:w="390" w:type="dxa"/>
                  <w:tcBorders>
                    <w:tl2br w:val="nil"/>
                    <w:tr2bl w:val="nil"/>
                  </w:tcBorders>
                  <w:shd w:val="clear" w:color="auto" w:fill="FFFFFF"/>
                  <w:noWrap/>
                  <w:vAlign w:val="center"/>
                </w:tcPr>
                <w:p w14:paraId="48D1794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shd w:val="clear" w:color="auto" w:fill="FFFFFF"/>
                  <w:noWrap/>
                  <w:vAlign w:val="center"/>
                </w:tcPr>
                <w:p w14:paraId="26DBE0B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20.35</w:t>
                  </w:r>
                </w:p>
              </w:tc>
              <w:tc>
                <w:tcPr>
                  <w:tcW w:w="630" w:type="dxa"/>
                  <w:tcBorders>
                    <w:tl2br w:val="nil"/>
                    <w:tr2bl w:val="nil"/>
                  </w:tcBorders>
                  <w:shd w:val="clear" w:color="auto" w:fill="FFFFFF"/>
                  <w:noWrap/>
                  <w:vAlign w:val="center"/>
                </w:tcPr>
                <w:p w14:paraId="7CD52D5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67.28</w:t>
                  </w:r>
                </w:p>
              </w:tc>
              <w:tc>
                <w:tcPr>
                  <w:tcW w:w="420" w:type="dxa"/>
                  <w:tcBorders>
                    <w:tl2br w:val="nil"/>
                    <w:tr2bl w:val="nil"/>
                  </w:tcBorders>
                  <w:shd w:val="clear" w:color="auto" w:fill="FFFFFF"/>
                  <w:noWrap/>
                  <w:vAlign w:val="center"/>
                </w:tcPr>
                <w:p w14:paraId="5D32ED1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昼间</w:t>
                  </w:r>
                </w:p>
              </w:tc>
              <w:tc>
                <w:tcPr>
                  <w:tcW w:w="598" w:type="dxa"/>
                  <w:tcBorders>
                    <w:tl2br w:val="nil"/>
                    <w:tr2bl w:val="nil"/>
                  </w:tcBorders>
                  <w:shd w:val="clear" w:color="auto" w:fill="FFFFFF"/>
                  <w:noWrap/>
                  <w:vAlign w:val="center"/>
                </w:tcPr>
                <w:p w14:paraId="0021549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shd w:val="clear" w:color="auto" w:fill="FFFFFF"/>
                  <w:noWrap/>
                  <w:vAlign w:val="center"/>
                </w:tcPr>
                <w:p w14:paraId="3AE88B4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41.28</w:t>
                  </w:r>
                </w:p>
              </w:tc>
              <w:tc>
                <w:tcPr>
                  <w:tcW w:w="547" w:type="dxa"/>
                  <w:tcBorders>
                    <w:tl2br w:val="nil"/>
                    <w:tr2bl w:val="nil"/>
                  </w:tcBorders>
                  <w:shd w:val="clear" w:color="auto" w:fill="FFFFFF"/>
                  <w:noWrap/>
                  <w:vAlign w:val="center"/>
                </w:tcPr>
                <w:p w14:paraId="27A963F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40B0A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7EEC796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w:t>
                  </w:r>
                </w:p>
              </w:tc>
              <w:tc>
                <w:tcPr>
                  <w:tcW w:w="477" w:type="dxa"/>
                  <w:vMerge w:val="continue"/>
                  <w:tcBorders>
                    <w:tl2br w:val="nil"/>
                    <w:tr2bl w:val="nil"/>
                  </w:tcBorders>
                  <w:shd w:val="clear" w:color="auto" w:fill="FFFFFF"/>
                  <w:noWrap/>
                  <w:vAlign w:val="center"/>
                </w:tcPr>
                <w:p w14:paraId="66628AA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shd w:val="clear" w:color="auto" w:fill="FFFFFF"/>
                  <w:noWrap/>
                  <w:vAlign w:val="center"/>
                </w:tcPr>
                <w:p w14:paraId="5309139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CO</w:t>
                  </w:r>
                  <w:r>
                    <w:rPr>
                      <w:color w:val="auto"/>
                      <w:spacing w:val="-6"/>
                      <w:kern w:val="0"/>
                      <w:sz w:val="18"/>
                      <w:szCs w:val="18"/>
                      <w:vertAlign w:val="subscript"/>
                      <w:lang w:bidi="ar"/>
                    </w:rPr>
                    <w:t>2</w:t>
                  </w:r>
                  <w:r>
                    <w:rPr>
                      <w:color w:val="auto"/>
                      <w:spacing w:val="-6"/>
                      <w:kern w:val="0"/>
                      <w:sz w:val="18"/>
                      <w:szCs w:val="18"/>
                      <w:lang w:bidi="ar"/>
                    </w:rPr>
                    <w:t>保护焊机1</w:t>
                  </w:r>
                </w:p>
              </w:tc>
              <w:tc>
                <w:tcPr>
                  <w:tcW w:w="638" w:type="dxa"/>
                  <w:tcBorders>
                    <w:tl2br w:val="nil"/>
                    <w:tr2bl w:val="nil"/>
                  </w:tcBorders>
                  <w:shd w:val="clear" w:color="auto" w:fill="FFFFFF"/>
                  <w:noWrap/>
                  <w:vAlign w:val="center"/>
                </w:tcPr>
                <w:p w14:paraId="3B356CC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color w:val="auto"/>
                      <w:spacing w:val="-6"/>
                      <w:sz w:val="18"/>
                      <w:szCs w:val="18"/>
                    </w:rPr>
                    <w:t>XD500X</w:t>
                  </w:r>
                </w:p>
              </w:tc>
              <w:tc>
                <w:tcPr>
                  <w:tcW w:w="726" w:type="dxa"/>
                  <w:tcBorders>
                    <w:tl2br w:val="nil"/>
                    <w:tr2bl w:val="nil"/>
                  </w:tcBorders>
                  <w:shd w:val="clear" w:color="auto" w:fill="FFFFFF"/>
                  <w:noWrap/>
                  <w:vAlign w:val="center"/>
                </w:tcPr>
                <w:p w14:paraId="4E7CC35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75/1</w:t>
                  </w:r>
                </w:p>
              </w:tc>
              <w:tc>
                <w:tcPr>
                  <w:tcW w:w="535" w:type="dxa"/>
                  <w:vMerge w:val="continue"/>
                  <w:tcBorders>
                    <w:tl2br w:val="nil"/>
                    <w:tr2bl w:val="nil"/>
                  </w:tcBorders>
                  <w:shd w:val="clear" w:color="auto" w:fill="FFFFFF"/>
                  <w:noWrap/>
                  <w:vAlign w:val="center"/>
                </w:tcPr>
                <w:p w14:paraId="072EDB3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shd w:val="clear" w:color="auto" w:fill="FFFFFF"/>
                  <w:noWrap/>
                  <w:vAlign w:val="center"/>
                </w:tcPr>
                <w:p w14:paraId="195C8C2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53.28</w:t>
                  </w:r>
                </w:p>
              </w:tc>
              <w:tc>
                <w:tcPr>
                  <w:tcW w:w="630" w:type="dxa"/>
                  <w:tcBorders>
                    <w:tl2br w:val="nil"/>
                    <w:tr2bl w:val="nil"/>
                  </w:tcBorders>
                  <w:shd w:val="clear" w:color="auto" w:fill="FFFFFF"/>
                  <w:noWrap/>
                  <w:vAlign w:val="center"/>
                </w:tcPr>
                <w:p w14:paraId="5A53F77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97.61</w:t>
                  </w:r>
                </w:p>
              </w:tc>
              <w:tc>
                <w:tcPr>
                  <w:tcW w:w="390" w:type="dxa"/>
                  <w:tcBorders>
                    <w:tl2br w:val="nil"/>
                    <w:tr2bl w:val="nil"/>
                  </w:tcBorders>
                  <w:shd w:val="clear" w:color="auto" w:fill="FFFFFF"/>
                  <w:noWrap/>
                  <w:vAlign w:val="center"/>
                </w:tcPr>
                <w:p w14:paraId="5D67D33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shd w:val="clear" w:color="auto" w:fill="FFFFFF"/>
                  <w:noWrap/>
                  <w:vAlign w:val="center"/>
                </w:tcPr>
                <w:p w14:paraId="719562A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20.48</w:t>
                  </w:r>
                </w:p>
              </w:tc>
              <w:tc>
                <w:tcPr>
                  <w:tcW w:w="630" w:type="dxa"/>
                  <w:tcBorders>
                    <w:tl2br w:val="nil"/>
                    <w:tr2bl w:val="nil"/>
                  </w:tcBorders>
                  <w:shd w:val="clear" w:color="auto" w:fill="FFFFFF"/>
                  <w:noWrap/>
                  <w:vAlign w:val="center"/>
                </w:tcPr>
                <w:p w14:paraId="7A5B58E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67.28</w:t>
                  </w:r>
                </w:p>
              </w:tc>
              <w:tc>
                <w:tcPr>
                  <w:tcW w:w="420" w:type="dxa"/>
                  <w:tcBorders>
                    <w:tl2br w:val="nil"/>
                    <w:tr2bl w:val="nil"/>
                  </w:tcBorders>
                  <w:shd w:val="clear" w:color="auto" w:fill="FFFFFF"/>
                  <w:noWrap/>
                  <w:vAlign w:val="center"/>
                </w:tcPr>
                <w:p w14:paraId="19B53DF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昼间</w:t>
                  </w:r>
                </w:p>
              </w:tc>
              <w:tc>
                <w:tcPr>
                  <w:tcW w:w="598" w:type="dxa"/>
                  <w:tcBorders>
                    <w:tl2br w:val="nil"/>
                    <w:tr2bl w:val="nil"/>
                  </w:tcBorders>
                  <w:shd w:val="clear" w:color="auto" w:fill="FFFFFF"/>
                  <w:noWrap/>
                  <w:vAlign w:val="center"/>
                </w:tcPr>
                <w:p w14:paraId="104745F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shd w:val="clear" w:color="auto" w:fill="FFFFFF"/>
                  <w:noWrap/>
                  <w:vAlign w:val="center"/>
                </w:tcPr>
                <w:p w14:paraId="4EAE7F4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41.28</w:t>
                  </w:r>
                </w:p>
              </w:tc>
              <w:tc>
                <w:tcPr>
                  <w:tcW w:w="547" w:type="dxa"/>
                  <w:tcBorders>
                    <w:tl2br w:val="nil"/>
                    <w:tr2bl w:val="nil"/>
                  </w:tcBorders>
                  <w:shd w:val="clear" w:color="auto" w:fill="FFFFFF"/>
                  <w:noWrap/>
                  <w:vAlign w:val="center"/>
                </w:tcPr>
                <w:p w14:paraId="0EE1316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351C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6D6BF8B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6</w:t>
                  </w:r>
                </w:p>
              </w:tc>
              <w:tc>
                <w:tcPr>
                  <w:tcW w:w="477" w:type="dxa"/>
                  <w:vMerge w:val="continue"/>
                  <w:tcBorders>
                    <w:tl2br w:val="nil"/>
                    <w:tr2bl w:val="nil"/>
                  </w:tcBorders>
                  <w:shd w:val="clear" w:color="auto" w:fill="FFFFFF"/>
                  <w:noWrap/>
                  <w:vAlign w:val="center"/>
                </w:tcPr>
                <w:p w14:paraId="7E016F4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shd w:val="clear" w:color="auto" w:fill="FFFFFF"/>
                  <w:noWrap/>
                  <w:vAlign w:val="center"/>
                </w:tcPr>
                <w:p w14:paraId="17142AC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CO</w:t>
                  </w:r>
                  <w:r>
                    <w:rPr>
                      <w:color w:val="auto"/>
                      <w:spacing w:val="-6"/>
                      <w:kern w:val="0"/>
                      <w:sz w:val="18"/>
                      <w:szCs w:val="18"/>
                      <w:vertAlign w:val="subscript"/>
                      <w:lang w:bidi="ar"/>
                    </w:rPr>
                    <w:t>2</w:t>
                  </w:r>
                  <w:r>
                    <w:rPr>
                      <w:color w:val="auto"/>
                      <w:spacing w:val="-6"/>
                      <w:kern w:val="0"/>
                      <w:sz w:val="18"/>
                      <w:szCs w:val="18"/>
                      <w:lang w:bidi="ar"/>
                    </w:rPr>
                    <w:t>保护焊机2</w:t>
                  </w:r>
                </w:p>
              </w:tc>
              <w:tc>
                <w:tcPr>
                  <w:tcW w:w="638" w:type="dxa"/>
                  <w:tcBorders>
                    <w:tl2br w:val="nil"/>
                    <w:tr2bl w:val="nil"/>
                  </w:tcBorders>
                  <w:shd w:val="clear" w:color="auto" w:fill="FFFFFF"/>
                  <w:noWrap/>
                  <w:vAlign w:val="center"/>
                </w:tcPr>
                <w:p w14:paraId="122C2EA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color w:val="auto"/>
                      <w:spacing w:val="-6"/>
                      <w:sz w:val="18"/>
                      <w:szCs w:val="18"/>
                    </w:rPr>
                    <w:t>XD500X</w:t>
                  </w:r>
                </w:p>
              </w:tc>
              <w:tc>
                <w:tcPr>
                  <w:tcW w:w="726" w:type="dxa"/>
                  <w:tcBorders>
                    <w:tl2br w:val="nil"/>
                    <w:tr2bl w:val="nil"/>
                  </w:tcBorders>
                  <w:shd w:val="clear" w:color="auto" w:fill="FFFFFF"/>
                  <w:noWrap/>
                  <w:vAlign w:val="center"/>
                </w:tcPr>
                <w:p w14:paraId="1E10B40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75/1</w:t>
                  </w:r>
                </w:p>
              </w:tc>
              <w:tc>
                <w:tcPr>
                  <w:tcW w:w="535" w:type="dxa"/>
                  <w:vMerge w:val="continue"/>
                  <w:tcBorders>
                    <w:tl2br w:val="nil"/>
                    <w:tr2bl w:val="nil"/>
                  </w:tcBorders>
                  <w:shd w:val="clear" w:color="auto" w:fill="FFFFFF"/>
                  <w:noWrap/>
                  <w:vAlign w:val="center"/>
                </w:tcPr>
                <w:p w14:paraId="30CC961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shd w:val="clear" w:color="auto" w:fill="FFFFFF"/>
                  <w:noWrap/>
                  <w:vAlign w:val="center"/>
                </w:tcPr>
                <w:p w14:paraId="0AF7A9E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57.29</w:t>
                  </w:r>
                </w:p>
              </w:tc>
              <w:tc>
                <w:tcPr>
                  <w:tcW w:w="630" w:type="dxa"/>
                  <w:tcBorders>
                    <w:tl2br w:val="nil"/>
                    <w:tr2bl w:val="nil"/>
                  </w:tcBorders>
                  <w:shd w:val="clear" w:color="auto" w:fill="FFFFFF"/>
                  <w:noWrap/>
                  <w:vAlign w:val="center"/>
                </w:tcPr>
                <w:p w14:paraId="3550FC1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97.07</w:t>
                  </w:r>
                </w:p>
              </w:tc>
              <w:tc>
                <w:tcPr>
                  <w:tcW w:w="390" w:type="dxa"/>
                  <w:tcBorders>
                    <w:tl2br w:val="nil"/>
                    <w:tr2bl w:val="nil"/>
                  </w:tcBorders>
                  <w:shd w:val="clear" w:color="auto" w:fill="FFFFFF"/>
                  <w:noWrap/>
                  <w:vAlign w:val="center"/>
                </w:tcPr>
                <w:p w14:paraId="2BC69D5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shd w:val="clear" w:color="auto" w:fill="FFFFFF"/>
                  <w:noWrap/>
                  <w:vAlign w:val="center"/>
                </w:tcPr>
                <w:p w14:paraId="77E2B73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20.91</w:t>
                  </w:r>
                </w:p>
              </w:tc>
              <w:tc>
                <w:tcPr>
                  <w:tcW w:w="630" w:type="dxa"/>
                  <w:tcBorders>
                    <w:tl2br w:val="nil"/>
                    <w:tr2bl w:val="nil"/>
                  </w:tcBorders>
                  <w:shd w:val="clear" w:color="auto" w:fill="FFFFFF"/>
                  <w:noWrap/>
                  <w:vAlign w:val="center"/>
                </w:tcPr>
                <w:p w14:paraId="4B5D585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67.28</w:t>
                  </w:r>
                </w:p>
              </w:tc>
              <w:tc>
                <w:tcPr>
                  <w:tcW w:w="420" w:type="dxa"/>
                  <w:tcBorders>
                    <w:tl2br w:val="nil"/>
                    <w:tr2bl w:val="nil"/>
                  </w:tcBorders>
                  <w:shd w:val="clear" w:color="auto" w:fill="FFFFFF"/>
                  <w:noWrap/>
                  <w:vAlign w:val="center"/>
                </w:tcPr>
                <w:p w14:paraId="7D8B869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昼间</w:t>
                  </w:r>
                </w:p>
              </w:tc>
              <w:tc>
                <w:tcPr>
                  <w:tcW w:w="598" w:type="dxa"/>
                  <w:tcBorders>
                    <w:tl2br w:val="nil"/>
                    <w:tr2bl w:val="nil"/>
                  </w:tcBorders>
                  <w:shd w:val="clear" w:color="auto" w:fill="FFFFFF"/>
                  <w:noWrap/>
                  <w:vAlign w:val="center"/>
                </w:tcPr>
                <w:p w14:paraId="2218E72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shd w:val="clear" w:color="auto" w:fill="FFFFFF"/>
                  <w:noWrap/>
                  <w:vAlign w:val="center"/>
                </w:tcPr>
                <w:p w14:paraId="2011B8E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41.28</w:t>
                  </w:r>
                </w:p>
              </w:tc>
              <w:tc>
                <w:tcPr>
                  <w:tcW w:w="547" w:type="dxa"/>
                  <w:tcBorders>
                    <w:tl2br w:val="nil"/>
                    <w:tr2bl w:val="nil"/>
                  </w:tcBorders>
                  <w:shd w:val="clear" w:color="auto" w:fill="FFFFFF"/>
                  <w:noWrap/>
                  <w:vAlign w:val="center"/>
                </w:tcPr>
                <w:p w14:paraId="2EDE585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1B452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6AB8EFF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w:t>
                  </w:r>
                </w:p>
              </w:tc>
              <w:tc>
                <w:tcPr>
                  <w:tcW w:w="477" w:type="dxa"/>
                  <w:vMerge w:val="continue"/>
                  <w:tcBorders>
                    <w:tl2br w:val="nil"/>
                    <w:tr2bl w:val="nil"/>
                  </w:tcBorders>
                  <w:shd w:val="clear" w:color="auto" w:fill="FFFFFF"/>
                  <w:noWrap/>
                  <w:vAlign w:val="center"/>
                </w:tcPr>
                <w:p w14:paraId="5280C7A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shd w:val="clear" w:color="auto" w:fill="FFFFFF"/>
                  <w:noWrap/>
                  <w:vAlign w:val="center"/>
                </w:tcPr>
                <w:p w14:paraId="41CDA5C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气动千斤顶1</w:t>
                  </w:r>
                </w:p>
              </w:tc>
              <w:tc>
                <w:tcPr>
                  <w:tcW w:w="638" w:type="dxa"/>
                  <w:tcBorders>
                    <w:tl2br w:val="nil"/>
                    <w:tr2bl w:val="nil"/>
                  </w:tcBorders>
                  <w:shd w:val="clear" w:color="auto" w:fill="FFFFFF"/>
                  <w:noWrap/>
                  <w:vAlign w:val="center"/>
                </w:tcPr>
                <w:p w14:paraId="20BC048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rFonts w:hint="eastAsia"/>
                      <w:color w:val="auto"/>
                      <w:spacing w:val="-6"/>
                      <w:sz w:val="18"/>
                      <w:szCs w:val="18"/>
                    </w:rPr>
                    <w:t>/</w:t>
                  </w:r>
                </w:p>
              </w:tc>
              <w:tc>
                <w:tcPr>
                  <w:tcW w:w="726" w:type="dxa"/>
                  <w:tcBorders>
                    <w:tl2br w:val="nil"/>
                    <w:tr2bl w:val="nil"/>
                  </w:tcBorders>
                  <w:shd w:val="clear" w:color="auto" w:fill="FFFFFF"/>
                  <w:noWrap/>
                  <w:vAlign w:val="center"/>
                </w:tcPr>
                <w:p w14:paraId="6DDF4C2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80/1</w:t>
                  </w:r>
                </w:p>
              </w:tc>
              <w:tc>
                <w:tcPr>
                  <w:tcW w:w="535" w:type="dxa"/>
                  <w:vMerge w:val="continue"/>
                  <w:tcBorders>
                    <w:tl2br w:val="nil"/>
                    <w:tr2bl w:val="nil"/>
                  </w:tcBorders>
                  <w:shd w:val="clear" w:color="auto" w:fill="FFFFFF"/>
                  <w:noWrap/>
                  <w:vAlign w:val="center"/>
                </w:tcPr>
                <w:p w14:paraId="37C9355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shd w:val="clear" w:color="auto" w:fill="FFFFFF"/>
                  <w:noWrap/>
                  <w:vAlign w:val="center"/>
                </w:tcPr>
                <w:p w14:paraId="68AC0A3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42.86</w:t>
                  </w:r>
                </w:p>
              </w:tc>
              <w:tc>
                <w:tcPr>
                  <w:tcW w:w="630" w:type="dxa"/>
                  <w:tcBorders>
                    <w:tl2br w:val="nil"/>
                    <w:tr2bl w:val="nil"/>
                  </w:tcBorders>
                  <w:shd w:val="clear" w:color="auto" w:fill="FFFFFF"/>
                  <w:noWrap/>
                  <w:vAlign w:val="center"/>
                </w:tcPr>
                <w:p w14:paraId="6E0419B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92.53</w:t>
                  </w:r>
                </w:p>
              </w:tc>
              <w:tc>
                <w:tcPr>
                  <w:tcW w:w="390" w:type="dxa"/>
                  <w:tcBorders>
                    <w:tl2br w:val="nil"/>
                    <w:tr2bl w:val="nil"/>
                  </w:tcBorders>
                  <w:shd w:val="clear" w:color="auto" w:fill="FFFFFF"/>
                  <w:noWrap/>
                  <w:vAlign w:val="center"/>
                </w:tcPr>
                <w:p w14:paraId="4AC0D65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shd w:val="clear" w:color="auto" w:fill="FFFFFF"/>
                  <w:noWrap/>
                  <w:vAlign w:val="center"/>
                </w:tcPr>
                <w:p w14:paraId="51082EA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23.40</w:t>
                  </w:r>
                </w:p>
              </w:tc>
              <w:tc>
                <w:tcPr>
                  <w:tcW w:w="630" w:type="dxa"/>
                  <w:tcBorders>
                    <w:tl2br w:val="nil"/>
                    <w:tr2bl w:val="nil"/>
                  </w:tcBorders>
                  <w:shd w:val="clear" w:color="auto" w:fill="FFFFFF"/>
                  <w:noWrap/>
                  <w:vAlign w:val="center"/>
                </w:tcPr>
                <w:p w14:paraId="4A9DBDE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72.28</w:t>
                  </w:r>
                </w:p>
              </w:tc>
              <w:tc>
                <w:tcPr>
                  <w:tcW w:w="420" w:type="dxa"/>
                  <w:tcBorders>
                    <w:tl2br w:val="nil"/>
                    <w:tr2bl w:val="nil"/>
                  </w:tcBorders>
                  <w:shd w:val="clear" w:color="auto" w:fill="FFFFFF"/>
                  <w:noWrap/>
                  <w:vAlign w:val="center"/>
                </w:tcPr>
                <w:p w14:paraId="12E0C78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昼间</w:t>
                  </w:r>
                </w:p>
              </w:tc>
              <w:tc>
                <w:tcPr>
                  <w:tcW w:w="598" w:type="dxa"/>
                  <w:tcBorders>
                    <w:tl2br w:val="nil"/>
                    <w:tr2bl w:val="nil"/>
                  </w:tcBorders>
                  <w:shd w:val="clear" w:color="auto" w:fill="FFFFFF"/>
                  <w:noWrap/>
                  <w:vAlign w:val="center"/>
                </w:tcPr>
                <w:p w14:paraId="79B9E84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shd w:val="clear" w:color="auto" w:fill="FFFFFF"/>
                  <w:noWrap/>
                  <w:vAlign w:val="center"/>
                </w:tcPr>
                <w:p w14:paraId="19A1708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46.28</w:t>
                  </w:r>
                </w:p>
              </w:tc>
              <w:tc>
                <w:tcPr>
                  <w:tcW w:w="547" w:type="dxa"/>
                  <w:tcBorders>
                    <w:tl2br w:val="nil"/>
                    <w:tr2bl w:val="nil"/>
                  </w:tcBorders>
                  <w:shd w:val="clear" w:color="auto" w:fill="FFFFFF"/>
                  <w:noWrap/>
                  <w:vAlign w:val="center"/>
                </w:tcPr>
                <w:p w14:paraId="7F70199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464A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324E2E6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w:t>
                  </w:r>
                </w:p>
              </w:tc>
              <w:tc>
                <w:tcPr>
                  <w:tcW w:w="477" w:type="dxa"/>
                  <w:vMerge w:val="continue"/>
                  <w:tcBorders>
                    <w:tl2br w:val="nil"/>
                    <w:tr2bl w:val="nil"/>
                  </w:tcBorders>
                  <w:shd w:val="clear" w:color="auto" w:fill="FFFFFF"/>
                  <w:noWrap/>
                  <w:vAlign w:val="center"/>
                </w:tcPr>
                <w:p w14:paraId="1CA60FC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shd w:val="clear" w:color="auto" w:fill="FFFFFF"/>
                  <w:noWrap/>
                  <w:vAlign w:val="center"/>
                </w:tcPr>
                <w:p w14:paraId="2A9F1E7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气动千斤顶2</w:t>
                  </w:r>
                </w:p>
              </w:tc>
              <w:tc>
                <w:tcPr>
                  <w:tcW w:w="638" w:type="dxa"/>
                  <w:tcBorders>
                    <w:tl2br w:val="nil"/>
                    <w:tr2bl w:val="nil"/>
                  </w:tcBorders>
                  <w:shd w:val="clear" w:color="auto" w:fill="FFFFFF"/>
                  <w:noWrap/>
                  <w:vAlign w:val="center"/>
                </w:tcPr>
                <w:p w14:paraId="5B36012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rFonts w:hint="eastAsia"/>
                      <w:color w:val="auto"/>
                      <w:spacing w:val="-6"/>
                      <w:sz w:val="18"/>
                      <w:szCs w:val="18"/>
                    </w:rPr>
                    <w:t>/</w:t>
                  </w:r>
                </w:p>
              </w:tc>
              <w:tc>
                <w:tcPr>
                  <w:tcW w:w="726" w:type="dxa"/>
                  <w:tcBorders>
                    <w:tl2br w:val="nil"/>
                    <w:tr2bl w:val="nil"/>
                  </w:tcBorders>
                  <w:shd w:val="clear" w:color="auto" w:fill="FFFFFF"/>
                  <w:noWrap/>
                  <w:vAlign w:val="center"/>
                </w:tcPr>
                <w:p w14:paraId="1B0D07F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80/1</w:t>
                  </w:r>
                </w:p>
              </w:tc>
              <w:tc>
                <w:tcPr>
                  <w:tcW w:w="535" w:type="dxa"/>
                  <w:vMerge w:val="continue"/>
                  <w:tcBorders>
                    <w:tl2br w:val="nil"/>
                    <w:tr2bl w:val="nil"/>
                  </w:tcBorders>
                  <w:shd w:val="clear" w:color="auto" w:fill="FFFFFF"/>
                  <w:noWrap/>
                  <w:vAlign w:val="center"/>
                </w:tcPr>
                <w:p w14:paraId="35FC8AA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shd w:val="clear" w:color="auto" w:fill="FFFFFF"/>
                  <w:noWrap/>
                  <w:vAlign w:val="center"/>
                </w:tcPr>
                <w:p w14:paraId="248211A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48.2</w:t>
                  </w:r>
                </w:p>
              </w:tc>
              <w:tc>
                <w:tcPr>
                  <w:tcW w:w="630" w:type="dxa"/>
                  <w:tcBorders>
                    <w:tl2br w:val="nil"/>
                    <w:tr2bl w:val="nil"/>
                  </w:tcBorders>
                  <w:shd w:val="clear" w:color="auto" w:fill="FFFFFF"/>
                  <w:noWrap/>
                  <w:vAlign w:val="center"/>
                </w:tcPr>
                <w:p w14:paraId="62C3027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91.46</w:t>
                  </w:r>
                </w:p>
              </w:tc>
              <w:tc>
                <w:tcPr>
                  <w:tcW w:w="390" w:type="dxa"/>
                  <w:tcBorders>
                    <w:tl2br w:val="nil"/>
                    <w:tr2bl w:val="nil"/>
                  </w:tcBorders>
                  <w:shd w:val="clear" w:color="auto" w:fill="FFFFFF"/>
                  <w:noWrap/>
                  <w:vAlign w:val="center"/>
                </w:tcPr>
                <w:p w14:paraId="2B5A4AC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shd w:val="clear" w:color="auto" w:fill="FFFFFF"/>
                  <w:noWrap/>
                  <w:vAlign w:val="center"/>
                </w:tcPr>
                <w:p w14:paraId="735F880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22.64</w:t>
                  </w:r>
                </w:p>
              </w:tc>
              <w:tc>
                <w:tcPr>
                  <w:tcW w:w="630" w:type="dxa"/>
                  <w:tcBorders>
                    <w:tl2br w:val="nil"/>
                    <w:tr2bl w:val="nil"/>
                  </w:tcBorders>
                  <w:shd w:val="clear" w:color="auto" w:fill="FFFFFF"/>
                  <w:noWrap/>
                  <w:vAlign w:val="center"/>
                </w:tcPr>
                <w:p w14:paraId="08FB1CC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72.28</w:t>
                  </w:r>
                </w:p>
              </w:tc>
              <w:tc>
                <w:tcPr>
                  <w:tcW w:w="420" w:type="dxa"/>
                  <w:tcBorders>
                    <w:tl2br w:val="nil"/>
                    <w:tr2bl w:val="nil"/>
                  </w:tcBorders>
                  <w:shd w:val="clear" w:color="auto" w:fill="FFFFFF"/>
                  <w:noWrap/>
                  <w:vAlign w:val="center"/>
                </w:tcPr>
                <w:p w14:paraId="2800084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昼间</w:t>
                  </w:r>
                </w:p>
              </w:tc>
              <w:tc>
                <w:tcPr>
                  <w:tcW w:w="598" w:type="dxa"/>
                  <w:tcBorders>
                    <w:tl2br w:val="nil"/>
                    <w:tr2bl w:val="nil"/>
                  </w:tcBorders>
                  <w:shd w:val="clear" w:color="auto" w:fill="FFFFFF"/>
                  <w:noWrap/>
                  <w:vAlign w:val="center"/>
                </w:tcPr>
                <w:p w14:paraId="110B18F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shd w:val="clear" w:color="auto" w:fill="FFFFFF"/>
                  <w:noWrap/>
                  <w:vAlign w:val="center"/>
                </w:tcPr>
                <w:p w14:paraId="2045C1E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46.28</w:t>
                  </w:r>
                </w:p>
              </w:tc>
              <w:tc>
                <w:tcPr>
                  <w:tcW w:w="547" w:type="dxa"/>
                  <w:tcBorders>
                    <w:tl2br w:val="nil"/>
                    <w:tr2bl w:val="nil"/>
                  </w:tcBorders>
                  <w:shd w:val="clear" w:color="auto" w:fill="FFFFFF"/>
                  <w:noWrap/>
                  <w:vAlign w:val="center"/>
                </w:tcPr>
                <w:p w14:paraId="4E30967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18AC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11C6C38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9</w:t>
                  </w:r>
                </w:p>
              </w:tc>
              <w:tc>
                <w:tcPr>
                  <w:tcW w:w="477" w:type="dxa"/>
                  <w:vMerge w:val="continue"/>
                  <w:tcBorders>
                    <w:tl2br w:val="nil"/>
                    <w:tr2bl w:val="nil"/>
                  </w:tcBorders>
                  <w:shd w:val="clear" w:color="auto" w:fill="FFFFFF"/>
                  <w:noWrap/>
                  <w:vAlign w:val="center"/>
                </w:tcPr>
                <w:p w14:paraId="4705A78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shd w:val="clear" w:color="auto" w:fill="FFFFFF"/>
                  <w:noWrap/>
                  <w:vAlign w:val="center"/>
                </w:tcPr>
                <w:p w14:paraId="156898F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气动千斤顶3</w:t>
                  </w:r>
                </w:p>
              </w:tc>
              <w:tc>
                <w:tcPr>
                  <w:tcW w:w="638" w:type="dxa"/>
                  <w:tcBorders>
                    <w:tl2br w:val="nil"/>
                    <w:tr2bl w:val="nil"/>
                  </w:tcBorders>
                  <w:shd w:val="clear" w:color="auto" w:fill="FFFFFF"/>
                  <w:noWrap/>
                  <w:vAlign w:val="center"/>
                </w:tcPr>
                <w:p w14:paraId="60B00A9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rFonts w:hint="eastAsia"/>
                      <w:color w:val="auto"/>
                      <w:spacing w:val="-6"/>
                      <w:sz w:val="18"/>
                      <w:szCs w:val="18"/>
                    </w:rPr>
                    <w:t>/</w:t>
                  </w:r>
                </w:p>
              </w:tc>
              <w:tc>
                <w:tcPr>
                  <w:tcW w:w="726" w:type="dxa"/>
                  <w:tcBorders>
                    <w:tl2br w:val="nil"/>
                    <w:tr2bl w:val="nil"/>
                  </w:tcBorders>
                  <w:shd w:val="clear" w:color="auto" w:fill="FFFFFF"/>
                  <w:noWrap/>
                  <w:vAlign w:val="center"/>
                </w:tcPr>
                <w:p w14:paraId="11BF400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80/1</w:t>
                  </w:r>
                </w:p>
              </w:tc>
              <w:tc>
                <w:tcPr>
                  <w:tcW w:w="535" w:type="dxa"/>
                  <w:vMerge w:val="continue"/>
                  <w:tcBorders>
                    <w:tl2br w:val="nil"/>
                    <w:tr2bl w:val="nil"/>
                  </w:tcBorders>
                  <w:shd w:val="clear" w:color="auto" w:fill="FFFFFF"/>
                  <w:noWrap/>
                  <w:vAlign w:val="center"/>
                </w:tcPr>
                <w:p w14:paraId="16F8E20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shd w:val="clear" w:color="auto" w:fill="FFFFFF"/>
                  <w:noWrap/>
                  <w:vAlign w:val="center"/>
                </w:tcPr>
                <w:p w14:paraId="43209C8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53.28</w:t>
                  </w:r>
                </w:p>
              </w:tc>
              <w:tc>
                <w:tcPr>
                  <w:tcW w:w="630" w:type="dxa"/>
                  <w:tcBorders>
                    <w:tl2br w:val="nil"/>
                    <w:tr2bl w:val="nil"/>
                  </w:tcBorders>
                  <w:shd w:val="clear" w:color="auto" w:fill="FFFFFF"/>
                  <w:noWrap/>
                  <w:vAlign w:val="center"/>
                </w:tcPr>
                <w:p w14:paraId="61E4C49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90.93</w:t>
                  </w:r>
                </w:p>
              </w:tc>
              <w:tc>
                <w:tcPr>
                  <w:tcW w:w="390" w:type="dxa"/>
                  <w:tcBorders>
                    <w:tl2br w:val="nil"/>
                    <w:tr2bl w:val="nil"/>
                  </w:tcBorders>
                  <w:shd w:val="clear" w:color="auto" w:fill="FFFFFF"/>
                  <w:noWrap/>
                  <w:vAlign w:val="center"/>
                </w:tcPr>
                <w:p w14:paraId="4362FF1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shd w:val="clear" w:color="auto" w:fill="FFFFFF"/>
                  <w:noWrap/>
                  <w:vAlign w:val="center"/>
                </w:tcPr>
                <w:p w14:paraId="42327E5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22.40</w:t>
                  </w:r>
                </w:p>
              </w:tc>
              <w:tc>
                <w:tcPr>
                  <w:tcW w:w="630" w:type="dxa"/>
                  <w:tcBorders>
                    <w:tl2br w:val="nil"/>
                    <w:tr2bl w:val="nil"/>
                  </w:tcBorders>
                  <w:shd w:val="clear" w:color="auto" w:fill="FFFFFF"/>
                  <w:noWrap/>
                  <w:vAlign w:val="center"/>
                </w:tcPr>
                <w:p w14:paraId="07435C5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72.28</w:t>
                  </w:r>
                </w:p>
              </w:tc>
              <w:tc>
                <w:tcPr>
                  <w:tcW w:w="420" w:type="dxa"/>
                  <w:tcBorders>
                    <w:tl2br w:val="nil"/>
                    <w:tr2bl w:val="nil"/>
                  </w:tcBorders>
                  <w:shd w:val="clear" w:color="auto" w:fill="FFFFFF"/>
                  <w:noWrap/>
                  <w:vAlign w:val="center"/>
                </w:tcPr>
                <w:p w14:paraId="05BBB03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昼间</w:t>
                  </w:r>
                </w:p>
              </w:tc>
              <w:tc>
                <w:tcPr>
                  <w:tcW w:w="598" w:type="dxa"/>
                  <w:tcBorders>
                    <w:tl2br w:val="nil"/>
                    <w:tr2bl w:val="nil"/>
                  </w:tcBorders>
                  <w:shd w:val="clear" w:color="auto" w:fill="FFFFFF"/>
                  <w:noWrap/>
                  <w:vAlign w:val="center"/>
                </w:tcPr>
                <w:p w14:paraId="5A81668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shd w:val="clear" w:color="auto" w:fill="FFFFFF"/>
                  <w:noWrap/>
                  <w:vAlign w:val="center"/>
                </w:tcPr>
                <w:p w14:paraId="6007CA9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46.28</w:t>
                  </w:r>
                </w:p>
              </w:tc>
              <w:tc>
                <w:tcPr>
                  <w:tcW w:w="547" w:type="dxa"/>
                  <w:tcBorders>
                    <w:tl2br w:val="nil"/>
                    <w:tr2bl w:val="nil"/>
                  </w:tcBorders>
                  <w:shd w:val="clear" w:color="auto" w:fill="FFFFFF"/>
                  <w:noWrap/>
                  <w:vAlign w:val="center"/>
                </w:tcPr>
                <w:p w14:paraId="6EC169E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4AED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7389947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10</w:t>
                  </w:r>
                </w:p>
              </w:tc>
              <w:tc>
                <w:tcPr>
                  <w:tcW w:w="477" w:type="dxa"/>
                  <w:vMerge w:val="continue"/>
                  <w:tcBorders>
                    <w:tl2br w:val="nil"/>
                    <w:tr2bl w:val="nil"/>
                  </w:tcBorders>
                  <w:shd w:val="clear" w:color="auto" w:fill="FFFFFF"/>
                  <w:noWrap/>
                  <w:vAlign w:val="center"/>
                </w:tcPr>
                <w:p w14:paraId="7259191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noWrap/>
                  <w:vAlign w:val="center"/>
                </w:tcPr>
                <w:p w14:paraId="2A1DED8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气动千斤顶4</w:t>
                  </w:r>
                </w:p>
              </w:tc>
              <w:tc>
                <w:tcPr>
                  <w:tcW w:w="638" w:type="dxa"/>
                  <w:tcBorders>
                    <w:tl2br w:val="nil"/>
                    <w:tr2bl w:val="nil"/>
                  </w:tcBorders>
                  <w:noWrap/>
                  <w:vAlign w:val="center"/>
                </w:tcPr>
                <w:p w14:paraId="605A700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rFonts w:hint="eastAsia"/>
                      <w:color w:val="auto"/>
                      <w:spacing w:val="-6"/>
                      <w:sz w:val="18"/>
                      <w:szCs w:val="18"/>
                    </w:rPr>
                    <w:t>/</w:t>
                  </w:r>
                </w:p>
              </w:tc>
              <w:tc>
                <w:tcPr>
                  <w:tcW w:w="726" w:type="dxa"/>
                  <w:tcBorders>
                    <w:tl2br w:val="nil"/>
                    <w:tr2bl w:val="nil"/>
                  </w:tcBorders>
                  <w:noWrap/>
                  <w:vAlign w:val="center"/>
                </w:tcPr>
                <w:p w14:paraId="1E73A25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80/1</w:t>
                  </w:r>
                </w:p>
              </w:tc>
              <w:tc>
                <w:tcPr>
                  <w:tcW w:w="535" w:type="dxa"/>
                  <w:vMerge w:val="continue"/>
                  <w:tcBorders>
                    <w:tl2br w:val="nil"/>
                    <w:tr2bl w:val="nil"/>
                  </w:tcBorders>
                  <w:noWrap/>
                  <w:vAlign w:val="center"/>
                </w:tcPr>
                <w:p w14:paraId="7C05B47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noWrap/>
                  <w:vAlign w:val="center"/>
                </w:tcPr>
                <w:p w14:paraId="35B6BE9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58.63</w:t>
                  </w:r>
                </w:p>
              </w:tc>
              <w:tc>
                <w:tcPr>
                  <w:tcW w:w="630" w:type="dxa"/>
                  <w:tcBorders>
                    <w:tl2br w:val="nil"/>
                    <w:tr2bl w:val="nil"/>
                  </w:tcBorders>
                  <w:noWrap/>
                  <w:vAlign w:val="center"/>
                </w:tcPr>
                <w:p w14:paraId="7B069F5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91.19</w:t>
                  </w:r>
                </w:p>
              </w:tc>
              <w:tc>
                <w:tcPr>
                  <w:tcW w:w="390" w:type="dxa"/>
                  <w:tcBorders>
                    <w:tl2br w:val="nil"/>
                    <w:tr2bl w:val="nil"/>
                  </w:tcBorders>
                  <w:noWrap/>
                  <w:vAlign w:val="center"/>
                </w:tcPr>
                <w:p w14:paraId="4D858A2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noWrap/>
                  <w:vAlign w:val="center"/>
                </w:tcPr>
                <w:p w14:paraId="4E3397E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20.43</w:t>
                  </w:r>
                </w:p>
              </w:tc>
              <w:tc>
                <w:tcPr>
                  <w:tcW w:w="630" w:type="dxa"/>
                  <w:tcBorders>
                    <w:tl2br w:val="nil"/>
                    <w:tr2bl w:val="nil"/>
                  </w:tcBorders>
                  <w:noWrap/>
                  <w:vAlign w:val="center"/>
                </w:tcPr>
                <w:p w14:paraId="74BC0BF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72.28</w:t>
                  </w:r>
                </w:p>
              </w:tc>
              <w:tc>
                <w:tcPr>
                  <w:tcW w:w="420" w:type="dxa"/>
                  <w:tcBorders>
                    <w:tl2br w:val="nil"/>
                    <w:tr2bl w:val="nil"/>
                  </w:tcBorders>
                  <w:noWrap/>
                  <w:vAlign w:val="center"/>
                </w:tcPr>
                <w:p w14:paraId="55AA33F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昼间</w:t>
                  </w:r>
                </w:p>
              </w:tc>
              <w:tc>
                <w:tcPr>
                  <w:tcW w:w="598" w:type="dxa"/>
                  <w:tcBorders>
                    <w:tl2br w:val="nil"/>
                    <w:tr2bl w:val="nil"/>
                  </w:tcBorders>
                  <w:noWrap/>
                  <w:vAlign w:val="center"/>
                </w:tcPr>
                <w:p w14:paraId="4FEB32B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noWrap/>
                  <w:vAlign w:val="center"/>
                </w:tcPr>
                <w:p w14:paraId="4705A89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46.28</w:t>
                  </w:r>
                </w:p>
              </w:tc>
              <w:tc>
                <w:tcPr>
                  <w:tcW w:w="547" w:type="dxa"/>
                  <w:tcBorders>
                    <w:tl2br w:val="nil"/>
                    <w:tr2bl w:val="nil"/>
                  </w:tcBorders>
                  <w:noWrap/>
                  <w:vAlign w:val="center"/>
                </w:tcPr>
                <w:p w14:paraId="2FA7A2C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7105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3E3F3D8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11</w:t>
                  </w:r>
                </w:p>
              </w:tc>
              <w:tc>
                <w:tcPr>
                  <w:tcW w:w="477" w:type="dxa"/>
                  <w:vMerge w:val="continue"/>
                  <w:tcBorders>
                    <w:tl2br w:val="nil"/>
                    <w:tr2bl w:val="nil"/>
                  </w:tcBorders>
                  <w:shd w:val="clear" w:color="auto" w:fill="FFFFFF"/>
                  <w:noWrap/>
                  <w:vAlign w:val="center"/>
                </w:tcPr>
                <w:p w14:paraId="6EDD3D0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shd w:val="clear" w:color="auto" w:fill="FFFFFF"/>
                  <w:noWrap/>
                  <w:vAlign w:val="center"/>
                </w:tcPr>
                <w:p w14:paraId="3D1F346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气动扳手1</w:t>
                  </w:r>
                </w:p>
              </w:tc>
              <w:tc>
                <w:tcPr>
                  <w:tcW w:w="638" w:type="dxa"/>
                  <w:tcBorders>
                    <w:tl2br w:val="nil"/>
                    <w:tr2bl w:val="nil"/>
                  </w:tcBorders>
                  <w:shd w:val="clear" w:color="auto" w:fill="FFFFFF"/>
                  <w:noWrap/>
                  <w:vAlign w:val="center"/>
                </w:tcPr>
                <w:p w14:paraId="7636AF9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rFonts w:hint="eastAsia"/>
                      <w:color w:val="auto"/>
                      <w:spacing w:val="-6"/>
                      <w:sz w:val="18"/>
                      <w:szCs w:val="18"/>
                    </w:rPr>
                    <w:t>/</w:t>
                  </w:r>
                </w:p>
              </w:tc>
              <w:tc>
                <w:tcPr>
                  <w:tcW w:w="726" w:type="dxa"/>
                  <w:tcBorders>
                    <w:tl2br w:val="nil"/>
                    <w:tr2bl w:val="nil"/>
                  </w:tcBorders>
                  <w:shd w:val="clear" w:color="auto" w:fill="FFFFFF"/>
                  <w:noWrap/>
                  <w:vAlign w:val="center"/>
                </w:tcPr>
                <w:p w14:paraId="501245E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85/1</w:t>
                  </w:r>
                </w:p>
              </w:tc>
              <w:tc>
                <w:tcPr>
                  <w:tcW w:w="535" w:type="dxa"/>
                  <w:vMerge w:val="continue"/>
                  <w:tcBorders>
                    <w:tl2br w:val="nil"/>
                    <w:tr2bl w:val="nil"/>
                  </w:tcBorders>
                  <w:shd w:val="clear" w:color="auto" w:fill="FFFFFF"/>
                  <w:noWrap/>
                  <w:vAlign w:val="center"/>
                </w:tcPr>
                <w:p w14:paraId="6B5C536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shd w:val="clear" w:color="auto" w:fill="FFFFFF"/>
                  <w:noWrap/>
                  <w:vAlign w:val="center"/>
                </w:tcPr>
                <w:p w14:paraId="63939C2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42.32</w:t>
                  </w:r>
                </w:p>
              </w:tc>
              <w:tc>
                <w:tcPr>
                  <w:tcW w:w="630" w:type="dxa"/>
                  <w:tcBorders>
                    <w:tl2br w:val="nil"/>
                    <w:tr2bl w:val="nil"/>
                  </w:tcBorders>
                  <w:shd w:val="clear" w:color="auto" w:fill="FFFFFF"/>
                  <w:noWrap/>
                  <w:vAlign w:val="center"/>
                </w:tcPr>
                <w:p w14:paraId="48345A2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87.18</w:t>
                  </w:r>
                </w:p>
              </w:tc>
              <w:tc>
                <w:tcPr>
                  <w:tcW w:w="390" w:type="dxa"/>
                  <w:tcBorders>
                    <w:tl2br w:val="nil"/>
                    <w:tr2bl w:val="nil"/>
                  </w:tcBorders>
                  <w:shd w:val="clear" w:color="auto" w:fill="FFFFFF"/>
                  <w:noWrap/>
                  <w:vAlign w:val="center"/>
                </w:tcPr>
                <w:p w14:paraId="3BC0204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shd w:val="clear" w:color="auto" w:fill="FFFFFF"/>
                  <w:noWrap/>
                  <w:vAlign w:val="center"/>
                </w:tcPr>
                <w:p w14:paraId="214A57A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18.02</w:t>
                  </w:r>
                </w:p>
              </w:tc>
              <w:tc>
                <w:tcPr>
                  <w:tcW w:w="630" w:type="dxa"/>
                  <w:tcBorders>
                    <w:tl2br w:val="nil"/>
                    <w:tr2bl w:val="nil"/>
                  </w:tcBorders>
                  <w:shd w:val="clear" w:color="auto" w:fill="FFFFFF"/>
                  <w:noWrap/>
                  <w:vAlign w:val="center"/>
                </w:tcPr>
                <w:p w14:paraId="3D372EE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77.28</w:t>
                  </w:r>
                </w:p>
              </w:tc>
              <w:tc>
                <w:tcPr>
                  <w:tcW w:w="420" w:type="dxa"/>
                  <w:tcBorders>
                    <w:tl2br w:val="nil"/>
                    <w:tr2bl w:val="nil"/>
                  </w:tcBorders>
                  <w:shd w:val="clear" w:color="auto" w:fill="FFFFFF"/>
                  <w:noWrap/>
                  <w:vAlign w:val="center"/>
                </w:tcPr>
                <w:p w14:paraId="4018875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昼间</w:t>
                  </w:r>
                </w:p>
              </w:tc>
              <w:tc>
                <w:tcPr>
                  <w:tcW w:w="598" w:type="dxa"/>
                  <w:tcBorders>
                    <w:tl2br w:val="nil"/>
                    <w:tr2bl w:val="nil"/>
                  </w:tcBorders>
                  <w:shd w:val="clear" w:color="auto" w:fill="FFFFFF"/>
                  <w:noWrap/>
                  <w:vAlign w:val="center"/>
                </w:tcPr>
                <w:p w14:paraId="2AAAC7F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shd w:val="clear" w:color="auto" w:fill="FFFFFF"/>
                  <w:noWrap/>
                  <w:vAlign w:val="center"/>
                </w:tcPr>
                <w:p w14:paraId="53A7C39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51.28</w:t>
                  </w:r>
                </w:p>
              </w:tc>
              <w:tc>
                <w:tcPr>
                  <w:tcW w:w="547" w:type="dxa"/>
                  <w:tcBorders>
                    <w:tl2br w:val="nil"/>
                    <w:tr2bl w:val="nil"/>
                  </w:tcBorders>
                  <w:shd w:val="clear" w:color="auto" w:fill="FFFFFF"/>
                  <w:noWrap/>
                  <w:vAlign w:val="center"/>
                </w:tcPr>
                <w:p w14:paraId="7A2121D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4BD7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69DD29F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12</w:t>
                  </w:r>
                </w:p>
              </w:tc>
              <w:tc>
                <w:tcPr>
                  <w:tcW w:w="477" w:type="dxa"/>
                  <w:vMerge w:val="continue"/>
                  <w:tcBorders>
                    <w:tl2br w:val="nil"/>
                    <w:tr2bl w:val="nil"/>
                  </w:tcBorders>
                  <w:shd w:val="clear" w:color="auto" w:fill="FFFFFF"/>
                  <w:noWrap/>
                  <w:vAlign w:val="center"/>
                </w:tcPr>
                <w:p w14:paraId="2B23724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shd w:val="clear" w:color="auto" w:fill="FFFFFF"/>
                  <w:noWrap/>
                  <w:vAlign w:val="center"/>
                </w:tcPr>
                <w:p w14:paraId="21F0B14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气动扳手2</w:t>
                  </w:r>
                </w:p>
              </w:tc>
              <w:tc>
                <w:tcPr>
                  <w:tcW w:w="638" w:type="dxa"/>
                  <w:tcBorders>
                    <w:tl2br w:val="nil"/>
                    <w:tr2bl w:val="nil"/>
                  </w:tcBorders>
                  <w:shd w:val="clear" w:color="auto" w:fill="FFFFFF"/>
                  <w:noWrap/>
                  <w:vAlign w:val="center"/>
                </w:tcPr>
                <w:p w14:paraId="4C4C73C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rFonts w:hint="eastAsia"/>
                      <w:color w:val="auto"/>
                      <w:spacing w:val="-6"/>
                      <w:sz w:val="18"/>
                      <w:szCs w:val="18"/>
                    </w:rPr>
                    <w:t>/</w:t>
                  </w:r>
                </w:p>
              </w:tc>
              <w:tc>
                <w:tcPr>
                  <w:tcW w:w="726" w:type="dxa"/>
                  <w:tcBorders>
                    <w:tl2br w:val="nil"/>
                    <w:tr2bl w:val="nil"/>
                  </w:tcBorders>
                  <w:shd w:val="clear" w:color="auto" w:fill="FFFFFF"/>
                  <w:noWrap/>
                  <w:vAlign w:val="center"/>
                </w:tcPr>
                <w:p w14:paraId="5FC0F65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85/1</w:t>
                  </w:r>
                </w:p>
              </w:tc>
              <w:tc>
                <w:tcPr>
                  <w:tcW w:w="535" w:type="dxa"/>
                  <w:vMerge w:val="continue"/>
                  <w:tcBorders>
                    <w:tl2br w:val="nil"/>
                    <w:tr2bl w:val="nil"/>
                  </w:tcBorders>
                  <w:shd w:val="clear" w:color="auto" w:fill="FFFFFF"/>
                  <w:noWrap/>
                  <w:vAlign w:val="center"/>
                </w:tcPr>
                <w:p w14:paraId="38F87EE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shd w:val="clear" w:color="auto" w:fill="FFFFFF"/>
                  <w:noWrap/>
                  <w:vAlign w:val="center"/>
                </w:tcPr>
                <w:p w14:paraId="08C7CCB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47.94</w:t>
                  </w:r>
                </w:p>
              </w:tc>
              <w:tc>
                <w:tcPr>
                  <w:tcW w:w="630" w:type="dxa"/>
                  <w:tcBorders>
                    <w:tl2br w:val="nil"/>
                    <w:tr2bl w:val="nil"/>
                  </w:tcBorders>
                  <w:shd w:val="clear" w:color="auto" w:fill="FFFFFF"/>
                  <w:noWrap/>
                  <w:vAlign w:val="center"/>
                </w:tcPr>
                <w:p w14:paraId="3DADC4C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86.38</w:t>
                  </w:r>
                </w:p>
              </w:tc>
              <w:tc>
                <w:tcPr>
                  <w:tcW w:w="390" w:type="dxa"/>
                  <w:tcBorders>
                    <w:tl2br w:val="nil"/>
                    <w:tr2bl w:val="nil"/>
                  </w:tcBorders>
                  <w:shd w:val="clear" w:color="auto" w:fill="FFFFFF"/>
                  <w:noWrap/>
                  <w:vAlign w:val="center"/>
                </w:tcPr>
                <w:p w14:paraId="3E791C2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shd w:val="clear" w:color="auto" w:fill="FFFFFF"/>
                  <w:noWrap/>
                  <w:vAlign w:val="center"/>
                </w:tcPr>
                <w:p w14:paraId="244A3E7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17.55</w:t>
                  </w:r>
                </w:p>
              </w:tc>
              <w:tc>
                <w:tcPr>
                  <w:tcW w:w="630" w:type="dxa"/>
                  <w:tcBorders>
                    <w:tl2br w:val="nil"/>
                    <w:tr2bl w:val="nil"/>
                  </w:tcBorders>
                  <w:shd w:val="clear" w:color="auto" w:fill="FFFFFF"/>
                  <w:noWrap/>
                  <w:vAlign w:val="center"/>
                </w:tcPr>
                <w:p w14:paraId="556F33E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77.28</w:t>
                  </w:r>
                </w:p>
              </w:tc>
              <w:tc>
                <w:tcPr>
                  <w:tcW w:w="420" w:type="dxa"/>
                  <w:tcBorders>
                    <w:tl2br w:val="nil"/>
                    <w:tr2bl w:val="nil"/>
                  </w:tcBorders>
                  <w:shd w:val="clear" w:color="auto" w:fill="FFFFFF"/>
                  <w:noWrap/>
                  <w:vAlign w:val="center"/>
                </w:tcPr>
                <w:p w14:paraId="00AAAC8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昼间</w:t>
                  </w:r>
                </w:p>
              </w:tc>
              <w:tc>
                <w:tcPr>
                  <w:tcW w:w="598" w:type="dxa"/>
                  <w:tcBorders>
                    <w:tl2br w:val="nil"/>
                    <w:tr2bl w:val="nil"/>
                  </w:tcBorders>
                  <w:shd w:val="clear" w:color="auto" w:fill="FFFFFF"/>
                  <w:noWrap/>
                  <w:vAlign w:val="center"/>
                </w:tcPr>
                <w:p w14:paraId="376D0B5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shd w:val="clear" w:color="auto" w:fill="FFFFFF"/>
                  <w:noWrap/>
                  <w:vAlign w:val="center"/>
                </w:tcPr>
                <w:p w14:paraId="661D607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51.28</w:t>
                  </w:r>
                </w:p>
              </w:tc>
              <w:tc>
                <w:tcPr>
                  <w:tcW w:w="547" w:type="dxa"/>
                  <w:tcBorders>
                    <w:tl2br w:val="nil"/>
                    <w:tr2bl w:val="nil"/>
                  </w:tcBorders>
                  <w:shd w:val="clear" w:color="auto" w:fill="FFFFFF"/>
                  <w:noWrap/>
                  <w:vAlign w:val="center"/>
                </w:tcPr>
                <w:p w14:paraId="56B98AA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457B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6055F85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13</w:t>
                  </w:r>
                </w:p>
              </w:tc>
              <w:tc>
                <w:tcPr>
                  <w:tcW w:w="477" w:type="dxa"/>
                  <w:vMerge w:val="continue"/>
                  <w:tcBorders>
                    <w:tl2br w:val="nil"/>
                    <w:tr2bl w:val="nil"/>
                  </w:tcBorders>
                  <w:shd w:val="clear" w:color="auto" w:fill="FFFFFF"/>
                  <w:noWrap/>
                  <w:vAlign w:val="center"/>
                </w:tcPr>
                <w:p w14:paraId="3D4F53A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shd w:val="clear" w:color="auto" w:fill="FFFFFF"/>
                  <w:noWrap/>
                  <w:vAlign w:val="center"/>
                </w:tcPr>
                <w:p w14:paraId="1AC13EC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气动扳手3</w:t>
                  </w:r>
                </w:p>
              </w:tc>
              <w:tc>
                <w:tcPr>
                  <w:tcW w:w="638" w:type="dxa"/>
                  <w:tcBorders>
                    <w:tl2br w:val="nil"/>
                    <w:tr2bl w:val="nil"/>
                  </w:tcBorders>
                  <w:shd w:val="clear" w:color="auto" w:fill="FFFFFF"/>
                  <w:noWrap/>
                  <w:vAlign w:val="center"/>
                </w:tcPr>
                <w:p w14:paraId="1422911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rFonts w:hint="eastAsia"/>
                      <w:color w:val="auto"/>
                      <w:spacing w:val="-6"/>
                      <w:sz w:val="18"/>
                      <w:szCs w:val="18"/>
                    </w:rPr>
                    <w:t>/</w:t>
                  </w:r>
                </w:p>
              </w:tc>
              <w:tc>
                <w:tcPr>
                  <w:tcW w:w="726" w:type="dxa"/>
                  <w:tcBorders>
                    <w:tl2br w:val="nil"/>
                    <w:tr2bl w:val="nil"/>
                  </w:tcBorders>
                  <w:shd w:val="clear" w:color="auto" w:fill="FFFFFF"/>
                  <w:noWrap/>
                  <w:vAlign w:val="center"/>
                </w:tcPr>
                <w:p w14:paraId="43D7357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85/1</w:t>
                  </w:r>
                </w:p>
              </w:tc>
              <w:tc>
                <w:tcPr>
                  <w:tcW w:w="535" w:type="dxa"/>
                  <w:vMerge w:val="continue"/>
                  <w:tcBorders>
                    <w:tl2br w:val="nil"/>
                    <w:tr2bl w:val="nil"/>
                  </w:tcBorders>
                  <w:shd w:val="clear" w:color="auto" w:fill="FFFFFF"/>
                  <w:noWrap/>
                  <w:vAlign w:val="center"/>
                </w:tcPr>
                <w:p w14:paraId="379CFDE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shd w:val="clear" w:color="auto" w:fill="FFFFFF"/>
                  <w:noWrap/>
                  <w:vAlign w:val="center"/>
                </w:tcPr>
                <w:p w14:paraId="04B4909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53.82</w:t>
                  </w:r>
                </w:p>
              </w:tc>
              <w:tc>
                <w:tcPr>
                  <w:tcW w:w="630" w:type="dxa"/>
                  <w:tcBorders>
                    <w:tl2br w:val="nil"/>
                    <w:tr2bl w:val="nil"/>
                  </w:tcBorders>
                  <w:shd w:val="clear" w:color="auto" w:fill="FFFFFF"/>
                  <w:noWrap/>
                  <w:vAlign w:val="center"/>
                </w:tcPr>
                <w:p w14:paraId="45C5559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85.31</w:t>
                  </w:r>
                </w:p>
              </w:tc>
              <w:tc>
                <w:tcPr>
                  <w:tcW w:w="390" w:type="dxa"/>
                  <w:tcBorders>
                    <w:tl2br w:val="nil"/>
                    <w:tr2bl w:val="nil"/>
                  </w:tcBorders>
                  <w:shd w:val="clear" w:color="auto" w:fill="FFFFFF"/>
                  <w:noWrap/>
                  <w:vAlign w:val="center"/>
                </w:tcPr>
                <w:p w14:paraId="23BCAF5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shd w:val="clear" w:color="auto" w:fill="FFFFFF"/>
                  <w:noWrap/>
                  <w:vAlign w:val="center"/>
                </w:tcPr>
                <w:p w14:paraId="3B01E58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16.82</w:t>
                  </w:r>
                </w:p>
              </w:tc>
              <w:tc>
                <w:tcPr>
                  <w:tcW w:w="630" w:type="dxa"/>
                  <w:tcBorders>
                    <w:tl2br w:val="nil"/>
                    <w:tr2bl w:val="nil"/>
                  </w:tcBorders>
                  <w:shd w:val="clear" w:color="auto" w:fill="FFFFFF"/>
                  <w:noWrap/>
                  <w:vAlign w:val="center"/>
                </w:tcPr>
                <w:p w14:paraId="3B28D5C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77.29</w:t>
                  </w:r>
                </w:p>
              </w:tc>
              <w:tc>
                <w:tcPr>
                  <w:tcW w:w="420" w:type="dxa"/>
                  <w:tcBorders>
                    <w:tl2br w:val="nil"/>
                    <w:tr2bl w:val="nil"/>
                  </w:tcBorders>
                  <w:shd w:val="clear" w:color="auto" w:fill="FFFFFF"/>
                  <w:noWrap/>
                  <w:vAlign w:val="center"/>
                </w:tcPr>
                <w:p w14:paraId="6A60154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昼间</w:t>
                  </w:r>
                </w:p>
              </w:tc>
              <w:tc>
                <w:tcPr>
                  <w:tcW w:w="598" w:type="dxa"/>
                  <w:tcBorders>
                    <w:tl2br w:val="nil"/>
                    <w:tr2bl w:val="nil"/>
                  </w:tcBorders>
                  <w:shd w:val="clear" w:color="auto" w:fill="FFFFFF"/>
                  <w:noWrap/>
                  <w:vAlign w:val="center"/>
                </w:tcPr>
                <w:p w14:paraId="7333CB3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shd w:val="clear" w:color="auto" w:fill="FFFFFF"/>
                  <w:noWrap/>
                  <w:vAlign w:val="center"/>
                </w:tcPr>
                <w:p w14:paraId="2AE2153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51.29</w:t>
                  </w:r>
                </w:p>
              </w:tc>
              <w:tc>
                <w:tcPr>
                  <w:tcW w:w="547" w:type="dxa"/>
                  <w:tcBorders>
                    <w:tl2br w:val="nil"/>
                    <w:tr2bl w:val="nil"/>
                  </w:tcBorders>
                  <w:shd w:val="clear" w:color="auto" w:fill="FFFFFF"/>
                  <w:noWrap/>
                  <w:vAlign w:val="center"/>
                </w:tcPr>
                <w:p w14:paraId="2AAC28E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6CFC0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3CC8B31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14</w:t>
                  </w:r>
                </w:p>
              </w:tc>
              <w:tc>
                <w:tcPr>
                  <w:tcW w:w="477" w:type="dxa"/>
                  <w:vMerge w:val="continue"/>
                  <w:tcBorders>
                    <w:tl2br w:val="nil"/>
                    <w:tr2bl w:val="nil"/>
                  </w:tcBorders>
                  <w:shd w:val="clear" w:color="auto" w:fill="FFFFFF"/>
                  <w:noWrap/>
                  <w:vAlign w:val="center"/>
                </w:tcPr>
                <w:p w14:paraId="2A0C002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shd w:val="clear" w:color="auto" w:fill="FFFFFF"/>
                  <w:noWrap/>
                  <w:vAlign w:val="center"/>
                </w:tcPr>
                <w:p w14:paraId="12A03C4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气动扳手4</w:t>
                  </w:r>
                </w:p>
              </w:tc>
              <w:tc>
                <w:tcPr>
                  <w:tcW w:w="638" w:type="dxa"/>
                  <w:tcBorders>
                    <w:tl2br w:val="nil"/>
                    <w:tr2bl w:val="nil"/>
                  </w:tcBorders>
                  <w:shd w:val="clear" w:color="auto" w:fill="FFFFFF"/>
                  <w:noWrap/>
                  <w:vAlign w:val="center"/>
                </w:tcPr>
                <w:p w14:paraId="256D39E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rFonts w:hint="eastAsia"/>
                      <w:color w:val="auto"/>
                      <w:spacing w:val="-6"/>
                      <w:sz w:val="18"/>
                      <w:szCs w:val="18"/>
                    </w:rPr>
                    <w:t>/</w:t>
                  </w:r>
                </w:p>
              </w:tc>
              <w:tc>
                <w:tcPr>
                  <w:tcW w:w="726" w:type="dxa"/>
                  <w:tcBorders>
                    <w:tl2br w:val="nil"/>
                    <w:tr2bl w:val="nil"/>
                  </w:tcBorders>
                  <w:shd w:val="clear" w:color="auto" w:fill="FFFFFF"/>
                  <w:noWrap/>
                  <w:vAlign w:val="center"/>
                </w:tcPr>
                <w:p w14:paraId="0C03BEB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85/1</w:t>
                  </w:r>
                </w:p>
              </w:tc>
              <w:tc>
                <w:tcPr>
                  <w:tcW w:w="535" w:type="dxa"/>
                  <w:vMerge w:val="continue"/>
                  <w:tcBorders>
                    <w:tl2br w:val="nil"/>
                    <w:tr2bl w:val="nil"/>
                  </w:tcBorders>
                  <w:shd w:val="clear" w:color="auto" w:fill="FFFFFF"/>
                  <w:noWrap/>
                  <w:vAlign w:val="center"/>
                </w:tcPr>
                <w:p w14:paraId="1820F76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shd w:val="clear" w:color="auto" w:fill="FFFFFF"/>
                  <w:noWrap/>
                  <w:vAlign w:val="center"/>
                </w:tcPr>
                <w:p w14:paraId="56C3D83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59.97</w:t>
                  </w:r>
                </w:p>
              </w:tc>
              <w:tc>
                <w:tcPr>
                  <w:tcW w:w="630" w:type="dxa"/>
                  <w:tcBorders>
                    <w:tl2br w:val="nil"/>
                    <w:tr2bl w:val="nil"/>
                  </w:tcBorders>
                  <w:shd w:val="clear" w:color="auto" w:fill="FFFFFF"/>
                  <w:noWrap/>
                  <w:vAlign w:val="center"/>
                </w:tcPr>
                <w:p w14:paraId="6F8EF04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84.78</w:t>
                  </w:r>
                </w:p>
              </w:tc>
              <w:tc>
                <w:tcPr>
                  <w:tcW w:w="390" w:type="dxa"/>
                  <w:tcBorders>
                    <w:tl2br w:val="nil"/>
                    <w:tr2bl w:val="nil"/>
                  </w:tcBorders>
                  <w:shd w:val="clear" w:color="auto" w:fill="FFFFFF"/>
                  <w:noWrap/>
                  <w:vAlign w:val="center"/>
                </w:tcPr>
                <w:p w14:paraId="001F15A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shd w:val="clear" w:color="auto" w:fill="FFFFFF"/>
                  <w:noWrap/>
                  <w:vAlign w:val="center"/>
                </w:tcPr>
                <w:p w14:paraId="0734AA7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16.65</w:t>
                  </w:r>
                </w:p>
              </w:tc>
              <w:tc>
                <w:tcPr>
                  <w:tcW w:w="630" w:type="dxa"/>
                  <w:tcBorders>
                    <w:tl2br w:val="nil"/>
                    <w:tr2bl w:val="nil"/>
                  </w:tcBorders>
                  <w:shd w:val="clear" w:color="auto" w:fill="FFFFFF"/>
                  <w:noWrap/>
                  <w:vAlign w:val="center"/>
                </w:tcPr>
                <w:p w14:paraId="5DB2F9B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77.29</w:t>
                  </w:r>
                </w:p>
              </w:tc>
              <w:tc>
                <w:tcPr>
                  <w:tcW w:w="420" w:type="dxa"/>
                  <w:tcBorders>
                    <w:tl2br w:val="nil"/>
                    <w:tr2bl w:val="nil"/>
                  </w:tcBorders>
                  <w:shd w:val="clear" w:color="auto" w:fill="FFFFFF"/>
                  <w:noWrap/>
                  <w:vAlign w:val="center"/>
                </w:tcPr>
                <w:p w14:paraId="532AE65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昼间</w:t>
                  </w:r>
                </w:p>
              </w:tc>
              <w:tc>
                <w:tcPr>
                  <w:tcW w:w="598" w:type="dxa"/>
                  <w:tcBorders>
                    <w:tl2br w:val="nil"/>
                    <w:tr2bl w:val="nil"/>
                  </w:tcBorders>
                  <w:shd w:val="clear" w:color="auto" w:fill="FFFFFF"/>
                  <w:noWrap/>
                  <w:vAlign w:val="center"/>
                </w:tcPr>
                <w:p w14:paraId="34D8611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shd w:val="clear" w:color="auto" w:fill="FFFFFF"/>
                  <w:noWrap/>
                  <w:vAlign w:val="center"/>
                </w:tcPr>
                <w:p w14:paraId="0BDC777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51.29</w:t>
                  </w:r>
                </w:p>
              </w:tc>
              <w:tc>
                <w:tcPr>
                  <w:tcW w:w="547" w:type="dxa"/>
                  <w:tcBorders>
                    <w:tl2br w:val="nil"/>
                    <w:tr2bl w:val="nil"/>
                  </w:tcBorders>
                  <w:shd w:val="clear" w:color="auto" w:fill="FFFFFF"/>
                  <w:noWrap/>
                  <w:vAlign w:val="center"/>
                </w:tcPr>
                <w:p w14:paraId="590FCA9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24B8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225BEB7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15</w:t>
                  </w:r>
                </w:p>
              </w:tc>
              <w:tc>
                <w:tcPr>
                  <w:tcW w:w="477" w:type="dxa"/>
                  <w:vMerge w:val="restart"/>
                  <w:tcBorders>
                    <w:tl2br w:val="nil"/>
                    <w:tr2bl w:val="nil"/>
                  </w:tcBorders>
                  <w:noWrap/>
                  <w:vAlign w:val="center"/>
                </w:tcPr>
                <w:p w14:paraId="4E45445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破碎车间</w:t>
                  </w:r>
                </w:p>
              </w:tc>
              <w:tc>
                <w:tcPr>
                  <w:tcW w:w="735" w:type="dxa"/>
                  <w:tcBorders>
                    <w:tl2br w:val="nil"/>
                    <w:tr2bl w:val="nil"/>
                  </w:tcBorders>
                  <w:noWrap/>
                  <w:vAlign w:val="center"/>
                </w:tcPr>
                <w:p w14:paraId="5C4BD3B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破碎机</w:t>
                  </w:r>
                </w:p>
              </w:tc>
              <w:tc>
                <w:tcPr>
                  <w:tcW w:w="638" w:type="dxa"/>
                  <w:tcBorders>
                    <w:tl2br w:val="nil"/>
                    <w:tr2bl w:val="nil"/>
                  </w:tcBorders>
                  <w:noWrap/>
                  <w:vAlign w:val="center"/>
                </w:tcPr>
                <w:p w14:paraId="5E54417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color w:val="auto"/>
                      <w:spacing w:val="-6"/>
                      <w:sz w:val="18"/>
                      <w:szCs w:val="18"/>
                    </w:rPr>
                    <w:t>6000hp</w:t>
                  </w:r>
                </w:p>
              </w:tc>
              <w:tc>
                <w:tcPr>
                  <w:tcW w:w="726" w:type="dxa"/>
                  <w:tcBorders>
                    <w:tl2br w:val="nil"/>
                    <w:tr2bl w:val="nil"/>
                  </w:tcBorders>
                  <w:noWrap/>
                  <w:vAlign w:val="center"/>
                </w:tcPr>
                <w:p w14:paraId="4B53125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85/1</w:t>
                  </w:r>
                </w:p>
              </w:tc>
              <w:tc>
                <w:tcPr>
                  <w:tcW w:w="535" w:type="dxa"/>
                  <w:vMerge w:val="restart"/>
                  <w:tcBorders>
                    <w:tl2br w:val="nil"/>
                    <w:tr2bl w:val="nil"/>
                  </w:tcBorders>
                  <w:noWrap/>
                  <w:vAlign w:val="center"/>
                </w:tcPr>
                <w:p w14:paraId="25796CF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rFonts w:hint="eastAsia"/>
                      <w:color w:val="auto"/>
                      <w:spacing w:val="-6"/>
                      <w:sz w:val="18"/>
                      <w:szCs w:val="18"/>
                    </w:rPr>
                    <w:t>室内隔声+减振</w:t>
                  </w:r>
                </w:p>
              </w:tc>
              <w:tc>
                <w:tcPr>
                  <w:tcW w:w="501" w:type="dxa"/>
                  <w:tcBorders>
                    <w:tl2br w:val="nil"/>
                    <w:tr2bl w:val="nil"/>
                  </w:tcBorders>
                  <w:noWrap/>
                  <w:vAlign w:val="center"/>
                </w:tcPr>
                <w:p w14:paraId="0C5700F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158.93</w:t>
                  </w:r>
                </w:p>
              </w:tc>
              <w:tc>
                <w:tcPr>
                  <w:tcW w:w="630" w:type="dxa"/>
                  <w:tcBorders>
                    <w:tl2br w:val="nil"/>
                    <w:tr2bl w:val="nil"/>
                  </w:tcBorders>
                  <w:noWrap/>
                  <w:vAlign w:val="center"/>
                </w:tcPr>
                <w:p w14:paraId="4D24135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126.69</w:t>
                  </w:r>
                </w:p>
              </w:tc>
              <w:tc>
                <w:tcPr>
                  <w:tcW w:w="390" w:type="dxa"/>
                  <w:tcBorders>
                    <w:tl2br w:val="nil"/>
                    <w:tr2bl w:val="nil"/>
                  </w:tcBorders>
                  <w:noWrap/>
                  <w:vAlign w:val="center"/>
                </w:tcPr>
                <w:p w14:paraId="7ACF73D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noWrap/>
                  <w:vAlign w:val="center"/>
                </w:tcPr>
                <w:p w14:paraId="048BD8C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50.98</w:t>
                  </w:r>
                </w:p>
              </w:tc>
              <w:tc>
                <w:tcPr>
                  <w:tcW w:w="630" w:type="dxa"/>
                  <w:tcBorders>
                    <w:tl2br w:val="nil"/>
                    <w:tr2bl w:val="nil"/>
                  </w:tcBorders>
                  <w:noWrap/>
                  <w:vAlign w:val="center"/>
                </w:tcPr>
                <w:p w14:paraId="42F8665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72.63</w:t>
                  </w:r>
                </w:p>
              </w:tc>
              <w:tc>
                <w:tcPr>
                  <w:tcW w:w="420" w:type="dxa"/>
                  <w:tcBorders>
                    <w:tl2br w:val="nil"/>
                    <w:tr2bl w:val="nil"/>
                  </w:tcBorders>
                  <w:noWrap/>
                  <w:vAlign w:val="center"/>
                </w:tcPr>
                <w:p w14:paraId="6BA4275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昼夜</w:t>
                  </w:r>
                </w:p>
              </w:tc>
              <w:tc>
                <w:tcPr>
                  <w:tcW w:w="598" w:type="dxa"/>
                  <w:tcBorders>
                    <w:tl2br w:val="nil"/>
                    <w:tr2bl w:val="nil"/>
                  </w:tcBorders>
                  <w:noWrap/>
                  <w:vAlign w:val="center"/>
                </w:tcPr>
                <w:p w14:paraId="40A615C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noWrap/>
                  <w:vAlign w:val="center"/>
                </w:tcPr>
                <w:p w14:paraId="5E517DD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46.63</w:t>
                  </w:r>
                </w:p>
              </w:tc>
              <w:tc>
                <w:tcPr>
                  <w:tcW w:w="547" w:type="dxa"/>
                  <w:tcBorders>
                    <w:tl2br w:val="nil"/>
                    <w:tr2bl w:val="nil"/>
                  </w:tcBorders>
                  <w:noWrap/>
                  <w:vAlign w:val="center"/>
                </w:tcPr>
                <w:p w14:paraId="5CA4063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5E555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54228FC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16</w:t>
                  </w:r>
                </w:p>
              </w:tc>
              <w:tc>
                <w:tcPr>
                  <w:tcW w:w="477" w:type="dxa"/>
                  <w:vMerge w:val="continue"/>
                  <w:tcBorders>
                    <w:tl2br w:val="nil"/>
                    <w:tr2bl w:val="nil"/>
                  </w:tcBorders>
                  <w:noWrap/>
                  <w:vAlign w:val="center"/>
                </w:tcPr>
                <w:p w14:paraId="2A64BB5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noWrap/>
                  <w:vAlign w:val="center"/>
                </w:tcPr>
                <w:p w14:paraId="28D0623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磁选机</w:t>
                  </w:r>
                </w:p>
              </w:tc>
              <w:tc>
                <w:tcPr>
                  <w:tcW w:w="638" w:type="dxa"/>
                  <w:tcBorders>
                    <w:tl2br w:val="nil"/>
                    <w:tr2bl w:val="nil"/>
                  </w:tcBorders>
                  <w:noWrap/>
                  <w:vAlign w:val="center"/>
                </w:tcPr>
                <w:p w14:paraId="383792E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rFonts w:hint="eastAsia"/>
                      <w:color w:val="auto"/>
                      <w:spacing w:val="-6"/>
                      <w:sz w:val="18"/>
                      <w:szCs w:val="18"/>
                    </w:rPr>
                    <w:t>/</w:t>
                  </w:r>
                </w:p>
              </w:tc>
              <w:tc>
                <w:tcPr>
                  <w:tcW w:w="726" w:type="dxa"/>
                  <w:tcBorders>
                    <w:tl2br w:val="nil"/>
                    <w:tr2bl w:val="nil"/>
                  </w:tcBorders>
                  <w:noWrap/>
                  <w:vAlign w:val="center"/>
                </w:tcPr>
                <w:p w14:paraId="73CF993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75/1</w:t>
                  </w:r>
                </w:p>
              </w:tc>
              <w:tc>
                <w:tcPr>
                  <w:tcW w:w="535" w:type="dxa"/>
                  <w:vMerge w:val="continue"/>
                  <w:tcBorders>
                    <w:tl2br w:val="nil"/>
                    <w:tr2bl w:val="nil"/>
                  </w:tcBorders>
                  <w:noWrap/>
                  <w:vAlign w:val="center"/>
                </w:tcPr>
                <w:p w14:paraId="6560F75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noWrap/>
                  <w:vAlign w:val="center"/>
                </w:tcPr>
                <w:p w14:paraId="43D4FF2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158.93</w:t>
                  </w:r>
                </w:p>
              </w:tc>
              <w:tc>
                <w:tcPr>
                  <w:tcW w:w="630" w:type="dxa"/>
                  <w:tcBorders>
                    <w:tl2br w:val="nil"/>
                    <w:tr2bl w:val="nil"/>
                  </w:tcBorders>
                  <w:noWrap/>
                  <w:vAlign w:val="center"/>
                </w:tcPr>
                <w:p w14:paraId="3530456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119.8</w:t>
                  </w:r>
                </w:p>
              </w:tc>
              <w:tc>
                <w:tcPr>
                  <w:tcW w:w="390" w:type="dxa"/>
                  <w:tcBorders>
                    <w:tl2br w:val="nil"/>
                    <w:tr2bl w:val="nil"/>
                  </w:tcBorders>
                  <w:noWrap/>
                  <w:vAlign w:val="center"/>
                </w:tcPr>
                <w:p w14:paraId="30FCA71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noWrap/>
                  <w:vAlign w:val="center"/>
                </w:tcPr>
                <w:p w14:paraId="49E705F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51.21</w:t>
                  </w:r>
                </w:p>
              </w:tc>
              <w:tc>
                <w:tcPr>
                  <w:tcW w:w="630" w:type="dxa"/>
                  <w:tcBorders>
                    <w:tl2br w:val="nil"/>
                    <w:tr2bl w:val="nil"/>
                  </w:tcBorders>
                  <w:noWrap/>
                  <w:vAlign w:val="center"/>
                </w:tcPr>
                <w:p w14:paraId="4B38BC9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62.63</w:t>
                  </w:r>
                </w:p>
              </w:tc>
              <w:tc>
                <w:tcPr>
                  <w:tcW w:w="420" w:type="dxa"/>
                  <w:tcBorders>
                    <w:tl2br w:val="nil"/>
                    <w:tr2bl w:val="nil"/>
                  </w:tcBorders>
                  <w:noWrap/>
                  <w:vAlign w:val="center"/>
                </w:tcPr>
                <w:p w14:paraId="0E9FA29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昼夜</w:t>
                  </w:r>
                </w:p>
              </w:tc>
              <w:tc>
                <w:tcPr>
                  <w:tcW w:w="598" w:type="dxa"/>
                  <w:tcBorders>
                    <w:tl2br w:val="nil"/>
                    <w:tr2bl w:val="nil"/>
                  </w:tcBorders>
                  <w:noWrap/>
                  <w:vAlign w:val="center"/>
                </w:tcPr>
                <w:p w14:paraId="656BCE5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noWrap/>
                  <w:vAlign w:val="center"/>
                </w:tcPr>
                <w:p w14:paraId="6390B5E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36.63</w:t>
                  </w:r>
                </w:p>
              </w:tc>
              <w:tc>
                <w:tcPr>
                  <w:tcW w:w="547" w:type="dxa"/>
                  <w:tcBorders>
                    <w:tl2br w:val="nil"/>
                    <w:tr2bl w:val="nil"/>
                  </w:tcBorders>
                  <w:noWrap/>
                  <w:vAlign w:val="center"/>
                </w:tcPr>
                <w:p w14:paraId="672B2E2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20D2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5581465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17</w:t>
                  </w:r>
                </w:p>
              </w:tc>
              <w:tc>
                <w:tcPr>
                  <w:tcW w:w="477" w:type="dxa"/>
                  <w:vMerge w:val="continue"/>
                  <w:tcBorders>
                    <w:tl2br w:val="nil"/>
                    <w:tr2bl w:val="nil"/>
                  </w:tcBorders>
                  <w:noWrap/>
                  <w:vAlign w:val="center"/>
                </w:tcPr>
                <w:p w14:paraId="799B865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noWrap/>
                  <w:vAlign w:val="center"/>
                </w:tcPr>
                <w:p w14:paraId="2D9FA91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剪断机</w:t>
                  </w:r>
                </w:p>
              </w:tc>
              <w:tc>
                <w:tcPr>
                  <w:tcW w:w="638" w:type="dxa"/>
                  <w:tcBorders>
                    <w:tl2br w:val="nil"/>
                    <w:tr2bl w:val="nil"/>
                  </w:tcBorders>
                  <w:noWrap/>
                  <w:vAlign w:val="center"/>
                </w:tcPr>
                <w:p w14:paraId="43C7591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color w:val="auto"/>
                      <w:spacing w:val="-6"/>
                      <w:sz w:val="18"/>
                      <w:szCs w:val="18"/>
                    </w:rPr>
                    <w:t>1600t</w:t>
                  </w:r>
                </w:p>
              </w:tc>
              <w:tc>
                <w:tcPr>
                  <w:tcW w:w="726" w:type="dxa"/>
                  <w:tcBorders>
                    <w:tl2br w:val="nil"/>
                    <w:tr2bl w:val="nil"/>
                  </w:tcBorders>
                  <w:noWrap/>
                  <w:vAlign w:val="center"/>
                </w:tcPr>
                <w:p w14:paraId="013CB12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80/1</w:t>
                  </w:r>
                </w:p>
              </w:tc>
              <w:tc>
                <w:tcPr>
                  <w:tcW w:w="535" w:type="dxa"/>
                  <w:vMerge w:val="continue"/>
                  <w:tcBorders>
                    <w:tl2br w:val="nil"/>
                    <w:tr2bl w:val="nil"/>
                  </w:tcBorders>
                  <w:noWrap/>
                  <w:vAlign w:val="center"/>
                </w:tcPr>
                <w:p w14:paraId="1D5DB85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noWrap/>
                  <w:vAlign w:val="center"/>
                </w:tcPr>
                <w:p w14:paraId="01743D9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165.44</w:t>
                  </w:r>
                </w:p>
              </w:tc>
              <w:tc>
                <w:tcPr>
                  <w:tcW w:w="630" w:type="dxa"/>
                  <w:tcBorders>
                    <w:tl2br w:val="nil"/>
                    <w:tr2bl w:val="nil"/>
                  </w:tcBorders>
                  <w:noWrap/>
                  <w:vAlign w:val="center"/>
                </w:tcPr>
                <w:p w14:paraId="76DA95B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126.31</w:t>
                  </w:r>
                </w:p>
              </w:tc>
              <w:tc>
                <w:tcPr>
                  <w:tcW w:w="390" w:type="dxa"/>
                  <w:tcBorders>
                    <w:tl2br w:val="nil"/>
                    <w:tr2bl w:val="nil"/>
                  </w:tcBorders>
                  <w:noWrap/>
                  <w:vAlign w:val="center"/>
                </w:tcPr>
                <w:p w14:paraId="0C116FD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noWrap/>
                  <w:vAlign w:val="center"/>
                </w:tcPr>
                <w:p w14:paraId="02EA2B1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45.12</w:t>
                  </w:r>
                </w:p>
              </w:tc>
              <w:tc>
                <w:tcPr>
                  <w:tcW w:w="630" w:type="dxa"/>
                  <w:tcBorders>
                    <w:tl2br w:val="nil"/>
                    <w:tr2bl w:val="nil"/>
                  </w:tcBorders>
                  <w:noWrap/>
                  <w:vAlign w:val="center"/>
                </w:tcPr>
                <w:p w14:paraId="5A43C43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67.63</w:t>
                  </w:r>
                </w:p>
              </w:tc>
              <w:tc>
                <w:tcPr>
                  <w:tcW w:w="420" w:type="dxa"/>
                  <w:tcBorders>
                    <w:tl2br w:val="nil"/>
                    <w:tr2bl w:val="nil"/>
                  </w:tcBorders>
                  <w:noWrap/>
                  <w:vAlign w:val="center"/>
                </w:tcPr>
                <w:p w14:paraId="2CB8597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昼夜</w:t>
                  </w:r>
                </w:p>
              </w:tc>
              <w:tc>
                <w:tcPr>
                  <w:tcW w:w="598" w:type="dxa"/>
                  <w:tcBorders>
                    <w:tl2br w:val="nil"/>
                    <w:tr2bl w:val="nil"/>
                  </w:tcBorders>
                  <w:noWrap/>
                  <w:vAlign w:val="center"/>
                </w:tcPr>
                <w:p w14:paraId="01A0057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noWrap/>
                  <w:vAlign w:val="center"/>
                </w:tcPr>
                <w:p w14:paraId="4A2DB41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41.63</w:t>
                  </w:r>
                </w:p>
              </w:tc>
              <w:tc>
                <w:tcPr>
                  <w:tcW w:w="547" w:type="dxa"/>
                  <w:tcBorders>
                    <w:tl2br w:val="nil"/>
                    <w:tr2bl w:val="nil"/>
                  </w:tcBorders>
                  <w:noWrap/>
                  <w:vAlign w:val="center"/>
                </w:tcPr>
                <w:p w14:paraId="57381B6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312F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2C29FD6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18</w:t>
                  </w:r>
                </w:p>
              </w:tc>
              <w:tc>
                <w:tcPr>
                  <w:tcW w:w="477" w:type="dxa"/>
                  <w:vMerge w:val="continue"/>
                  <w:tcBorders>
                    <w:tl2br w:val="nil"/>
                    <w:tr2bl w:val="nil"/>
                  </w:tcBorders>
                  <w:noWrap/>
                  <w:vAlign w:val="center"/>
                </w:tcPr>
                <w:p w14:paraId="76F6678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noWrap/>
                  <w:vAlign w:val="center"/>
                </w:tcPr>
                <w:p w14:paraId="5E1A169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打包机</w:t>
                  </w:r>
                </w:p>
              </w:tc>
              <w:tc>
                <w:tcPr>
                  <w:tcW w:w="638" w:type="dxa"/>
                  <w:tcBorders>
                    <w:tl2br w:val="nil"/>
                    <w:tr2bl w:val="nil"/>
                  </w:tcBorders>
                  <w:noWrap/>
                  <w:vAlign w:val="center"/>
                </w:tcPr>
                <w:p w14:paraId="11B9F60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color w:val="auto"/>
                      <w:spacing w:val="-6"/>
                      <w:sz w:val="18"/>
                      <w:szCs w:val="18"/>
                    </w:rPr>
                    <w:t>2000t</w:t>
                  </w:r>
                </w:p>
              </w:tc>
              <w:tc>
                <w:tcPr>
                  <w:tcW w:w="726" w:type="dxa"/>
                  <w:tcBorders>
                    <w:tl2br w:val="nil"/>
                    <w:tr2bl w:val="nil"/>
                  </w:tcBorders>
                  <w:noWrap/>
                  <w:vAlign w:val="center"/>
                </w:tcPr>
                <w:p w14:paraId="41F23DF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75/1</w:t>
                  </w:r>
                </w:p>
              </w:tc>
              <w:tc>
                <w:tcPr>
                  <w:tcW w:w="535" w:type="dxa"/>
                  <w:vMerge w:val="continue"/>
                  <w:tcBorders>
                    <w:tl2br w:val="nil"/>
                    <w:tr2bl w:val="nil"/>
                  </w:tcBorders>
                  <w:noWrap/>
                  <w:vAlign w:val="center"/>
                </w:tcPr>
                <w:p w14:paraId="011EB11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noWrap/>
                  <w:vAlign w:val="center"/>
                </w:tcPr>
                <w:p w14:paraId="74B1775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165.06</w:t>
                  </w:r>
                </w:p>
              </w:tc>
              <w:tc>
                <w:tcPr>
                  <w:tcW w:w="630" w:type="dxa"/>
                  <w:tcBorders>
                    <w:tl2br w:val="nil"/>
                    <w:tr2bl w:val="nil"/>
                  </w:tcBorders>
                  <w:noWrap/>
                  <w:vAlign w:val="center"/>
                </w:tcPr>
                <w:p w14:paraId="3A42370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119.03</w:t>
                  </w:r>
                </w:p>
              </w:tc>
              <w:tc>
                <w:tcPr>
                  <w:tcW w:w="390" w:type="dxa"/>
                  <w:tcBorders>
                    <w:tl2br w:val="nil"/>
                    <w:tr2bl w:val="nil"/>
                  </w:tcBorders>
                  <w:noWrap/>
                  <w:vAlign w:val="center"/>
                </w:tcPr>
                <w:p w14:paraId="666F729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noWrap/>
                  <w:vAlign w:val="center"/>
                </w:tcPr>
                <w:p w14:paraId="2CC9C43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45.26</w:t>
                  </w:r>
                </w:p>
              </w:tc>
              <w:tc>
                <w:tcPr>
                  <w:tcW w:w="630" w:type="dxa"/>
                  <w:tcBorders>
                    <w:tl2br w:val="nil"/>
                    <w:tr2bl w:val="nil"/>
                  </w:tcBorders>
                  <w:noWrap/>
                  <w:vAlign w:val="center"/>
                </w:tcPr>
                <w:p w14:paraId="3D945A6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62.63</w:t>
                  </w:r>
                </w:p>
              </w:tc>
              <w:tc>
                <w:tcPr>
                  <w:tcW w:w="420" w:type="dxa"/>
                  <w:tcBorders>
                    <w:tl2br w:val="nil"/>
                    <w:tr2bl w:val="nil"/>
                  </w:tcBorders>
                  <w:noWrap/>
                  <w:vAlign w:val="center"/>
                </w:tcPr>
                <w:p w14:paraId="21F71A6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昼夜</w:t>
                  </w:r>
                </w:p>
              </w:tc>
              <w:tc>
                <w:tcPr>
                  <w:tcW w:w="598" w:type="dxa"/>
                  <w:tcBorders>
                    <w:tl2br w:val="nil"/>
                    <w:tr2bl w:val="nil"/>
                  </w:tcBorders>
                  <w:noWrap/>
                  <w:vAlign w:val="center"/>
                </w:tcPr>
                <w:p w14:paraId="73ED4DD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noWrap/>
                  <w:vAlign w:val="center"/>
                </w:tcPr>
                <w:p w14:paraId="42A092D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36.63</w:t>
                  </w:r>
                </w:p>
              </w:tc>
              <w:tc>
                <w:tcPr>
                  <w:tcW w:w="547" w:type="dxa"/>
                  <w:tcBorders>
                    <w:tl2br w:val="nil"/>
                    <w:tr2bl w:val="nil"/>
                  </w:tcBorders>
                  <w:noWrap/>
                  <w:vAlign w:val="center"/>
                </w:tcPr>
                <w:p w14:paraId="797C980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65860D6A">
              <w:tblPrEx>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5344EFE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19</w:t>
                  </w:r>
                </w:p>
              </w:tc>
              <w:tc>
                <w:tcPr>
                  <w:tcW w:w="477" w:type="dxa"/>
                  <w:vMerge w:val="continue"/>
                  <w:tcBorders>
                    <w:tl2br w:val="nil"/>
                    <w:tr2bl w:val="nil"/>
                  </w:tcBorders>
                  <w:noWrap/>
                  <w:vAlign w:val="center"/>
                </w:tcPr>
                <w:p w14:paraId="58D9F14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noWrap/>
                  <w:vAlign w:val="center"/>
                </w:tcPr>
                <w:p w14:paraId="54F192B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抓钢机1</w:t>
                  </w:r>
                </w:p>
              </w:tc>
              <w:tc>
                <w:tcPr>
                  <w:tcW w:w="638" w:type="dxa"/>
                  <w:tcBorders>
                    <w:tl2br w:val="nil"/>
                    <w:tr2bl w:val="nil"/>
                  </w:tcBorders>
                  <w:noWrap/>
                  <w:vAlign w:val="center"/>
                </w:tcPr>
                <w:p w14:paraId="1A885DF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color w:val="auto"/>
                      <w:spacing w:val="-6"/>
                      <w:sz w:val="18"/>
                      <w:szCs w:val="18"/>
                    </w:rPr>
                    <w:t>40t</w:t>
                  </w:r>
                </w:p>
              </w:tc>
              <w:tc>
                <w:tcPr>
                  <w:tcW w:w="726" w:type="dxa"/>
                  <w:tcBorders>
                    <w:tl2br w:val="nil"/>
                    <w:tr2bl w:val="nil"/>
                  </w:tcBorders>
                  <w:noWrap/>
                  <w:vAlign w:val="center"/>
                </w:tcPr>
                <w:p w14:paraId="1B9B183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80/1</w:t>
                  </w:r>
                </w:p>
              </w:tc>
              <w:tc>
                <w:tcPr>
                  <w:tcW w:w="535" w:type="dxa"/>
                  <w:vMerge w:val="continue"/>
                  <w:tcBorders>
                    <w:tl2br w:val="nil"/>
                    <w:tr2bl w:val="nil"/>
                  </w:tcBorders>
                  <w:noWrap/>
                  <w:vAlign w:val="center"/>
                </w:tcPr>
                <w:p w14:paraId="2D5B76B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noWrap/>
                  <w:vAlign w:val="center"/>
                </w:tcPr>
                <w:p w14:paraId="2D388F7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158.62</w:t>
                  </w:r>
                </w:p>
              </w:tc>
              <w:tc>
                <w:tcPr>
                  <w:tcW w:w="630" w:type="dxa"/>
                  <w:tcBorders>
                    <w:tl2br w:val="nil"/>
                    <w:tr2bl w:val="nil"/>
                  </w:tcBorders>
                  <w:noWrap/>
                  <w:vAlign w:val="center"/>
                </w:tcPr>
                <w:p w14:paraId="17B299A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113.92</w:t>
                  </w:r>
                </w:p>
              </w:tc>
              <w:tc>
                <w:tcPr>
                  <w:tcW w:w="390" w:type="dxa"/>
                  <w:tcBorders>
                    <w:tl2br w:val="nil"/>
                    <w:tr2bl w:val="nil"/>
                  </w:tcBorders>
                  <w:noWrap/>
                  <w:vAlign w:val="center"/>
                </w:tcPr>
                <w:p w14:paraId="5DF1AFB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noWrap/>
                  <w:vAlign w:val="center"/>
                </w:tcPr>
                <w:p w14:paraId="031B668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51.52</w:t>
                  </w:r>
                </w:p>
              </w:tc>
              <w:tc>
                <w:tcPr>
                  <w:tcW w:w="630" w:type="dxa"/>
                  <w:tcBorders>
                    <w:tl2br w:val="nil"/>
                    <w:tr2bl w:val="nil"/>
                  </w:tcBorders>
                  <w:noWrap/>
                  <w:vAlign w:val="center"/>
                </w:tcPr>
                <w:p w14:paraId="2C3EF73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67.63</w:t>
                  </w:r>
                </w:p>
              </w:tc>
              <w:tc>
                <w:tcPr>
                  <w:tcW w:w="420" w:type="dxa"/>
                  <w:tcBorders>
                    <w:tl2br w:val="nil"/>
                    <w:tr2bl w:val="nil"/>
                  </w:tcBorders>
                  <w:noWrap/>
                  <w:vAlign w:val="center"/>
                </w:tcPr>
                <w:p w14:paraId="1B6425B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昼夜</w:t>
                  </w:r>
                </w:p>
              </w:tc>
              <w:tc>
                <w:tcPr>
                  <w:tcW w:w="598" w:type="dxa"/>
                  <w:tcBorders>
                    <w:tl2br w:val="nil"/>
                    <w:tr2bl w:val="nil"/>
                  </w:tcBorders>
                  <w:noWrap/>
                  <w:vAlign w:val="center"/>
                </w:tcPr>
                <w:p w14:paraId="39E3133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noWrap/>
                  <w:vAlign w:val="center"/>
                </w:tcPr>
                <w:p w14:paraId="5DE4792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41.63</w:t>
                  </w:r>
                </w:p>
              </w:tc>
              <w:tc>
                <w:tcPr>
                  <w:tcW w:w="547" w:type="dxa"/>
                  <w:tcBorders>
                    <w:tl2br w:val="nil"/>
                    <w:tr2bl w:val="nil"/>
                  </w:tcBorders>
                  <w:noWrap/>
                  <w:vAlign w:val="center"/>
                </w:tcPr>
                <w:p w14:paraId="1C2AE41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63B80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18F220E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20</w:t>
                  </w:r>
                </w:p>
              </w:tc>
              <w:tc>
                <w:tcPr>
                  <w:tcW w:w="477" w:type="dxa"/>
                  <w:vMerge w:val="continue"/>
                  <w:tcBorders>
                    <w:tl2br w:val="nil"/>
                    <w:tr2bl w:val="nil"/>
                  </w:tcBorders>
                  <w:noWrap/>
                  <w:vAlign w:val="center"/>
                </w:tcPr>
                <w:p w14:paraId="0560250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noWrap/>
                  <w:vAlign w:val="center"/>
                </w:tcPr>
                <w:p w14:paraId="7394EAD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抓钢机2</w:t>
                  </w:r>
                </w:p>
              </w:tc>
              <w:tc>
                <w:tcPr>
                  <w:tcW w:w="638" w:type="dxa"/>
                  <w:tcBorders>
                    <w:tl2br w:val="nil"/>
                    <w:tr2bl w:val="nil"/>
                  </w:tcBorders>
                  <w:noWrap/>
                  <w:vAlign w:val="center"/>
                </w:tcPr>
                <w:p w14:paraId="7452F03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color w:val="auto"/>
                      <w:spacing w:val="-6"/>
                      <w:sz w:val="18"/>
                      <w:szCs w:val="18"/>
                    </w:rPr>
                    <w:t>40t</w:t>
                  </w:r>
                </w:p>
              </w:tc>
              <w:tc>
                <w:tcPr>
                  <w:tcW w:w="726" w:type="dxa"/>
                  <w:tcBorders>
                    <w:tl2br w:val="nil"/>
                    <w:tr2bl w:val="nil"/>
                  </w:tcBorders>
                  <w:noWrap/>
                  <w:vAlign w:val="center"/>
                </w:tcPr>
                <w:p w14:paraId="4D8A47B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80/1</w:t>
                  </w:r>
                </w:p>
              </w:tc>
              <w:tc>
                <w:tcPr>
                  <w:tcW w:w="535" w:type="dxa"/>
                  <w:vMerge w:val="continue"/>
                  <w:tcBorders>
                    <w:tl2br w:val="nil"/>
                    <w:tr2bl w:val="nil"/>
                  </w:tcBorders>
                  <w:noWrap/>
                  <w:vAlign w:val="center"/>
                </w:tcPr>
                <w:p w14:paraId="2994787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noWrap/>
                  <w:vAlign w:val="center"/>
                </w:tcPr>
                <w:p w14:paraId="367067B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165.04</w:t>
                  </w:r>
                </w:p>
              </w:tc>
              <w:tc>
                <w:tcPr>
                  <w:tcW w:w="630" w:type="dxa"/>
                  <w:tcBorders>
                    <w:tl2br w:val="nil"/>
                    <w:tr2bl w:val="nil"/>
                  </w:tcBorders>
                  <w:noWrap/>
                  <w:vAlign w:val="center"/>
                </w:tcPr>
                <w:p w14:paraId="7BF2946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113.38</w:t>
                  </w:r>
                </w:p>
              </w:tc>
              <w:tc>
                <w:tcPr>
                  <w:tcW w:w="390" w:type="dxa"/>
                  <w:tcBorders>
                    <w:tl2br w:val="nil"/>
                    <w:tr2bl w:val="nil"/>
                  </w:tcBorders>
                  <w:noWrap/>
                  <w:vAlign w:val="center"/>
                </w:tcPr>
                <w:p w14:paraId="4061A8C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noWrap/>
                  <w:vAlign w:val="center"/>
                </w:tcPr>
                <w:p w14:paraId="608B8A3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45.09</w:t>
                  </w:r>
                </w:p>
              </w:tc>
              <w:tc>
                <w:tcPr>
                  <w:tcW w:w="630" w:type="dxa"/>
                  <w:tcBorders>
                    <w:tl2br w:val="nil"/>
                    <w:tr2bl w:val="nil"/>
                  </w:tcBorders>
                  <w:noWrap/>
                  <w:vAlign w:val="center"/>
                </w:tcPr>
                <w:p w14:paraId="532D19C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67.63</w:t>
                  </w:r>
                </w:p>
              </w:tc>
              <w:tc>
                <w:tcPr>
                  <w:tcW w:w="420" w:type="dxa"/>
                  <w:tcBorders>
                    <w:tl2br w:val="nil"/>
                    <w:tr2bl w:val="nil"/>
                  </w:tcBorders>
                  <w:noWrap/>
                  <w:vAlign w:val="center"/>
                </w:tcPr>
                <w:p w14:paraId="18063E1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昼夜</w:t>
                  </w:r>
                </w:p>
              </w:tc>
              <w:tc>
                <w:tcPr>
                  <w:tcW w:w="598" w:type="dxa"/>
                  <w:tcBorders>
                    <w:tl2br w:val="nil"/>
                    <w:tr2bl w:val="nil"/>
                  </w:tcBorders>
                  <w:noWrap/>
                  <w:vAlign w:val="center"/>
                </w:tcPr>
                <w:p w14:paraId="74DB151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noWrap/>
                  <w:vAlign w:val="center"/>
                </w:tcPr>
                <w:p w14:paraId="0C8FBF7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41.63</w:t>
                  </w:r>
                </w:p>
              </w:tc>
              <w:tc>
                <w:tcPr>
                  <w:tcW w:w="547" w:type="dxa"/>
                  <w:tcBorders>
                    <w:tl2br w:val="nil"/>
                    <w:tr2bl w:val="nil"/>
                  </w:tcBorders>
                  <w:noWrap/>
                  <w:vAlign w:val="center"/>
                </w:tcPr>
                <w:p w14:paraId="1435919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7E2A0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76D3378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21</w:t>
                  </w:r>
                </w:p>
              </w:tc>
              <w:tc>
                <w:tcPr>
                  <w:tcW w:w="477" w:type="dxa"/>
                  <w:vMerge w:val="continue"/>
                  <w:tcBorders>
                    <w:tl2br w:val="nil"/>
                    <w:tr2bl w:val="nil"/>
                  </w:tcBorders>
                  <w:noWrap/>
                  <w:vAlign w:val="center"/>
                </w:tcPr>
                <w:p w14:paraId="1ED4319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noWrap/>
                  <w:vAlign w:val="center"/>
                </w:tcPr>
                <w:p w14:paraId="2A38D04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抓钢机3</w:t>
                  </w:r>
                </w:p>
              </w:tc>
              <w:tc>
                <w:tcPr>
                  <w:tcW w:w="638" w:type="dxa"/>
                  <w:tcBorders>
                    <w:tl2br w:val="nil"/>
                    <w:tr2bl w:val="nil"/>
                  </w:tcBorders>
                  <w:noWrap/>
                  <w:vAlign w:val="center"/>
                </w:tcPr>
                <w:p w14:paraId="557165A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color w:val="auto"/>
                      <w:spacing w:val="-6"/>
                      <w:sz w:val="18"/>
                      <w:szCs w:val="18"/>
                    </w:rPr>
                    <w:t>40t</w:t>
                  </w:r>
                </w:p>
              </w:tc>
              <w:tc>
                <w:tcPr>
                  <w:tcW w:w="726" w:type="dxa"/>
                  <w:tcBorders>
                    <w:tl2br w:val="nil"/>
                    <w:tr2bl w:val="nil"/>
                  </w:tcBorders>
                  <w:noWrap/>
                  <w:vAlign w:val="center"/>
                </w:tcPr>
                <w:p w14:paraId="31B9B706">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80/1</w:t>
                  </w:r>
                </w:p>
              </w:tc>
              <w:tc>
                <w:tcPr>
                  <w:tcW w:w="535" w:type="dxa"/>
                  <w:vMerge w:val="continue"/>
                  <w:tcBorders>
                    <w:tl2br w:val="nil"/>
                    <w:tr2bl w:val="nil"/>
                  </w:tcBorders>
                  <w:noWrap/>
                  <w:vAlign w:val="center"/>
                </w:tcPr>
                <w:p w14:paraId="40AED1B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noWrap/>
                  <w:vAlign w:val="center"/>
                </w:tcPr>
                <w:p w14:paraId="2B783E2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155.41</w:t>
                  </w:r>
                </w:p>
              </w:tc>
              <w:tc>
                <w:tcPr>
                  <w:tcW w:w="630" w:type="dxa"/>
                  <w:tcBorders>
                    <w:tl2br w:val="nil"/>
                    <w:tr2bl w:val="nil"/>
                  </w:tcBorders>
                  <w:noWrap/>
                  <w:vAlign w:val="center"/>
                </w:tcPr>
                <w:p w14:paraId="2F4A920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108.3</w:t>
                  </w:r>
                </w:p>
              </w:tc>
              <w:tc>
                <w:tcPr>
                  <w:tcW w:w="390" w:type="dxa"/>
                  <w:tcBorders>
                    <w:tl2br w:val="nil"/>
                    <w:tr2bl w:val="nil"/>
                  </w:tcBorders>
                  <w:noWrap/>
                  <w:vAlign w:val="center"/>
                </w:tcPr>
                <w:p w14:paraId="2F52183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noWrap/>
                  <w:vAlign w:val="center"/>
                </w:tcPr>
                <w:p w14:paraId="3E1C77AF">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54.54</w:t>
                  </w:r>
                </w:p>
              </w:tc>
              <w:tc>
                <w:tcPr>
                  <w:tcW w:w="630" w:type="dxa"/>
                  <w:tcBorders>
                    <w:tl2br w:val="nil"/>
                    <w:tr2bl w:val="nil"/>
                  </w:tcBorders>
                  <w:noWrap/>
                  <w:vAlign w:val="center"/>
                </w:tcPr>
                <w:p w14:paraId="45942FC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67.63</w:t>
                  </w:r>
                </w:p>
              </w:tc>
              <w:tc>
                <w:tcPr>
                  <w:tcW w:w="420" w:type="dxa"/>
                  <w:tcBorders>
                    <w:tl2br w:val="nil"/>
                    <w:tr2bl w:val="nil"/>
                  </w:tcBorders>
                  <w:noWrap/>
                  <w:vAlign w:val="center"/>
                </w:tcPr>
                <w:p w14:paraId="7A9130D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昼夜</w:t>
                  </w:r>
                </w:p>
              </w:tc>
              <w:tc>
                <w:tcPr>
                  <w:tcW w:w="598" w:type="dxa"/>
                  <w:tcBorders>
                    <w:tl2br w:val="nil"/>
                    <w:tr2bl w:val="nil"/>
                  </w:tcBorders>
                  <w:noWrap/>
                  <w:vAlign w:val="center"/>
                </w:tcPr>
                <w:p w14:paraId="24BA4BA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noWrap/>
                  <w:vAlign w:val="center"/>
                </w:tcPr>
                <w:p w14:paraId="2E1D24E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41.63</w:t>
                  </w:r>
                </w:p>
              </w:tc>
              <w:tc>
                <w:tcPr>
                  <w:tcW w:w="547" w:type="dxa"/>
                  <w:tcBorders>
                    <w:tl2br w:val="nil"/>
                    <w:tr2bl w:val="nil"/>
                  </w:tcBorders>
                  <w:noWrap/>
                  <w:vAlign w:val="center"/>
                </w:tcPr>
                <w:p w14:paraId="2E6FD0E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32E5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26BB75D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22</w:t>
                  </w:r>
                </w:p>
              </w:tc>
              <w:tc>
                <w:tcPr>
                  <w:tcW w:w="477" w:type="dxa"/>
                  <w:vMerge w:val="continue"/>
                  <w:tcBorders>
                    <w:tl2br w:val="nil"/>
                    <w:tr2bl w:val="nil"/>
                  </w:tcBorders>
                  <w:noWrap/>
                  <w:vAlign w:val="center"/>
                </w:tcPr>
                <w:p w14:paraId="0E2E70B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noWrap/>
                  <w:vAlign w:val="center"/>
                </w:tcPr>
                <w:p w14:paraId="7FA4AFA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抓钢机4</w:t>
                  </w:r>
                </w:p>
              </w:tc>
              <w:tc>
                <w:tcPr>
                  <w:tcW w:w="638" w:type="dxa"/>
                  <w:tcBorders>
                    <w:tl2br w:val="nil"/>
                    <w:tr2bl w:val="nil"/>
                  </w:tcBorders>
                  <w:noWrap/>
                  <w:vAlign w:val="center"/>
                </w:tcPr>
                <w:p w14:paraId="79D8A288">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color w:val="auto"/>
                      <w:spacing w:val="-6"/>
                      <w:sz w:val="18"/>
                      <w:szCs w:val="18"/>
                    </w:rPr>
                    <w:t>40t</w:t>
                  </w:r>
                </w:p>
              </w:tc>
              <w:tc>
                <w:tcPr>
                  <w:tcW w:w="726" w:type="dxa"/>
                  <w:tcBorders>
                    <w:tl2br w:val="nil"/>
                    <w:tr2bl w:val="nil"/>
                  </w:tcBorders>
                  <w:noWrap/>
                  <w:vAlign w:val="center"/>
                </w:tcPr>
                <w:p w14:paraId="27D1997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80/1</w:t>
                  </w:r>
                </w:p>
              </w:tc>
              <w:tc>
                <w:tcPr>
                  <w:tcW w:w="535" w:type="dxa"/>
                  <w:vMerge w:val="continue"/>
                  <w:tcBorders>
                    <w:tl2br w:val="nil"/>
                    <w:tr2bl w:val="nil"/>
                  </w:tcBorders>
                  <w:noWrap/>
                  <w:vAlign w:val="center"/>
                </w:tcPr>
                <w:p w14:paraId="7D0D6CE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noWrap/>
                  <w:vAlign w:val="center"/>
                </w:tcPr>
                <w:p w14:paraId="2F50171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161.56</w:t>
                  </w:r>
                </w:p>
              </w:tc>
              <w:tc>
                <w:tcPr>
                  <w:tcW w:w="630" w:type="dxa"/>
                  <w:tcBorders>
                    <w:tl2br w:val="nil"/>
                    <w:tr2bl w:val="nil"/>
                  </w:tcBorders>
                  <w:noWrap/>
                  <w:vAlign w:val="center"/>
                </w:tcPr>
                <w:p w14:paraId="1D57BF79">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107.5</w:t>
                  </w:r>
                </w:p>
              </w:tc>
              <w:tc>
                <w:tcPr>
                  <w:tcW w:w="390" w:type="dxa"/>
                  <w:tcBorders>
                    <w:tl2br w:val="nil"/>
                    <w:tr2bl w:val="nil"/>
                  </w:tcBorders>
                  <w:noWrap/>
                  <w:vAlign w:val="center"/>
                </w:tcPr>
                <w:p w14:paraId="109704BD">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noWrap/>
                  <w:vAlign w:val="center"/>
                </w:tcPr>
                <w:p w14:paraId="0A318C4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48.37</w:t>
                  </w:r>
                </w:p>
              </w:tc>
              <w:tc>
                <w:tcPr>
                  <w:tcW w:w="630" w:type="dxa"/>
                  <w:tcBorders>
                    <w:tl2br w:val="nil"/>
                    <w:tr2bl w:val="nil"/>
                  </w:tcBorders>
                  <w:noWrap/>
                  <w:vAlign w:val="center"/>
                </w:tcPr>
                <w:p w14:paraId="32A7CDD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67.63</w:t>
                  </w:r>
                </w:p>
              </w:tc>
              <w:tc>
                <w:tcPr>
                  <w:tcW w:w="420" w:type="dxa"/>
                  <w:tcBorders>
                    <w:tl2br w:val="nil"/>
                    <w:tr2bl w:val="nil"/>
                  </w:tcBorders>
                  <w:noWrap/>
                  <w:vAlign w:val="center"/>
                </w:tcPr>
                <w:p w14:paraId="2AC8C08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昼夜</w:t>
                  </w:r>
                </w:p>
              </w:tc>
              <w:tc>
                <w:tcPr>
                  <w:tcW w:w="598" w:type="dxa"/>
                  <w:tcBorders>
                    <w:tl2br w:val="nil"/>
                    <w:tr2bl w:val="nil"/>
                  </w:tcBorders>
                  <w:noWrap/>
                  <w:vAlign w:val="center"/>
                </w:tcPr>
                <w:p w14:paraId="7DF651D1">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noWrap/>
                  <w:vAlign w:val="center"/>
                </w:tcPr>
                <w:p w14:paraId="3DD567C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41.63</w:t>
                  </w:r>
                </w:p>
              </w:tc>
              <w:tc>
                <w:tcPr>
                  <w:tcW w:w="547" w:type="dxa"/>
                  <w:tcBorders>
                    <w:tl2br w:val="nil"/>
                    <w:tr2bl w:val="nil"/>
                  </w:tcBorders>
                  <w:noWrap/>
                  <w:vAlign w:val="center"/>
                </w:tcPr>
                <w:p w14:paraId="7AB52EE3">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r w14:paraId="7C25C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16" w:type="dxa"/>
                  <w:tcBorders>
                    <w:tl2br w:val="nil"/>
                    <w:tr2bl w:val="nil"/>
                  </w:tcBorders>
                  <w:shd w:val="clear" w:color="auto" w:fill="FFFFFF"/>
                  <w:noWrap/>
                  <w:vAlign w:val="center"/>
                </w:tcPr>
                <w:p w14:paraId="1233B400">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23</w:t>
                  </w:r>
                </w:p>
              </w:tc>
              <w:tc>
                <w:tcPr>
                  <w:tcW w:w="477" w:type="dxa"/>
                  <w:vMerge w:val="continue"/>
                  <w:tcBorders>
                    <w:tl2br w:val="nil"/>
                    <w:tr2bl w:val="nil"/>
                  </w:tcBorders>
                  <w:noWrap/>
                  <w:vAlign w:val="center"/>
                </w:tcPr>
                <w:p w14:paraId="027AC9F7">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735" w:type="dxa"/>
                  <w:tcBorders>
                    <w:tl2br w:val="nil"/>
                    <w:tr2bl w:val="nil"/>
                  </w:tcBorders>
                  <w:noWrap/>
                  <w:vAlign w:val="center"/>
                </w:tcPr>
                <w:p w14:paraId="6298DC1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抓钢机5</w:t>
                  </w:r>
                </w:p>
              </w:tc>
              <w:tc>
                <w:tcPr>
                  <w:tcW w:w="638" w:type="dxa"/>
                  <w:tcBorders>
                    <w:tl2br w:val="nil"/>
                    <w:tr2bl w:val="nil"/>
                  </w:tcBorders>
                  <w:noWrap/>
                  <w:vAlign w:val="center"/>
                </w:tcPr>
                <w:p w14:paraId="29DF70B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r>
                    <w:rPr>
                      <w:color w:val="auto"/>
                      <w:spacing w:val="-6"/>
                      <w:sz w:val="18"/>
                      <w:szCs w:val="18"/>
                    </w:rPr>
                    <w:t>40t</w:t>
                  </w:r>
                </w:p>
              </w:tc>
              <w:tc>
                <w:tcPr>
                  <w:tcW w:w="726" w:type="dxa"/>
                  <w:tcBorders>
                    <w:tl2br w:val="nil"/>
                    <w:tr2bl w:val="nil"/>
                  </w:tcBorders>
                  <w:noWrap/>
                  <w:vAlign w:val="center"/>
                </w:tcPr>
                <w:p w14:paraId="2D0F2464">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80/1</w:t>
                  </w:r>
                </w:p>
              </w:tc>
              <w:tc>
                <w:tcPr>
                  <w:tcW w:w="535" w:type="dxa"/>
                  <w:vMerge w:val="continue"/>
                  <w:tcBorders>
                    <w:tl2br w:val="nil"/>
                    <w:tr2bl w:val="nil"/>
                  </w:tcBorders>
                  <w:noWrap/>
                  <w:vAlign w:val="center"/>
                </w:tcPr>
                <w:p w14:paraId="53C976E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rPr>
                      <w:color w:val="auto"/>
                      <w:spacing w:val="-6"/>
                      <w:sz w:val="18"/>
                      <w:szCs w:val="18"/>
                    </w:rPr>
                  </w:pPr>
                </w:p>
              </w:tc>
              <w:tc>
                <w:tcPr>
                  <w:tcW w:w="501" w:type="dxa"/>
                  <w:tcBorders>
                    <w:tl2br w:val="nil"/>
                    <w:tr2bl w:val="nil"/>
                  </w:tcBorders>
                  <w:noWrap/>
                  <w:vAlign w:val="center"/>
                </w:tcPr>
                <w:p w14:paraId="78747C1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168.51</w:t>
                  </w:r>
                </w:p>
              </w:tc>
              <w:tc>
                <w:tcPr>
                  <w:tcW w:w="630" w:type="dxa"/>
                  <w:tcBorders>
                    <w:tl2br w:val="nil"/>
                    <w:tr2bl w:val="nil"/>
                  </w:tcBorders>
                  <w:noWrap/>
                  <w:vAlign w:val="center"/>
                </w:tcPr>
                <w:p w14:paraId="39E368F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107.23</w:t>
                  </w:r>
                </w:p>
              </w:tc>
              <w:tc>
                <w:tcPr>
                  <w:tcW w:w="390" w:type="dxa"/>
                  <w:tcBorders>
                    <w:tl2br w:val="nil"/>
                    <w:tr2bl w:val="nil"/>
                  </w:tcBorders>
                  <w:noWrap/>
                  <w:vAlign w:val="center"/>
                </w:tcPr>
                <w:p w14:paraId="4658849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c>
                <w:tcPr>
                  <w:tcW w:w="615" w:type="dxa"/>
                  <w:tcBorders>
                    <w:tl2br w:val="nil"/>
                    <w:tr2bl w:val="nil"/>
                  </w:tcBorders>
                  <w:noWrap/>
                  <w:vAlign w:val="center"/>
                </w:tcPr>
                <w:p w14:paraId="2C568C7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41.41</w:t>
                  </w:r>
                </w:p>
              </w:tc>
              <w:tc>
                <w:tcPr>
                  <w:tcW w:w="630" w:type="dxa"/>
                  <w:tcBorders>
                    <w:tl2br w:val="nil"/>
                    <w:tr2bl w:val="nil"/>
                  </w:tcBorders>
                  <w:noWrap/>
                  <w:vAlign w:val="center"/>
                </w:tcPr>
                <w:p w14:paraId="6837E3C2">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67.63</w:t>
                  </w:r>
                </w:p>
              </w:tc>
              <w:tc>
                <w:tcPr>
                  <w:tcW w:w="420" w:type="dxa"/>
                  <w:tcBorders>
                    <w:tl2br w:val="nil"/>
                    <w:tr2bl w:val="nil"/>
                  </w:tcBorders>
                  <w:noWrap/>
                  <w:vAlign w:val="center"/>
                </w:tcPr>
                <w:p w14:paraId="286D7B5A">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昼夜</w:t>
                  </w:r>
                </w:p>
              </w:tc>
              <w:tc>
                <w:tcPr>
                  <w:tcW w:w="598" w:type="dxa"/>
                  <w:tcBorders>
                    <w:tl2br w:val="nil"/>
                    <w:tr2bl w:val="nil"/>
                  </w:tcBorders>
                  <w:noWrap/>
                  <w:vAlign w:val="center"/>
                </w:tcPr>
                <w:p w14:paraId="44C86BEB">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26</w:t>
                  </w:r>
                </w:p>
              </w:tc>
              <w:tc>
                <w:tcPr>
                  <w:tcW w:w="527" w:type="dxa"/>
                  <w:tcBorders>
                    <w:tl2br w:val="nil"/>
                    <w:tr2bl w:val="nil"/>
                  </w:tcBorders>
                  <w:noWrap/>
                  <w:vAlign w:val="center"/>
                </w:tcPr>
                <w:p w14:paraId="0559271C">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41.63</w:t>
                  </w:r>
                </w:p>
              </w:tc>
              <w:tc>
                <w:tcPr>
                  <w:tcW w:w="547" w:type="dxa"/>
                  <w:tcBorders>
                    <w:tl2br w:val="nil"/>
                    <w:tr2bl w:val="nil"/>
                  </w:tcBorders>
                  <w:noWrap/>
                  <w:vAlign w:val="center"/>
                </w:tcPr>
                <w:p w14:paraId="1F906D9E">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center"/>
                    <w:rPr>
                      <w:color w:val="auto"/>
                      <w:spacing w:val="-6"/>
                      <w:sz w:val="18"/>
                      <w:szCs w:val="18"/>
                    </w:rPr>
                  </w:pPr>
                  <w:r>
                    <w:rPr>
                      <w:color w:val="auto"/>
                      <w:spacing w:val="-6"/>
                      <w:kern w:val="0"/>
                      <w:sz w:val="18"/>
                      <w:szCs w:val="18"/>
                      <w:lang w:bidi="ar"/>
                    </w:rPr>
                    <w:t>1</w:t>
                  </w:r>
                </w:p>
              </w:tc>
            </w:tr>
          </w:tbl>
          <w:p w14:paraId="58B81527">
            <w:pPr>
              <w:spacing w:line="500" w:lineRule="exact"/>
              <w:ind w:firstLine="420" w:firstLineChars="200"/>
              <w:rPr>
                <w:b/>
                <w:bCs/>
                <w:color w:val="auto"/>
                <w:lang w:bidi="ar"/>
              </w:rPr>
            </w:pPr>
            <w:r>
              <w:rPr>
                <w:rFonts w:hint="eastAsia"/>
                <w:bCs/>
                <w:color w:val="auto"/>
                <w:sz w:val="21"/>
                <w:szCs w:val="21"/>
              </w:rPr>
              <w:t>注：以厂区西南角为原点，东西向为X轴，南北向为Y轴。</w:t>
            </w:r>
          </w:p>
          <w:p w14:paraId="5502A675">
            <w:pPr>
              <w:keepNext w:val="0"/>
              <w:keepLines w:val="0"/>
              <w:pageBreakBefore w:val="0"/>
              <w:widowControl w:val="0"/>
              <w:kinsoku/>
              <w:wordWrap/>
              <w:overflowPunct/>
              <w:topLinePunct w:val="0"/>
              <w:bidi w:val="0"/>
              <w:snapToGrid/>
              <w:spacing w:line="480" w:lineRule="exact"/>
              <w:ind w:firstLine="482" w:firstLineChars="200"/>
              <w:textAlignment w:val="auto"/>
              <w:rPr>
                <w:b/>
                <w:bCs/>
                <w:color w:val="auto"/>
                <w:lang w:bidi="ar"/>
              </w:rPr>
            </w:pPr>
            <w:r>
              <w:rPr>
                <w:rFonts w:hint="eastAsia"/>
                <w:b/>
                <w:bCs/>
                <w:color w:val="auto"/>
                <w:lang w:bidi="ar"/>
              </w:rPr>
              <w:t>3.2噪声污染防治措施</w:t>
            </w:r>
          </w:p>
          <w:p w14:paraId="77A0D2A8">
            <w:pPr>
              <w:pStyle w:val="34"/>
              <w:keepNext w:val="0"/>
              <w:keepLines w:val="0"/>
              <w:pageBreakBefore w:val="0"/>
              <w:widowControl w:val="0"/>
              <w:kinsoku/>
              <w:wordWrap/>
              <w:overflowPunct/>
              <w:topLinePunct w:val="0"/>
              <w:bidi w:val="0"/>
              <w:snapToGrid/>
              <w:spacing w:line="480" w:lineRule="exact"/>
              <w:ind w:firstLineChars="200"/>
              <w:textAlignment w:val="auto"/>
              <w:rPr>
                <w:rFonts w:ascii="Times New Roman" w:hAnsi="Times New Roman" w:eastAsia="宋体"/>
                <w:color w:val="auto"/>
                <w:szCs w:val="24"/>
                <w:lang w:bidi="ar"/>
              </w:rPr>
            </w:pPr>
            <w:r>
              <w:rPr>
                <w:rFonts w:ascii="Times New Roman" w:hAnsi="Times New Roman" w:eastAsia="宋体"/>
                <w:color w:val="auto"/>
                <w:szCs w:val="24"/>
                <w:lang w:bidi="ar"/>
              </w:rPr>
              <w:t>本次评价提出以下如下噪声防治措施：</w:t>
            </w:r>
          </w:p>
          <w:p w14:paraId="10F2CB9D">
            <w:pPr>
              <w:pStyle w:val="34"/>
              <w:keepNext w:val="0"/>
              <w:keepLines w:val="0"/>
              <w:pageBreakBefore w:val="0"/>
              <w:widowControl w:val="0"/>
              <w:kinsoku/>
              <w:wordWrap/>
              <w:overflowPunct/>
              <w:topLinePunct w:val="0"/>
              <w:bidi w:val="0"/>
              <w:snapToGrid/>
              <w:spacing w:line="480" w:lineRule="exact"/>
              <w:ind w:firstLineChars="200"/>
              <w:textAlignment w:val="auto"/>
              <w:rPr>
                <w:rFonts w:ascii="Times New Roman" w:hAnsi="Times New Roman" w:eastAsia="宋体"/>
                <w:color w:val="auto"/>
                <w:szCs w:val="24"/>
                <w:lang w:bidi="ar"/>
              </w:rPr>
            </w:pPr>
            <w:r>
              <w:rPr>
                <w:rFonts w:hint="eastAsia" w:ascii="Times New Roman" w:hAnsi="Times New Roman" w:eastAsia="宋体"/>
                <w:color w:val="auto"/>
                <w:szCs w:val="24"/>
                <w:lang w:bidi="ar"/>
              </w:rPr>
              <w:t>（1）</w:t>
            </w:r>
            <w:r>
              <w:rPr>
                <w:rFonts w:ascii="Times New Roman" w:hAnsi="Times New Roman" w:eastAsia="宋体"/>
                <w:color w:val="auto"/>
                <w:szCs w:val="24"/>
                <w:lang w:bidi="ar"/>
              </w:rPr>
              <w:t>在设备选型上，选择低噪声设备，降低了噪声源的声压级；</w:t>
            </w:r>
          </w:p>
          <w:p w14:paraId="19132A05">
            <w:pPr>
              <w:pStyle w:val="34"/>
              <w:keepNext w:val="0"/>
              <w:keepLines w:val="0"/>
              <w:pageBreakBefore w:val="0"/>
              <w:widowControl w:val="0"/>
              <w:kinsoku/>
              <w:wordWrap/>
              <w:overflowPunct/>
              <w:topLinePunct w:val="0"/>
              <w:bidi w:val="0"/>
              <w:snapToGrid/>
              <w:spacing w:line="480" w:lineRule="exact"/>
              <w:ind w:firstLineChars="200"/>
              <w:textAlignment w:val="auto"/>
              <w:rPr>
                <w:rFonts w:ascii="Times New Roman" w:hAnsi="Times New Roman" w:eastAsia="宋体"/>
                <w:color w:val="auto"/>
                <w:szCs w:val="24"/>
                <w:lang w:bidi="ar"/>
              </w:rPr>
            </w:pPr>
            <w:r>
              <w:rPr>
                <w:rFonts w:hint="eastAsia" w:ascii="Times New Roman" w:hAnsi="Times New Roman" w:eastAsia="宋体"/>
                <w:color w:val="auto"/>
                <w:szCs w:val="24"/>
                <w:lang w:bidi="ar"/>
              </w:rPr>
              <w:t>（2）</w:t>
            </w:r>
            <w:r>
              <w:rPr>
                <w:rFonts w:ascii="Times New Roman" w:hAnsi="Times New Roman" w:eastAsia="宋体"/>
                <w:color w:val="auto"/>
                <w:szCs w:val="24"/>
                <w:lang w:bidi="ar"/>
              </w:rPr>
              <w:t>将高噪声设备尽量集中在厂房中部，采用基础减震（橡胶减震或弹簧减震）等措施；</w:t>
            </w:r>
          </w:p>
          <w:p w14:paraId="09807E3C">
            <w:pPr>
              <w:pStyle w:val="34"/>
              <w:spacing w:line="500" w:lineRule="exact"/>
              <w:ind w:firstLineChars="200"/>
              <w:rPr>
                <w:rFonts w:ascii="Times New Roman" w:hAnsi="Times New Roman" w:eastAsia="宋体"/>
                <w:color w:val="auto"/>
                <w:szCs w:val="24"/>
                <w:lang w:bidi="ar"/>
              </w:rPr>
            </w:pPr>
            <w:r>
              <w:rPr>
                <w:rFonts w:hint="eastAsia" w:ascii="Times New Roman" w:hAnsi="Times New Roman" w:eastAsia="宋体"/>
                <w:color w:val="auto"/>
                <w:szCs w:val="24"/>
                <w:lang w:bidi="ar"/>
              </w:rPr>
              <w:t>（3）</w:t>
            </w:r>
            <w:r>
              <w:rPr>
                <w:rFonts w:ascii="Times New Roman" w:hAnsi="Times New Roman" w:eastAsia="宋体"/>
                <w:color w:val="auto"/>
                <w:szCs w:val="24"/>
                <w:lang w:bidi="ar"/>
              </w:rPr>
              <w:t>运输噪声：严格运输过程的管理，运输时间避开居民休息时间（22.00---06.00），路过村庄时应降低车速（20km/h以下）、严禁鸣笛；</w:t>
            </w:r>
          </w:p>
          <w:p w14:paraId="7F317B81">
            <w:pPr>
              <w:pStyle w:val="34"/>
              <w:keepNext w:val="0"/>
              <w:keepLines w:val="0"/>
              <w:pageBreakBefore w:val="0"/>
              <w:widowControl w:val="0"/>
              <w:kinsoku/>
              <w:wordWrap/>
              <w:overflowPunct/>
              <w:topLinePunct w:val="0"/>
              <w:bidi w:val="0"/>
              <w:spacing w:line="520" w:lineRule="exact"/>
              <w:ind w:firstLineChars="200"/>
              <w:textAlignment w:val="auto"/>
              <w:rPr>
                <w:rFonts w:ascii="Times New Roman" w:hAnsi="Times New Roman" w:eastAsia="宋体"/>
                <w:color w:val="auto"/>
                <w:szCs w:val="24"/>
                <w:lang w:bidi="ar"/>
              </w:rPr>
            </w:pPr>
            <w:r>
              <w:rPr>
                <w:rFonts w:hint="eastAsia" w:ascii="Times New Roman" w:hAnsi="Times New Roman" w:eastAsia="宋体"/>
                <w:color w:val="auto"/>
                <w:szCs w:val="24"/>
                <w:lang w:bidi="ar"/>
              </w:rPr>
              <w:t>（4）</w:t>
            </w:r>
            <w:r>
              <w:rPr>
                <w:rFonts w:ascii="Times New Roman" w:hAnsi="Times New Roman" w:eastAsia="宋体"/>
                <w:color w:val="auto"/>
                <w:szCs w:val="24"/>
                <w:lang w:bidi="ar"/>
              </w:rPr>
              <w:t>建立设备定期维护</w:t>
            </w:r>
            <w:r>
              <w:rPr>
                <w:rFonts w:hint="eastAsia" w:ascii="Times New Roman" w:hAnsi="Times New Roman" w:eastAsia="宋体"/>
                <w:color w:val="auto"/>
                <w:szCs w:val="24"/>
                <w:lang w:bidi="ar"/>
              </w:rPr>
              <w:t>、</w:t>
            </w:r>
            <w:r>
              <w:rPr>
                <w:rFonts w:ascii="Times New Roman" w:hAnsi="Times New Roman" w:eastAsia="宋体"/>
                <w:color w:val="auto"/>
                <w:szCs w:val="24"/>
                <w:lang w:bidi="ar"/>
              </w:rPr>
              <w:t>保养的管理制度，以防止设备故障形成的非正常生产噪声，同时确保环保措施发挥最佳有效的功能；加强职工环保意识教育，提倡文明生产，防止人为噪声；强化行车管理制度，设置降噪标准，严禁鸣号，进入厂区低速行驶，最大限度减少流动噪声源</w:t>
            </w:r>
            <w:r>
              <w:rPr>
                <w:rFonts w:hint="eastAsia" w:ascii="Times New Roman" w:hAnsi="Times New Roman" w:eastAsia="宋体"/>
                <w:color w:val="auto"/>
                <w:szCs w:val="24"/>
                <w:lang w:bidi="ar"/>
              </w:rPr>
              <w:t>。</w:t>
            </w:r>
          </w:p>
          <w:p w14:paraId="2B94D419">
            <w:pPr>
              <w:keepNext w:val="0"/>
              <w:keepLines w:val="0"/>
              <w:pageBreakBefore w:val="0"/>
              <w:widowControl w:val="0"/>
              <w:kinsoku/>
              <w:wordWrap/>
              <w:overflowPunct/>
              <w:topLinePunct w:val="0"/>
              <w:bidi w:val="0"/>
              <w:spacing w:line="520" w:lineRule="exact"/>
              <w:ind w:firstLine="482" w:firstLineChars="200"/>
              <w:textAlignment w:val="auto"/>
              <w:rPr>
                <w:b/>
                <w:color w:val="auto"/>
              </w:rPr>
            </w:pPr>
            <w:r>
              <w:rPr>
                <w:rFonts w:hint="eastAsia"/>
                <w:b/>
                <w:color w:val="auto"/>
              </w:rPr>
              <w:t>3.3噪声环境影响分析</w:t>
            </w:r>
          </w:p>
          <w:p w14:paraId="07F49DCC">
            <w:pPr>
              <w:keepNext w:val="0"/>
              <w:keepLines w:val="0"/>
              <w:pageBreakBefore w:val="0"/>
              <w:widowControl w:val="0"/>
              <w:kinsoku/>
              <w:wordWrap/>
              <w:overflowPunct/>
              <w:topLinePunct w:val="0"/>
              <w:bidi w:val="0"/>
              <w:spacing w:line="520" w:lineRule="exact"/>
              <w:ind w:left="-12" w:leftChars="-5" w:firstLine="480" w:firstLineChars="200"/>
              <w:textAlignment w:val="auto"/>
              <w:rPr>
                <w:color w:val="auto"/>
              </w:rPr>
            </w:pPr>
            <w:r>
              <w:rPr>
                <w:color w:val="auto"/>
              </w:rPr>
              <w:t>根据《环境影响评价技术导则 声环境》（HJ2.4-2021）中的要求，本次评价采取导则推荐模式</w:t>
            </w:r>
          </w:p>
          <w:p w14:paraId="4E56516F">
            <w:pPr>
              <w:keepNext w:val="0"/>
              <w:keepLines w:val="0"/>
              <w:pageBreakBefore w:val="0"/>
              <w:widowControl w:val="0"/>
              <w:kinsoku/>
              <w:wordWrap/>
              <w:overflowPunct/>
              <w:topLinePunct w:val="0"/>
              <w:bidi w:val="0"/>
              <w:spacing w:line="520" w:lineRule="exact"/>
              <w:ind w:left="-12" w:leftChars="-5" w:firstLine="480" w:firstLineChars="200"/>
              <w:textAlignment w:val="auto"/>
              <w:rPr>
                <w:color w:val="auto"/>
              </w:rPr>
            </w:pPr>
            <w:r>
              <w:rPr>
                <w:color w:val="auto"/>
              </w:rPr>
              <w:t>①无指向性点声源的几何发散衰减公式：</w:t>
            </w:r>
          </w:p>
          <w:p w14:paraId="607EDD3F">
            <w:pPr>
              <w:keepNext w:val="0"/>
              <w:keepLines w:val="0"/>
              <w:pageBreakBefore w:val="0"/>
              <w:widowControl w:val="0"/>
              <w:kinsoku/>
              <w:wordWrap/>
              <w:overflowPunct/>
              <w:topLinePunct w:val="0"/>
              <w:bidi w:val="0"/>
              <w:adjustRightInd w:val="0"/>
              <w:snapToGrid w:val="0"/>
              <w:spacing w:line="520" w:lineRule="exact"/>
              <w:ind w:firstLine="480"/>
              <w:textAlignment w:val="auto"/>
              <w:rPr>
                <w:bCs/>
                <w:color w:val="auto"/>
                <w:szCs w:val="21"/>
              </w:rPr>
            </w:pPr>
            <w:r>
              <w:rPr>
                <w:bCs/>
                <w:color w:val="auto"/>
                <w:szCs w:val="21"/>
              </w:rPr>
              <w:pict>
                <v:shape id="Object 11" o:spid="_x0000_s1026" o:spt="75" type="#_x0000_t75" style="position:absolute;left:0pt;margin-left:131.5pt;margin-top:1.6pt;height:20.25pt;width:150pt;z-index:-251652096;mso-width-relative:page;mso-height-relative:page;" o:ole="t" filled="f" coordsize="21600,21600">
                  <v:path/>
                  <v:fill on="f" focussize="0,0"/>
                  <v:stroke/>
                  <v:imagedata r:id="rId16" embosscolor="#FFFFFF" o:title=""/>
                  <o:lock v:ext="edit" aspectratio="t"/>
                </v:shape>
                <o:OLEObject Type="Embed" ProgID="Equation.3" ShapeID="Object 11" DrawAspect="Content" ObjectID="_1468075725" r:id="rId15">
                  <o:LockedField>false</o:LockedField>
                </o:OLEObject>
              </w:pict>
            </w:r>
          </w:p>
          <w:p w14:paraId="7DFAB67D">
            <w:pPr>
              <w:keepNext w:val="0"/>
              <w:keepLines w:val="0"/>
              <w:pageBreakBefore w:val="0"/>
              <w:widowControl w:val="0"/>
              <w:kinsoku/>
              <w:wordWrap/>
              <w:overflowPunct/>
              <w:topLinePunct w:val="0"/>
              <w:bidi w:val="0"/>
              <w:adjustRightInd w:val="0"/>
              <w:snapToGrid w:val="0"/>
              <w:spacing w:line="520" w:lineRule="exact"/>
              <w:ind w:firstLine="480" w:firstLineChars="200"/>
              <w:textAlignment w:val="auto"/>
              <w:rPr>
                <w:bCs/>
                <w:color w:val="auto"/>
              </w:rPr>
            </w:pPr>
            <w:r>
              <w:rPr>
                <w:bCs/>
                <w:color w:val="auto"/>
              </w:rPr>
              <w:t>式中：</w:t>
            </w:r>
            <w:r>
              <w:rPr>
                <w:bCs/>
                <w:i/>
                <w:color w:val="auto"/>
              </w:rPr>
              <w:t>L</w:t>
            </w:r>
            <w:r>
              <w:rPr>
                <w:bCs/>
                <w:i/>
                <w:color w:val="auto"/>
                <w:vertAlign w:val="subscript"/>
              </w:rPr>
              <w:t>P</w:t>
            </w:r>
            <w:r>
              <w:rPr>
                <w:bCs/>
                <w:i/>
                <w:color w:val="auto"/>
              </w:rPr>
              <w:t>(r)</w:t>
            </w:r>
            <w:r>
              <w:rPr>
                <w:bCs/>
                <w:color w:val="auto"/>
              </w:rPr>
              <w:t>——距离噪声源r处的等效A声级值，dB(A)；</w:t>
            </w:r>
          </w:p>
          <w:p w14:paraId="1637DC3D">
            <w:pPr>
              <w:keepNext w:val="0"/>
              <w:keepLines w:val="0"/>
              <w:pageBreakBefore w:val="0"/>
              <w:widowControl w:val="0"/>
              <w:kinsoku/>
              <w:wordWrap/>
              <w:overflowPunct/>
              <w:topLinePunct w:val="0"/>
              <w:bidi w:val="0"/>
              <w:adjustRightInd w:val="0"/>
              <w:snapToGrid w:val="0"/>
              <w:spacing w:line="520" w:lineRule="exact"/>
              <w:ind w:firstLine="1200" w:firstLineChars="500"/>
              <w:textAlignment w:val="auto"/>
              <w:rPr>
                <w:bCs/>
                <w:color w:val="auto"/>
              </w:rPr>
            </w:pPr>
            <w:r>
              <w:rPr>
                <w:bCs/>
                <w:i/>
                <w:color w:val="auto"/>
              </w:rPr>
              <w:t>L</w:t>
            </w:r>
            <w:r>
              <w:rPr>
                <w:bCs/>
                <w:i/>
                <w:color w:val="auto"/>
                <w:vertAlign w:val="subscript"/>
              </w:rPr>
              <w:t>P</w:t>
            </w:r>
            <w:r>
              <w:rPr>
                <w:bCs/>
                <w:i/>
                <w:color w:val="auto"/>
              </w:rPr>
              <w:t>(r</w:t>
            </w:r>
            <w:r>
              <w:rPr>
                <w:bCs/>
                <w:i/>
                <w:color w:val="auto"/>
                <w:vertAlign w:val="subscript"/>
              </w:rPr>
              <w:t>0</w:t>
            </w:r>
            <w:r>
              <w:rPr>
                <w:bCs/>
                <w:i/>
                <w:color w:val="auto"/>
              </w:rPr>
              <w:t>)</w:t>
            </w:r>
            <w:r>
              <w:rPr>
                <w:bCs/>
                <w:color w:val="auto"/>
              </w:rPr>
              <w:t>——距离噪声源r</w:t>
            </w:r>
            <w:r>
              <w:rPr>
                <w:bCs/>
                <w:color w:val="auto"/>
                <w:vertAlign w:val="subscript"/>
              </w:rPr>
              <w:t>0</w:t>
            </w:r>
            <w:r>
              <w:rPr>
                <w:bCs/>
                <w:color w:val="auto"/>
              </w:rPr>
              <w:t>处的等效A声级值，dB(A)；</w:t>
            </w:r>
          </w:p>
          <w:p w14:paraId="7808C954">
            <w:pPr>
              <w:keepNext w:val="0"/>
              <w:keepLines w:val="0"/>
              <w:pageBreakBefore w:val="0"/>
              <w:widowControl w:val="0"/>
              <w:tabs>
                <w:tab w:val="left" w:pos="0"/>
              </w:tabs>
              <w:kinsoku/>
              <w:wordWrap/>
              <w:overflowPunct/>
              <w:topLinePunct w:val="0"/>
              <w:bidi w:val="0"/>
              <w:adjustRightInd w:val="0"/>
              <w:snapToGrid w:val="0"/>
              <w:spacing w:line="520" w:lineRule="exact"/>
              <w:ind w:firstLine="1260" w:firstLineChars="525"/>
              <w:textAlignment w:val="auto"/>
              <w:rPr>
                <w:bCs/>
                <w:color w:val="auto"/>
              </w:rPr>
            </w:pPr>
            <w:r>
              <w:rPr>
                <w:bCs/>
                <w:i/>
                <w:color w:val="auto"/>
              </w:rPr>
              <w:t>r</w:t>
            </w:r>
            <w:r>
              <w:rPr>
                <w:bCs/>
                <w:color w:val="auto"/>
              </w:rPr>
              <w:t xml:space="preserve"> ——预测点距噪声源距离，（m）；</w:t>
            </w:r>
          </w:p>
          <w:p w14:paraId="04208C10">
            <w:pPr>
              <w:keepNext w:val="0"/>
              <w:keepLines w:val="0"/>
              <w:pageBreakBefore w:val="0"/>
              <w:widowControl w:val="0"/>
              <w:tabs>
                <w:tab w:val="left" w:pos="0"/>
              </w:tabs>
              <w:kinsoku/>
              <w:wordWrap/>
              <w:overflowPunct/>
              <w:topLinePunct w:val="0"/>
              <w:bidi w:val="0"/>
              <w:adjustRightInd w:val="0"/>
              <w:snapToGrid w:val="0"/>
              <w:spacing w:line="520" w:lineRule="exact"/>
              <w:ind w:firstLine="1260" w:firstLineChars="525"/>
              <w:textAlignment w:val="auto"/>
              <w:rPr>
                <w:bCs/>
                <w:color w:val="auto"/>
              </w:rPr>
            </w:pPr>
            <w:r>
              <w:rPr>
                <w:bCs/>
                <w:i/>
                <w:color w:val="auto"/>
              </w:rPr>
              <w:t>r</w:t>
            </w:r>
            <w:r>
              <w:rPr>
                <w:bCs/>
                <w:i/>
                <w:color w:val="auto"/>
                <w:vertAlign w:val="subscript"/>
              </w:rPr>
              <w:t>0</w:t>
            </w:r>
            <w:r>
              <w:rPr>
                <w:bCs/>
                <w:color w:val="auto"/>
              </w:rPr>
              <w:t>——源强外1m处。</w:t>
            </w:r>
          </w:p>
          <w:p w14:paraId="6FA9EEB1">
            <w:pPr>
              <w:keepNext w:val="0"/>
              <w:keepLines w:val="0"/>
              <w:pageBreakBefore w:val="0"/>
              <w:widowControl w:val="0"/>
              <w:kinsoku/>
              <w:wordWrap/>
              <w:overflowPunct/>
              <w:topLinePunct w:val="0"/>
              <w:bidi w:val="0"/>
              <w:adjustRightInd w:val="0"/>
              <w:snapToGrid w:val="0"/>
              <w:spacing w:line="520" w:lineRule="exact"/>
              <w:ind w:firstLine="600" w:firstLineChars="250"/>
              <w:textAlignment w:val="auto"/>
              <w:rPr>
                <w:bCs/>
                <w:color w:val="auto"/>
              </w:rPr>
            </w:pPr>
            <w:r>
              <w:rPr>
                <w:bCs/>
                <w:color w:val="auto"/>
              </w:rPr>
              <w:t>②建设项目声源在预测点产生的等效声级贡献值（</w:t>
            </w:r>
            <w:r>
              <w:rPr>
                <w:bCs/>
                <w:i/>
                <w:color w:val="auto"/>
              </w:rPr>
              <w:t>L</w:t>
            </w:r>
            <w:r>
              <w:rPr>
                <w:bCs/>
                <w:i/>
                <w:color w:val="auto"/>
                <w:vertAlign w:val="subscript"/>
              </w:rPr>
              <w:t>eqg</w:t>
            </w:r>
            <w:r>
              <w:rPr>
                <w:bCs/>
                <w:color w:val="auto"/>
              </w:rPr>
              <w:t>）计算公式：</w:t>
            </w:r>
          </w:p>
          <w:p w14:paraId="6FFE516F">
            <w:pPr>
              <w:adjustRightInd w:val="0"/>
              <w:snapToGrid w:val="0"/>
              <w:spacing w:line="500" w:lineRule="exact"/>
              <w:ind w:firstLine="600" w:firstLineChars="250"/>
              <w:rPr>
                <w:bCs/>
                <w:color w:val="auto"/>
              </w:rPr>
            </w:pPr>
            <w:r>
              <w:rPr>
                <w:bCs/>
                <w:color w:val="auto"/>
                <w:szCs w:val="21"/>
              </w:rPr>
              <w:pict>
                <v:shape id="Object 12" o:spid="_x0000_s1027" o:spt="75" type="#_x0000_t75" style="position:absolute;left:0pt;margin-left:124.35pt;margin-top:2.55pt;height:38.25pt;width:150.75pt;z-index:-251651072;mso-width-relative:page;mso-height-relative:page;" o:ole="t" filled="f" coordsize="21600,21600">
                  <v:path/>
                  <v:fill on="f" focussize="0,0"/>
                  <v:stroke/>
                  <v:imagedata r:id="rId18" embosscolor="#FFFFFF" o:title=""/>
                  <o:lock v:ext="edit" aspectratio="t"/>
                </v:shape>
                <o:OLEObject Type="Embed" ProgID="Equation.3" ShapeID="Object 12" DrawAspect="Content" ObjectID="_1468075726" r:id="rId17">
                  <o:LockedField>false</o:LockedField>
                </o:OLEObject>
              </w:pict>
            </w:r>
          </w:p>
          <w:p w14:paraId="6536F4EF">
            <w:pPr>
              <w:keepNext w:val="0"/>
              <w:keepLines w:val="0"/>
              <w:pageBreakBefore w:val="0"/>
              <w:widowControl w:val="0"/>
              <w:kinsoku/>
              <w:wordWrap/>
              <w:overflowPunct/>
              <w:topLinePunct w:val="0"/>
              <w:autoSpaceDE/>
              <w:autoSpaceDN/>
              <w:bidi w:val="0"/>
              <w:adjustRightInd w:val="0"/>
              <w:snapToGrid w:val="0"/>
              <w:spacing w:line="340" w:lineRule="exact"/>
              <w:ind w:firstLine="482"/>
              <w:textAlignment w:val="auto"/>
              <w:rPr>
                <w:bCs/>
                <w:color w:val="auto"/>
                <w:szCs w:val="21"/>
              </w:rPr>
            </w:pPr>
          </w:p>
          <w:p w14:paraId="085F5FC0">
            <w:pPr>
              <w:keepNext w:val="0"/>
              <w:keepLines w:val="0"/>
              <w:pageBreakBefore w:val="0"/>
              <w:widowControl w:val="0"/>
              <w:kinsoku/>
              <w:wordWrap/>
              <w:overflowPunct/>
              <w:topLinePunct w:val="0"/>
              <w:autoSpaceDE/>
              <w:autoSpaceDN/>
              <w:bidi w:val="0"/>
              <w:spacing w:line="520" w:lineRule="exact"/>
              <w:ind w:firstLine="480" w:firstLineChars="200"/>
              <w:textAlignment w:val="auto"/>
              <w:rPr>
                <w:bCs/>
                <w:color w:val="auto"/>
              </w:rPr>
            </w:pPr>
            <w:r>
              <w:rPr>
                <w:bCs/>
                <w:color w:val="auto"/>
              </w:rPr>
              <w:t>式中：</w:t>
            </w:r>
            <w:r>
              <w:rPr>
                <w:bCs/>
                <w:i/>
                <w:color w:val="auto"/>
              </w:rPr>
              <w:t>L</w:t>
            </w:r>
            <w:r>
              <w:rPr>
                <w:bCs/>
                <w:i/>
                <w:color w:val="auto"/>
                <w:vertAlign w:val="subscript"/>
              </w:rPr>
              <w:t>eqg</w:t>
            </w:r>
            <w:r>
              <w:rPr>
                <w:bCs/>
                <w:color w:val="auto"/>
              </w:rPr>
              <w:t>——建设项目声源在预测点的等效声级贡献值，dB(A)；</w:t>
            </w:r>
          </w:p>
          <w:p w14:paraId="4DE903F1">
            <w:pPr>
              <w:keepNext w:val="0"/>
              <w:keepLines w:val="0"/>
              <w:pageBreakBefore w:val="0"/>
              <w:widowControl w:val="0"/>
              <w:kinsoku/>
              <w:wordWrap/>
              <w:overflowPunct/>
              <w:topLinePunct w:val="0"/>
              <w:autoSpaceDE/>
              <w:autoSpaceDN/>
              <w:bidi w:val="0"/>
              <w:spacing w:line="520" w:lineRule="exact"/>
              <w:ind w:firstLine="1200" w:firstLineChars="500"/>
              <w:textAlignment w:val="auto"/>
              <w:rPr>
                <w:bCs/>
                <w:color w:val="auto"/>
              </w:rPr>
            </w:pPr>
            <w:r>
              <w:rPr>
                <w:bCs/>
                <w:i/>
                <w:color w:val="auto"/>
              </w:rPr>
              <w:t>L</w:t>
            </w:r>
            <w:r>
              <w:rPr>
                <w:bCs/>
                <w:i/>
                <w:color w:val="auto"/>
                <w:vertAlign w:val="subscript"/>
              </w:rPr>
              <w:t>Ai</w:t>
            </w:r>
            <w:r>
              <w:rPr>
                <w:bCs/>
                <w:color w:val="auto"/>
              </w:rPr>
              <w:t>——</w:t>
            </w:r>
            <w:r>
              <w:rPr>
                <w:bCs/>
                <w:i/>
                <w:color w:val="auto"/>
              </w:rPr>
              <w:t>i</w:t>
            </w:r>
            <w:r>
              <w:rPr>
                <w:bCs/>
                <w:color w:val="auto"/>
              </w:rPr>
              <w:t>声源在预测点产生的A声级，dB(A)；</w:t>
            </w:r>
          </w:p>
          <w:p w14:paraId="7F49216B">
            <w:pPr>
              <w:keepNext w:val="0"/>
              <w:keepLines w:val="0"/>
              <w:pageBreakBefore w:val="0"/>
              <w:widowControl w:val="0"/>
              <w:tabs>
                <w:tab w:val="left" w:pos="0"/>
              </w:tabs>
              <w:kinsoku/>
              <w:wordWrap/>
              <w:overflowPunct/>
              <w:topLinePunct w:val="0"/>
              <w:autoSpaceDE/>
              <w:autoSpaceDN/>
              <w:bidi w:val="0"/>
              <w:spacing w:line="520" w:lineRule="exact"/>
              <w:ind w:firstLine="1200" w:firstLineChars="500"/>
              <w:textAlignment w:val="auto"/>
              <w:rPr>
                <w:bCs/>
                <w:color w:val="auto"/>
              </w:rPr>
            </w:pPr>
            <w:r>
              <w:rPr>
                <w:bCs/>
                <w:i/>
                <w:color w:val="auto"/>
              </w:rPr>
              <w:t>T</w:t>
            </w:r>
            <w:r>
              <w:rPr>
                <w:bCs/>
                <w:color w:val="auto"/>
              </w:rPr>
              <w:t xml:space="preserve"> ——预测计算的时间段，s；</w:t>
            </w:r>
          </w:p>
          <w:p w14:paraId="33940327">
            <w:pPr>
              <w:keepNext w:val="0"/>
              <w:keepLines w:val="0"/>
              <w:pageBreakBefore w:val="0"/>
              <w:widowControl w:val="0"/>
              <w:tabs>
                <w:tab w:val="left" w:pos="0"/>
              </w:tabs>
              <w:kinsoku/>
              <w:wordWrap/>
              <w:overflowPunct/>
              <w:topLinePunct w:val="0"/>
              <w:autoSpaceDE/>
              <w:autoSpaceDN/>
              <w:bidi w:val="0"/>
              <w:spacing w:line="520" w:lineRule="exact"/>
              <w:ind w:firstLine="1200" w:firstLineChars="500"/>
              <w:textAlignment w:val="auto"/>
              <w:rPr>
                <w:bCs/>
                <w:i/>
                <w:color w:val="auto"/>
              </w:rPr>
            </w:pPr>
            <w:r>
              <w:rPr>
                <w:bCs/>
                <w:i/>
                <w:color w:val="auto"/>
              </w:rPr>
              <w:t>t</w:t>
            </w:r>
            <w:r>
              <w:rPr>
                <w:bCs/>
                <w:i/>
                <w:color w:val="auto"/>
                <w:vertAlign w:val="subscript"/>
              </w:rPr>
              <w:t>i</w:t>
            </w:r>
            <w:r>
              <w:rPr>
                <w:bCs/>
                <w:color w:val="auto"/>
              </w:rPr>
              <w:t>——</w:t>
            </w:r>
            <w:r>
              <w:rPr>
                <w:bCs/>
                <w:i/>
                <w:color w:val="auto"/>
              </w:rPr>
              <w:t>i</w:t>
            </w:r>
            <w:r>
              <w:rPr>
                <w:bCs/>
                <w:color w:val="auto"/>
              </w:rPr>
              <w:t>声源在</w:t>
            </w:r>
            <w:r>
              <w:rPr>
                <w:bCs/>
                <w:i/>
                <w:color w:val="auto"/>
              </w:rPr>
              <w:t>T</w:t>
            </w:r>
            <w:r>
              <w:rPr>
                <w:bCs/>
                <w:color w:val="auto"/>
              </w:rPr>
              <w:t>时段内的运行时间，s。</w:t>
            </w:r>
          </w:p>
          <w:p w14:paraId="5049BD9E">
            <w:pPr>
              <w:keepNext w:val="0"/>
              <w:keepLines w:val="0"/>
              <w:pageBreakBefore w:val="0"/>
              <w:widowControl w:val="0"/>
              <w:kinsoku/>
              <w:wordWrap/>
              <w:overflowPunct/>
              <w:topLinePunct w:val="0"/>
              <w:autoSpaceDE/>
              <w:autoSpaceDN/>
              <w:bidi w:val="0"/>
              <w:spacing w:line="520" w:lineRule="exact"/>
              <w:ind w:firstLine="840" w:firstLineChars="350"/>
              <w:textAlignment w:val="auto"/>
              <w:rPr>
                <w:bCs/>
                <w:color w:val="auto"/>
              </w:rPr>
            </w:pPr>
            <w:r>
              <w:rPr>
                <w:bCs/>
                <w:color w:val="auto"/>
              </w:rPr>
              <w:t>③预测点的预测等效声级（</w:t>
            </w:r>
            <w:r>
              <w:rPr>
                <w:bCs/>
                <w:i/>
                <w:color w:val="auto"/>
              </w:rPr>
              <w:t>L</w:t>
            </w:r>
            <w:r>
              <w:rPr>
                <w:bCs/>
                <w:i/>
                <w:color w:val="auto"/>
                <w:vertAlign w:val="subscript"/>
              </w:rPr>
              <w:t>eq</w:t>
            </w:r>
            <w:r>
              <w:rPr>
                <w:bCs/>
                <w:color w:val="auto"/>
              </w:rPr>
              <w:t>）计算公式：</w:t>
            </w:r>
          </w:p>
          <w:p w14:paraId="37FC370F">
            <w:pPr>
              <w:keepNext w:val="0"/>
              <w:keepLines w:val="0"/>
              <w:pageBreakBefore w:val="0"/>
              <w:widowControl w:val="0"/>
              <w:kinsoku/>
              <w:wordWrap/>
              <w:overflowPunct/>
              <w:topLinePunct w:val="0"/>
              <w:autoSpaceDE/>
              <w:autoSpaceDN/>
              <w:bidi w:val="0"/>
              <w:adjustRightInd w:val="0"/>
              <w:snapToGrid w:val="0"/>
              <w:spacing w:line="520" w:lineRule="exact"/>
              <w:ind w:firstLine="890" w:firstLineChars="371"/>
              <w:textAlignment w:val="auto"/>
              <w:rPr>
                <w:bCs/>
                <w:color w:val="auto"/>
                <w:szCs w:val="21"/>
              </w:rPr>
            </w:pPr>
            <w:r>
              <w:rPr>
                <w:bCs/>
                <w:color w:val="auto"/>
                <w:szCs w:val="21"/>
              </w:rPr>
              <w:pict>
                <v:shape id="Object 13" o:spid="_x0000_s1028" o:spt="75" type="#_x0000_t75" style="position:absolute;left:0pt;margin-left:112.6pt;margin-top:3.3pt;height:24.75pt;width:168pt;z-index:-251650048;mso-width-relative:page;mso-height-relative:page;" o:ole="t" filled="f" coordsize="21600,21600">
                  <v:path/>
                  <v:fill on="f" focussize="0,0"/>
                  <v:stroke/>
                  <v:imagedata r:id="rId20" embosscolor="#FFFFFF" o:title=""/>
                  <o:lock v:ext="edit" aspectratio="t"/>
                </v:shape>
                <o:OLEObject Type="Embed" ProgID="Equation.3" ShapeID="Object 13" DrawAspect="Content" ObjectID="_1468075727" r:id="rId19">
                  <o:LockedField>false</o:LockedField>
                </o:OLEObject>
              </w:pict>
            </w:r>
          </w:p>
          <w:p w14:paraId="61D8FA10">
            <w:pPr>
              <w:keepNext w:val="0"/>
              <w:keepLines w:val="0"/>
              <w:pageBreakBefore w:val="0"/>
              <w:widowControl w:val="0"/>
              <w:kinsoku/>
              <w:wordWrap/>
              <w:overflowPunct/>
              <w:topLinePunct w:val="0"/>
              <w:autoSpaceDE/>
              <w:autoSpaceDN/>
              <w:bidi w:val="0"/>
              <w:spacing w:line="520" w:lineRule="exact"/>
              <w:ind w:firstLine="480" w:firstLineChars="200"/>
              <w:textAlignment w:val="auto"/>
              <w:rPr>
                <w:bCs/>
                <w:color w:val="auto"/>
              </w:rPr>
            </w:pPr>
            <w:r>
              <w:rPr>
                <w:bCs/>
                <w:color w:val="auto"/>
              </w:rPr>
              <w:t>式中：</w:t>
            </w:r>
            <w:r>
              <w:rPr>
                <w:bCs/>
                <w:i/>
                <w:color w:val="auto"/>
              </w:rPr>
              <w:t>L</w:t>
            </w:r>
            <w:r>
              <w:rPr>
                <w:bCs/>
                <w:i/>
                <w:color w:val="auto"/>
                <w:vertAlign w:val="subscript"/>
              </w:rPr>
              <w:t>eqg</w:t>
            </w:r>
            <w:r>
              <w:rPr>
                <w:bCs/>
                <w:color w:val="auto"/>
              </w:rPr>
              <w:t>——建设项目声源在预测点的等效声级贡献值，dB(A)；</w:t>
            </w:r>
          </w:p>
          <w:p w14:paraId="67059486">
            <w:pPr>
              <w:keepNext w:val="0"/>
              <w:keepLines w:val="0"/>
              <w:pageBreakBefore w:val="0"/>
              <w:widowControl w:val="0"/>
              <w:kinsoku/>
              <w:wordWrap/>
              <w:overflowPunct/>
              <w:topLinePunct w:val="0"/>
              <w:autoSpaceDE/>
              <w:autoSpaceDN/>
              <w:bidi w:val="0"/>
              <w:spacing w:line="520" w:lineRule="exact"/>
              <w:ind w:firstLine="1200" w:firstLineChars="500"/>
              <w:textAlignment w:val="auto"/>
              <w:rPr>
                <w:color w:val="auto"/>
                <w:lang w:bidi="ar"/>
              </w:rPr>
            </w:pPr>
            <w:r>
              <w:rPr>
                <w:bCs/>
                <w:i/>
                <w:color w:val="auto"/>
              </w:rPr>
              <w:t>L</w:t>
            </w:r>
            <w:r>
              <w:rPr>
                <w:bCs/>
                <w:i/>
                <w:color w:val="auto"/>
                <w:vertAlign w:val="subscript"/>
              </w:rPr>
              <w:t>eqb</w:t>
            </w:r>
            <w:r>
              <w:rPr>
                <w:bCs/>
                <w:color w:val="auto"/>
              </w:rPr>
              <w:t>——预测点的背景值，dB(A)。</w:t>
            </w:r>
          </w:p>
          <w:p w14:paraId="051A1AF4">
            <w:pPr>
              <w:keepNext w:val="0"/>
              <w:keepLines w:val="0"/>
              <w:pageBreakBefore w:val="0"/>
              <w:widowControl w:val="0"/>
              <w:kinsoku/>
              <w:wordWrap/>
              <w:overflowPunct/>
              <w:topLinePunct w:val="0"/>
              <w:autoSpaceDE/>
              <w:autoSpaceDN/>
              <w:bidi w:val="0"/>
              <w:spacing w:line="520" w:lineRule="exact"/>
              <w:ind w:firstLine="480" w:firstLineChars="200"/>
              <w:textAlignment w:val="auto"/>
              <w:rPr>
                <w:color w:val="auto"/>
              </w:rPr>
            </w:pPr>
            <w:r>
              <w:rPr>
                <w:rFonts w:hint="eastAsia"/>
                <w:color w:val="auto"/>
              </w:rPr>
              <w:t>本项目营运期各厂界昼间及夜间噪声达标情况，详见下表。</w:t>
            </w:r>
          </w:p>
          <w:p w14:paraId="562205BE">
            <w:pPr>
              <w:spacing w:line="480" w:lineRule="exact"/>
              <w:ind w:firstLine="2650" w:firstLineChars="1100"/>
              <w:jc w:val="left"/>
              <w:rPr>
                <w:rFonts w:cs="宋体"/>
                <w:b/>
                <w:bCs/>
                <w:color w:val="auto"/>
                <w:lang w:bidi="ar"/>
              </w:rPr>
            </w:pPr>
            <w:r>
              <w:rPr>
                <w:rFonts w:hint="eastAsia" w:cs="宋体"/>
                <w:b/>
                <w:bCs/>
                <w:color w:val="auto"/>
                <w:lang w:bidi="ar"/>
              </w:rPr>
              <w:t>表4-</w:t>
            </w:r>
            <w:r>
              <w:rPr>
                <w:rFonts w:hint="eastAsia" w:cs="宋体"/>
                <w:b/>
                <w:bCs/>
                <w:color w:val="auto"/>
                <w:lang w:val="en-US" w:eastAsia="zh-CN" w:bidi="ar"/>
              </w:rPr>
              <w:t>10</w:t>
            </w:r>
            <w:r>
              <w:rPr>
                <w:rFonts w:hint="eastAsia" w:cs="宋体"/>
                <w:b/>
                <w:bCs/>
                <w:color w:val="auto"/>
                <w:lang w:bidi="ar"/>
              </w:rPr>
              <w:t xml:space="preserve">      噪声预测结果分析</w:t>
            </w:r>
          </w:p>
          <w:tbl>
            <w:tblPr>
              <w:tblStyle w:val="25"/>
              <w:tblW w:w="4993"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84"/>
              <w:gridCol w:w="832"/>
              <w:gridCol w:w="777"/>
              <w:gridCol w:w="824"/>
              <w:gridCol w:w="692"/>
              <w:gridCol w:w="809"/>
              <w:gridCol w:w="766"/>
              <w:gridCol w:w="689"/>
              <w:gridCol w:w="764"/>
              <w:gridCol w:w="908"/>
              <w:gridCol w:w="908"/>
            </w:tblGrid>
            <w:tr w14:paraId="361AD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 w:hRule="atLeast"/>
                <w:jc w:val="center"/>
              </w:trPr>
              <w:tc>
                <w:tcPr>
                  <w:tcW w:w="230" w:type="pct"/>
                  <w:vMerge w:val="restart"/>
                  <w:tcBorders>
                    <w:top w:val="single" w:color="000000" w:sz="6" w:space="0"/>
                    <w:left w:val="single" w:color="000000" w:sz="6" w:space="0"/>
                    <w:bottom w:val="single" w:color="000000" w:sz="6" w:space="0"/>
                    <w:right w:val="single" w:color="000000" w:sz="6" w:space="0"/>
                  </w:tcBorders>
                  <w:vAlign w:val="center"/>
                </w:tcPr>
                <w:p w14:paraId="00170022">
                  <w:pPr>
                    <w:adjustRightInd w:val="0"/>
                    <w:snapToGrid w:val="0"/>
                    <w:spacing w:line="320" w:lineRule="exact"/>
                    <w:jc w:val="center"/>
                    <w:rPr>
                      <w:color w:val="auto"/>
                      <w:sz w:val="21"/>
                      <w:szCs w:val="21"/>
                    </w:rPr>
                  </w:pPr>
                  <w:r>
                    <w:rPr>
                      <w:color w:val="auto"/>
                      <w:sz w:val="21"/>
                      <w:szCs w:val="21"/>
                      <w:lang w:bidi="ar"/>
                    </w:rPr>
                    <w:t>编号</w:t>
                  </w:r>
                </w:p>
              </w:tc>
              <w:tc>
                <w:tcPr>
                  <w:tcW w:w="498" w:type="pct"/>
                  <w:vMerge w:val="restart"/>
                  <w:tcBorders>
                    <w:top w:val="single" w:color="000000" w:sz="6" w:space="0"/>
                    <w:left w:val="single" w:color="000000" w:sz="6" w:space="0"/>
                    <w:bottom w:val="single" w:color="000000" w:sz="6" w:space="0"/>
                    <w:right w:val="single" w:color="000000" w:sz="6" w:space="0"/>
                  </w:tcBorders>
                  <w:vAlign w:val="center"/>
                </w:tcPr>
                <w:p w14:paraId="29382300">
                  <w:pPr>
                    <w:adjustRightInd w:val="0"/>
                    <w:snapToGrid w:val="0"/>
                    <w:spacing w:line="320" w:lineRule="exact"/>
                    <w:jc w:val="center"/>
                    <w:rPr>
                      <w:color w:val="auto"/>
                      <w:sz w:val="21"/>
                      <w:szCs w:val="21"/>
                    </w:rPr>
                  </w:pPr>
                  <w:r>
                    <w:rPr>
                      <w:color w:val="auto"/>
                      <w:sz w:val="21"/>
                      <w:szCs w:val="21"/>
                      <w:lang w:bidi="ar"/>
                    </w:rPr>
                    <w:t>预测点位</w:t>
                  </w:r>
                </w:p>
              </w:tc>
              <w:tc>
                <w:tcPr>
                  <w:tcW w:w="1372" w:type="pct"/>
                  <w:gridSpan w:val="3"/>
                  <w:tcBorders>
                    <w:top w:val="single" w:color="000000" w:sz="6" w:space="0"/>
                    <w:left w:val="single" w:color="000000" w:sz="6" w:space="0"/>
                    <w:bottom w:val="single" w:color="000000" w:sz="6" w:space="0"/>
                    <w:right w:val="single" w:color="000000" w:sz="6" w:space="0"/>
                  </w:tcBorders>
                  <w:vAlign w:val="center"/>
                </w:tcPr>
                <w:p w14:paraId="5F6E6777">
                  <w:pPr>
                    <w:adjustRightInd w:val="0"/>
                    <w:snapToGrid w:val="0"/>
                    <w:spacing w:line="320" w:lineRule="exact"/>
                    <w:jc w:val="center"/>
                    <w:rPr>
                      <w:color w:val="auto"/>
                      <w:sz w:val="21"/>
                      <w:szCs w:val="21"/>
                      <w:lang w:bidi="ar"/>
                    </w:rPr>
                  </w:pPr>
                  <w:r>
                    <w:rPr>
                      <w:color w:val="auto"/>
                      <w:sz w:val="21"/>
                      <w:szCs w:val="21"/>
                      <w:lang w:bidi="ar"/>
                    </w:rPr>
                    <w:t>空间相对位置</w:t>
                  </w:r>
                  <w:r>
                    <w:rPr>
                      <w:color w:val="auto"/>
                      <w:sz w:val="21"/>
                      <w:szCs w:val="21"/>
                    </w:rPr>
                    <w:t>/m</w:t>
                  </w:r>
                </w:p>
              </w:tc>
              <w:tc>
                <w:tcPr>
                  <w:tcW w:w="942" w:type="pct"/>
                  <w:gridSpan w:val="2"/>
                  <w:tcBorders>
                    <w:top w:val="single" w:color="000000" w:sz="6" w:space="0"/>
                    <w:left w:val="single" w:color="000000" w:sz="6" w:space="0"/>
                    <w:bottom w:val="single" w:color="000000" w:sz="6" w:space="0"/>
                    <w:right w:val="single" w:color="000000" w:sz="6" w:space="0"/>
                  </w:tcBorders>
                  <w:vAlign w:val="center"/>
                </w:tcPr>
                <w:p w14:paraId="10CCC991">
                  <w:pPr>
                    <w:adjustRightInd w:val="0"/>
                    <w:snapToGrid w:val="0"/>
                    <w:spacing w:line="320" w:lineRule="exact"/>
                    <w:jc w:val="center"/>
                    <w:rPr>
                      <w:color w:val="auto"/>
                      <w:sz w:val="21"/>
                      <w:szCs w:val="21"/>
                      <w:lang w:bidi="ar"/>
                    </w:rPr>
                  </w:pPr>
                  <w:r>
                    <w:rPr>
                      <w:color w:val="auto"/>
                      <w:sz w:val="21"/>
                      <w:szCs w:val="21"/>
                      <w:lang w:bidi="ar"/>
                    </w:rPr>
                    <w:t>贡献值</w:t>
                  </w:r>
                </w:p>
              </w:tc>
              <w:tc>
                <w:tcPr>
                  <w:tcW w:w="869" w:type="pct"/>
                  <w:gridSpan w:val="2"/>
                  <w:tcBorders>
                    <w:top w:val="single" w:color="000000" w:sz="6" w:space="0"/>
                    <w:left w:val="single" w:color="000000" w:sz="6" w:space="0"/>
                    <w:bottom w:val="single" w:color="000000" w:sz="6" w:space="0"/>
                    <w:right w:val="single" w:color="000000" w:sz="6" w:space="0"/>
                  </w:tcBorders>
                  <w:vAlign w:val="center"/>
                </w:tcPr>
                <w:p w14:paraId="325CB090">
                  <w:pPr>
                    <w:adjustRightInd w:val="0"/>
                    <w:snapToGrid w:val="0"/>
                    <w:spacing w:line="320" w:lineRule="exact"/>
                    <w:jc w:val="center"/>
                    <w:rPr>
                      <w:color w:val="auto"/>
                      <w:sz w:val="21"/>
                      <w:szCs w:val="21"/>
                      <w:lang w:bidi="ar"/>
                    </w:rPr>
                  </w:pPr>
                  <w:r>
                    <w:rPr>
                      <w:color w:val="auto"/>
                      <w:sz w:val="21"/>
                      <w:szCs w:val="21"/>
                      <w:lang w:bidi="ar"/>
                    </w:rPr>
                    <w:t>标准值</w:t>
                  </w:r>
                </w:p>
              </w:tc>
              <w:tc>
                <w:tcPr>
                  <w:tcW w:w="1086" w:type="pct"/>
                  <w:gridSpan w:val="2"/>
                  <w:tcBorders>
                    <w:top w:val="single" w:color="000000" w:sz="6" w:space="0"/>
                    <w:left w:val="single" w:color="000000" w:sz="6" w:space="0"/>
                    <w:bottom w:val="single" w:color="000000" w:sz="6" w:space="0"/>
                    <w:right w:val="single" w:color="000000" w:sz="6" w:space="0"/>
                  </w:tcBorders>
                  <w:vAlign w:val="center"/>
                </w:tcPr>
                <w:p w14:paraId="13412FAA">
                  <w:pPr>
                    <w:adjustRightInd w:val="0"/>
                    <w:snapToGrid w:val="0"/>
                    <w:spacing w:line="320" w:lineRule="exact"/>
                    <w:jc w:val="center"/>
                    <w:rPr>
                      <w:color w:val="auto"/>
                      <w:sz w:val="21"/>
                      <w:szCs w:val="21"/>
                      <w:lang w:bidi="ar"/>
                    </w:rPr>
                  </w:pPr>
                  <w:r>
                    <w:rPr>
                      <w:color w:val="auto"/>
                      <w:sz w:val="21"/>
                      <w:szCs w:val="21"/>
                      <w:lang w:bidi="ar"/>
                    </w:rPr>
                    <w:t>达标情况</w:t>
                  </w:r>
                </w:p>
              </w:tc>
            </w:tr>
            <w:tr w14:paraId="0D568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230" w:type="pct"/>
                  <w:vMerge w:val="continue"/>
                  <w:tcBorders>
                    <w:top w:val="single" w:color="000000" w:sz="6" w:space="0"/>
                    <w:left w:val="single" w:color="000000" w:sz="6" w:space="0"/>
                    <w:bottom w:val="single" w:color="000000" w:sz="6" w:space="0"/>
                    <w:right w:val="single" w:color="000000" w:sz="6" w:space="0"/>
                  </w:tcBorders>
                  <w:vAlign w:val="center"/>
                </w:tcPr>
                <w:p w14:paraId="17FFD38C">
                  <w:pPr>
                    <w:adjustRightInd w:val="0"/>
                    <w:snapToGrid w:val="0"/>
                    <w:spacing w:line="320" w:lineRule="exact"/>
                    <w:jc w:val="center"/>
                    <w:rPr>
                      <w:color w:val="auto"/>
                      <w:sz w:val="21"/>
                      <w:szCs w:val="21"/>
                    </w:rPr>
                  </w:pPr>
                </w:p>
              </w:tc>
              <w:tc>
                <w:tcPr>
                  <w:tcW w:w="498" w:type="pct"/>
                  <w:vMerge w:val="continue"/>
                  <w:tcBorders>
                    <w:top w:val="single" w:color="000000" w:sz="6" w:space="0"/>
                    <w:left w:val="single" w:color="000000" w:sz="6" w:space="0"/>
                    <w:bottom w:val="single" w:color="000000" w:sz="6" w:space="0"/>
                    <w:right w:val="single" w:color="000000" w:sz="6" w:space="0"/>
                  </w:tcBorders>
                  <w:vAlign w:val="center"/>
                </w:tcPr>
                <w:p w14:paraId="6C0ED906">
                  <w:pPr>
                    <w:adjustRightInd w:val="0"/>
                    <w:snapToGrid w:val="0"/>
                    <w:spacing w:line="320" w:lineRule="exact"/>
                    <w:jc w:val="center"/>
                    <w:rPr>
                      <w:color w:val="auto"/>
                      <w:sz w:val="21"/>
                      <w:szCs w:val="21"/>
                    </w:rPr>
                  </w:pPr>
                </w:p>
              </w:tc>
              <w:tc>
                <w:tcPr>
                  <w:tcW w:w="465" w:type="pct"/>
                  <w:tcBorders>
                    <w:top w:val="single" w:color="000000" w:sz="6" w:space="0"/>
                    <w:left w:val="single" w:color="000000" w:sz="6" w:space="0"/>
                    <w:bottom w:val="single" w:color="000000" w:sz="6" w:space="0"/>
                    <w:right w:val="single" w:color="000000" w:sz="6" w:space="0"/>
                  </w:tcBorders>
                  <w:vAlign w:val="center"/>
                </w:tcPr>
                <w:p w14:paraId="37D2E57D">
                  <w:pPr>
                    <w:adjustRightInd w:val="0"/>
                    <w:snapToGrid w:val="0"/>
                    <w:spacing w:line="320" w:lineRule="exact"/>
                    <w:jc w:val="center"/>
                    <w:rPr>
                      <w:color w:val="auto"/>
                      <w:sz w:val="21"/>
                      <w:szCs w:val="21"/>
                    </w:rPr>
                  </w:pPr>
                  <w:r>
                    <w:rPr>
                      <w:color w:val="auto"/>
                      <w:sz w:val="21"/>
                      <w:szCs w:val="21"/>
                    </w:rPr>
                    <w:t>X</w:t>
                  </w:r>
                </w:p>
              </w:tc>
              <w:tc>
                <w:tcPr>
                  <w:tcW w:w="493" w:type="pct"/>
                  <w:tcBorders>
                    <w:top w:val="single" w:color="000000" w:sz="6" w:space="0"/>
                    <w:left w:val="single" w:color="000000" w:sz="6" w:space="0"/>
                    <w:bottom w:val="single" w:color="000000" w:sz="6" w:space="0"/>
                    <w:right w:val="single" w:color="000000" w:sz="6" w:space="0"/>
                  </w:tcBorders>
                  <w:vAlign w:val="center"/>
                </w:tcPr>
                <w:p w14:paraId="310363BC">
                  <w:pPr>
                    <w:adjustRightInd w:val="0"/>
                    <w:snapToGrid w:val="0"/>
                    <w:spacing w:line="320" w:lineRule="exact"/>
                    <w:jc w:val="center"/>
                    <w:rPr>
                      <w:color w:val="auto"/>
                      <w:sz w:val="21"/>
                      <w:szCs w:val="21"/>
                    </w:rPr>
                  </w:pPr>
                  <w:r>
                    <w:rPr>
                      <w:color w:val="auto"/>
                      <w:sz w:val="21"/>
                      <w:szCs w:val="21"/>
                    </w:rPr>
                    <w:t>Y</w:t>
                  </w:r>
                </w:p>
              </w:tc>
              <w:tc>
                <w:tcPr>
                  <w:tcW w:w="412" w:type="pct"/>
                  <w:tcBorders>
                    <w:top w:val="single" w:color="000000" w:sz="6" w:space="0"/>
                    <w:left w:val="single" w:color="000000" w:sz="6" w:space="0"/>
                    <w:bottom w:val="single" w:color="000000" w:sz="6" w:space="0"/>
                    <w:right w:val="single" w:color="000000" w:sz="6" w:space="0"/>
                  </w:tcBorders>
                  <w:vAlign w:val="center"/>
                </w:tcPr>
                <w:p w14:paraId="1813150E">
                  <w:pPr>
                    <w:adjustRightInd w:val="0"/>
                    <w:snapToGrid w:val="0"/>
                    <w:spacing w:line="320" w:lineRule="exact"/>
                    <w:jc w:val="center"/>
                    <w:rPr>
                      <w:color w:val="auto"/>
                      <w:sz w:val="21"/>
                      <w:szCs w:val="21"/>
                    </w:rPr>
                  </w:pPr>
                  <w:r>
                    <w:rPr>
                      <w:color w:val="auto"/>
                      <w:sz w:val="21"/>
                      <w:szCs w:val="21"/>
                    </w:rPr>
                    <w:t>Z</w:t>
                  </w:r>
                </w:p>
              </w:tc>
              <w:tc>
                <w:tcPr>
                  <w:tcW w:w="484" w:type="pct"/>
                  <w:tcBorders>
                    <w:top w:val="single" w:color="000000" w:sz="6" w:space="0"/>
                    <w:left w:val="single" w:color="000000" w:sz="6" w:space="0"/>
                    <w:bottom w:val="single" w:color="000000" w:sz="6" w:space="0"/>
                    <w:right w:val="single" w:color="000000" w:sz="6" w:space="0"/>
                  </w:tcBorders>
                  <w:vAlign w:val="center"/>
                </w:tcPr>
                <w:p w14:paraId="656F9203">
                  <w:pPr>
                    <w:adjustRightInd w:val="0"/>
                    <w:snapToGrid w:val="0"/>
                    <w:spacing w:line="320" w:lineRule="exact"/>
                    <w:jc w:val="center"/>
                    <w:rPr>
                      <w:color w:val="auto"/>
                      <w:sz w:val="21"/>
                      <w:szCs w:val="21"/>
                    </w:rPr>
                  </w:pPr>
                  <w:r>
                    <w:rPr>
                      <w:color w:val="auto"/>
                      <w:sz w:val="21"/>
                      <w:szCs w:val="21"/>
                      <w:lang w:bidi="ar"/>
                    </w:rPr>
                    <w:t>昼间</w:t>
                  </w:r>
                </w:p>
              </w:tc>
              <w:tc>
                <w:tcPr>
                  <w:tcW w:w="457" w:type="pct"/>
                  <w:tcBorders>
                    <w:top w:val="single" w:color="000000" w:sz="6" w:space="0"/>
                    <w:left w:val="single" w:color="000000" w:sz="6" w:space="0"/>
                    <w:bottom w:val="single" w:color="000000" w:sz="6" w:space="0"/>
                    <w:right w:val="single" w:color="000000" w:sz="6" w:space="0"/>
                  </w:tcBorders>
                  <w:vAlign w:val="center"/>
                </w:tcPr>
                <w:p w14:paraId="3568AF8D">
                  <w:pPr>
                    <w:adjustRightInd w:val="0"/>
                    <w:snapToGrid w:val="0"/>
                    <w:spacing w:line="320" w:lineRule="exact"/>
                    <w:jc w:val="center"/>
                    <w:rPr>
                      <w:color w:val="auto"/>
                      <w:sz w:val="21"/>
                      <w:szCs w:val="21"/>
                      <w:lang w:bidi="ar"/>
                    </w:rPr>
                  </w:pPr>
                  <w:r>
                    <w:rPr>
                      <w:color w:val="auto"/>
                      <w:sz w:val="21"/>
                      <w:szCs w:val="21"/>
                      <w:lang w:bidi="ar"/>
                    </w:rPr>
                    <w:t>夜间</w:t>
                  </w:r>
                </w:p>
              </w:tc>
              <w:tc>
                <w:tcPr>
                  <w:tcW w:w="412" w:type="pct"/>
                  <w:tcBorders>
                    <w:top w:val="single" w:color="000000" w:sz="6" w:space="0"/>
                    <w:left w:val="single" w:color="000000" w:sz="6" w:space="0"/>
                    <w:bottom w:val="single" w:color="000000" w:sz="6" w:space="0"/>
                    <w:right w:val="single" w:color="000000" w:sz="6" w:space="0"/>
                  </w:tcBorders>
                  <w:vAlign w:val="center"/>
                </w:tcPr>
                <w:p w14:paraId="5EE80D60">
                  <w:pPr>
                    <w:adjustRightInd w:val="0"/>
                    <w:snapToGrid w:val="0"/>
                    <w:spacing w:line="320" w:lineRule="exact"/>
                    <w:jc w:val="center"/>
                    <w:rPr>
                      <w:color w:val="auto"/>
                      <w:sz w:val="21"/>
                      <w:szCs w:val="21"/>
                    </w:rPr>
                  </w:pPr>
                  <w:r>
                    <w:rPr>
                      <w:color w:val="auto"/>
                      <w:sz w:val="21"/>
                      <w:szCs w:val="21"/>
                      <w:lang w:bidi="ar"/>
                    </w:rPr>
                    <w:t>昼间</w:t>
                  </w:r>
                </w:p>
              </w:tc>
              <w:tc>
                <w:tcPr>
                  <w:tcW w:w="456" w:type="pct"/>
                  <w:tcBorders>
                    <w:top w:val="single" w:color="000000" w:sz="6" w:space="0"/>
                    <w:left w:val="single" w:color="000000" w:sz="6" w:space="0"/>
                    <w:bottom w:val="single" w:color="000000" w:sz="6" w:space="0"/>
                    <w:right w:val="single" w:color="000000" w:sz="6" w:space="0"/>
                  </w:tcBorders>
                  <w:vAlign w:val="center"/>
                </w:tcPr>
                <w:p w14:paraId="5E4E228D">
                  <w:pPr>
                    <w:adjustRightInd w:val="0"/>
                    <w:snapToGrid w:val="0"/>
                    <w:spacing w:line="320" w:lineRule="exact"/>
                    <w:jc w:val="center"/>
                    <w:rPr>
                      <w:color w:val="auto"/>
                      <w:sz w:val="21"/>
                      <w:szCs w:val="21"/>
                      <w:lang w:bidi="ar"/>
                    </w:rPr>
                  </w:pPr>
                  <w:r>
                    <w:rPr>
                      <w:color w:val="auto"/>
                      <w:sz w:val="21"/>
                      <w:szCs w:val="21"/>
                      <w:lang w:bidi="ar"/>
                    </w:rPr>
                    <w:t>夜间</w:t>
                  </w:r>
                </w:p>
              </w:tc>
              <w:tc>
                <w:tcPr>
                  <w:tcW w:w="543" w:type="pct"/>
                  <w:tcBorders>
                    <w:top w:val="single" w:color="000000" w:sz="6" w:space="0"/>
                    <w:left w:val="single" w:color="000000" w:sz="6" w:space="0"/>
                    <w:bottom w:val="single" w:color="000000" w:sz="6" w:space="0"/>
                    <w:right w:val="single" w:color="000000" w:sz="6" w:space="0"/>
                  </w:tcBorders>
                  <w:vAlign w:val="center"/>
                </w:tcPr>
                <w:p w14:paraId="3B1D608F">
                  <w:pPr>
                    <w:adjustRightInd w:val="0"/>
                    <w:snapToGrid w:val="0"/>
                    <w:spacing w:line="320" w:lineRule="exact"/>
                    <w:jc w:val="center"/>
                    <w:rPr>
                      <w:color w:val="auto"/>
                      <w:sz w:val="21"/>
                      <w:szCs w:val="21"/>
                    </w:rPr>
                  </w:pPr>
                  <w:r>
                    <w:rPr>
                      <w:color w:val="auto"/>
                      <w:sz w:val="21"/>
                      <w:szCs w:val="21"/>
                      <w:lang w:bidi="ar"/>
                    </w:rPr>
                    <w:t>昼间</w:t>
                  </w:r>
                </w:p>
              </w:tc>
              <w:tc>
                <w:tcPr>
                  <w:tcW w:w="543" w:type="pct"/>
                  <w:tcBorders>
                    <w:top w:val="single" w:color="000000" w:sz="6" w:space="0"/>
                    <w:left w:val="single" w:color="000000" w:sz="6" w:space="0"/>
                    <w:bottom w:val="single" w:color="000000" w:sz="6" w:space="0"/>
                    <w:right w:val="single" w:color="000000" w:sz="6" w:space="0"/>
                  </w:tcBorders>
                  <w:vAlign w:val="center"/>
                </w:tcPr>
                <w:p w14:paraId="135B8D2A">
                  <w:pPr>
                    <w:adjustRightInd w:val="0"/>
                    <w:snapToGrid w:val="0"/>
                    <w:spacing w:line="320" w:lineRule="exact"/>
                    <w:jc w:val="center"/>
                    <w:rPr>
                      <w:color w:val="auto"/>
                      <w:sz w:val="21"/>
                      <w:szCs w:val="21"/>
                      <w:lang w:bidi="ar"/>
                    </w:rPr>
                  </w:pPr>
                  <w:r>
                    <w:rPr>
                      <w:color w:val="auto"/>
                      <w:sz w:val="21"/>
                      <w:szCs w:val="21"/>
                      <w:lang w:bidi="ar"/>
                    </w:rPr>
                    <w:t>夜间</w:t>
                  </w:r>
                </w:p>
              </w:tc>
            </w:tr>
            <w:tr w14:paraId="405A7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230" w:type="pct"/>
                  <w:tcBorders>
                    <w:top w:val="single" w:color="000000" w:sz="6" w:space="0"/>
                    <w:left w:val="single" w:color="000000" w:sz="6" w:space="0"/>
                    <w:bottom w:val="single" w:color="000000" w:sz="6" w:space="0"/>
                    <w:right w:val="single" w:color="000000" w:sz="6" w:space="0"/>
                  </w:tcBorders>
                  <w:vAlign w:val="center"/>
                </w:tcPr>
                <w:p w14:paraId="722F26C4">
                  <w:pPr>
                    <w:adjustRightInd w:val="0"/>
                    <w:snapToGrid w:val="0"/>
                    <w:spacing w:line="320" w:lineRule="exact"/>
                    <w:jc w:val="center"/>
                    <w:rPr>
                      <w:color w:val="auto"/>
                      <w:sz w:val="21"/>
                      <w:szCs w:val="21"/>
                    </w:rPr>
                  </w:pPr>
                  <w:r>
                    <w:rPr>
                      <w:color w:val="auto"/>
                      <w:sz w:val="21"/>
                      <w:szCs w:val="21"/>
                      <w:lang w:bidi="ar"/>
                    </w:rPr>
                    <w:t>1</w:t>
                  </w:r>
                </w:p>
              </w:tc>
              <w:tc>
                <w:tcPr>
                  <w:tcW w:w="498" w:type="pct"/>
                  <w:tcBorders>
                    <w:top w:val="single" w:color="000000" w:sz="6" w:space="0"/>
                    <w:left w:val="single" w:color="000000" w:sz="6" w:space="0"/>
                    <w:bottom w:val="single" w:color="000000" w:sz="6" w:space="0"/>
                    <w:right w:val="single" w:color="000000" w:sz="6" w:space="0"/>
                  </w:tcBorders>
                  <w:vAlign w:val="center"/>
                </w:tcPr>
                <w:p w14:paraId="6E2AEAA1">
                  <w:pPr>
                    <w:adjustRightInd w:val="0"/>
                    <w:snapToGrid w:val="0"/>
                    <w:spacing w:line="320" w:lineRule="exact"/>
                    <w:jc w:val="center"/>
                    <w:rPr>
                      <w:color w:val="auto"/>
                      <w:sz w:val="21"/>
                      <w:szCs w:val="21"/>
                      <w:lang w:bidi="ar"/>
                    </w:rPr>
                  </w:pPr>
                  <w:r>
                    <w:rPr>
                      <w:color w:val="auto"/>
                      <w:sz w:val="21"/>
                      <w:szCs w:val="21"/>
                      <w:lang w:bidi="ar"/>
                    </w:rPr>
                    <w:t>厂界北</w:t>
                  </w:r>
                </w:p>
              </w:tc>
              <w:tc>
                <w:tcPr>
                  <w:tcW w:w="465" w:type="pct"/>
                  <w:tcBorders>
                    <w:top w:val="single" w:color="000000" w:sz="6" w:space="0"/>
                    <w:left w:val="single" w:color="000000" w:sz="6" w:space="0"/>
                    <w:bottom w:val="single" w:color="000000" w:sz="6" w:space="0"/>
                    <w:right w:val="single" w:color="000000" w:sz="6" w:space="0"/>
                  </w:tcBorders>
                  <w:vAlign w:val="center"/>
                </w:tcPr>
                <w:p w14:paraId="0E1778FF">
                  <w:pPr>
                    <w:widowControl/>
                    <w:jc w:val="center"/>
                    <w:textAlignment w:val="center"/>
                    <w:rPr>
                      <w:color w:val="auto"/>
                      <w:sz w:val="21"/>
                      <w:szCs w:val="21"/>
                      <w:lang w:bidi="ar"/>
                    </w:rPr>
                  </w:pPr>
                  <w:r>
                    <w:rPr>
                      <w:rFonts w:hint="eastAsia"/>
                      <w:color w:val="auto"/>
                      <w:kern w:val="0"/>
                      <w:sz w:val="21"/>
                      <w:szCs w:val="21"/>
                      <w:lang w:bidi="ar"/>
                    </w:rPr>
                    <w:t>64.66</w:t>
                  </w:r>
                </w:p>
              </w:tc>
              <w:tc>
                <w:tcPr>
                  <w:tcW w:w="493" w:type="pct"/>
                  <w:tcBorders>
                    <w:top w:val="single" w:color="000000" w:sz="6" w:space="0"/>
                    <w:left w:val="single" w:color="000000" w:sz="6" w:space="0"/>
                    <w:bottom w:val="single" w:color="000000" w:sz="6" w:space="0"/>
                    <w:right w:val="single" w:color="000000" w:sz="6" w:space="0"/>
                  </w:tcBorders>
                  <w:vAlign w:val="center"/>
                </w:tcPr>
                <w:p w14:paraId="492F3A1E">
                  <w:pPr>
                    <w:widowControl/>
                    <w:jc w:val="center"/>
                    <w:textAlignment w:val="center"/>
                    <w:rPr>
                      <w:color w:val="auto"/>
                      <w:sz w:val="21"/>
                      <w:szCs w:val="21"/>
                      <w:lang w:bidi="ar"/>
                    </w:rPr>
                  </w:pPr>
                  <w:r>
                    <w:rPr>
                      <w:rFonts w:hint="eastAsia"/>
                      <w:color w:val="auto"/>
                      <w:kern w:val="0"/>
                      <w:sz w:val="21"/>
                      <w:szCs w:val="21"/>
                      <w:lang w:bidi="ar"/>
                    </w:rPr>
                    <w:t>227.90</w:t>
                  </w:r>
                </w:p>
              </w:tc>
              <w:tc>
                <w:tcPr>
                  <w:tcW w:w="412" w:type="pct"/>
                  <w:tcBorders>
                    <w:top w:val="single" w:color="000000" w:sz="6" w:space="0"/>
                    <w:left w:val="single" w:color="000000" w:sz="6" w:space="0"/>
                    <w:bottom w:val="single" w:color="000000" w:sz="6" w:space="0"/>
                    <w:right w:val="single" w:color="000000" w:sz="6" w:space="0"/>
                  </w:tcBorders>
                  <w:vAlign w:val="center"/>
                </w:tcPr>
                <w:p w14:paraId="78674864">
                  <w:pPr>
                    <w:widowControl/>
                    <w:jc w:val="center"/>
                    <w:textAlignment w:val="center"/>
                    <w:rPr>
                      <w:color w:val="auto"/>
                      <w:sz w:val="21"/>
                      <w:szCs w:val="21"/>
                      <w:lang w:bidi="ar"/>
                    </w:rPr>
                  </w:pPr>
                  <w:r>
                    <w:rPr>
                      <w:rFonts w:hint="eastAsia"/>
                      <w:color w:val="auto"/>
                      <w:sz w:val="21"/>
                      <w:szCs w:val="21"/>
                      <w:lang w:bidi="ar"/>
                    </w:rPr>
                    <w:t>1.20</w:t>
                  </w:r>
                </w:p>
              </w:tc>
              <w:tc>
                <w:tcPr>
                  <w:tcW w:w="484" w:type="pct"/>
                  <w:tcBorders>
                    <w:top w:val="single" w:color="000000" w:sz="6" w:space="0"/>
                    <w:left w:val="single" w:color="000000" w:sz="6" w:space="0"/>
                    <w:bottom w:val="single" w:color="000000" w:sz="6" w:space="0"/>
                    <w:right w:val="single" w:color="000000" w:sz="6" w:space="0"/>
                  </w:tcBorders>
                  <w:vAlign w:val="center"/>
                </w:tcPr>
                <w:p w14:paraId="522145A4">
                  <w:pPr>
                    <w:widowControl/>
                    <w:jc w:val="center"/>
                    <w:textAlignment w:val="center"/>
                    <w:rPr>
                      <w:color w:val="auto"/>
                      <w:sz w:val="21"/>
                      <w:szCs w:val="21"/>
                    </w:rPr>
                  </w:pPr>
                  <w:r>
                    <w:rPr>
                      <w:rFonts w:hint="eastAsia"/>
                      <w:color w:val="auto"/>
                      <w:kern w:val="0"/>
                      <w:sz w:val="21"/>
                      <w:szCs w:val="21"/>
                      <w:lang w:bidi="ar"/>
                    </w:rPr>
                    <w:t>50.26</w:t>
                  </w:r>
                </w:p>
              </w:tc>
              <w:tc>
                <w:tcPr>
                  <w:tcW w:w="457" w:type="pct"/>
                  <w:tcBorders>
                    <w:top w:val="single" w:color="000000" w:sz="6" w:space="0"/>
                    <w:left w:val="single" w:color="000000" w:sz="6" w:space="0"/>
                    <w:bottom w:val="single" w:color="000000" w:sz="6" w:space="0"/>
                    <w:right w:val="single" w:color="000000" w:sz="6" w:space="0"/>
                  </w:tcBorders>
                  <w:vAlign w:val="center"/>
                </w:tcPr>
                <w:p w14:paraId="7E5E5578">
                  <w:pPr>
                    <w:widowControl/>
                    <w:jc w:val="center"/>
                    <w:textAlignment w:val="center"/>
                    <w:rPr>
                      <w:color w:val="auto"/>
                      <w:kern w:val="0"/>
                      <w:sz w:val="21"/>
                      <w:szCs w:val="21"/>
                      <w:lang w:bidi="ar"/>
                    </w:rPr>
                  </w:pPr>
                  <w:r>
                    <w:rPr>
                      <w:rFonts w:hint="eastAsia"/>
                      <w:color w:val="auto"/>
                      <w:kern w:val="0"/>
                      <w:sz w:val="21"/>
                      <w:szCs w:val="21"/>
                      <w:lang w:bidi="ar"/>
                    </w:rPr>
                    <w:t>48.41</w:t>
                  </w:r>
                </w:p>
              </w:tc>
              <w:tc>
                <w:tcPr>
                  <w:tcW w:w="412" w:type="pct"/>
                  <w:tcBorders>
                    <w:top w:val="single" w:color="000000" w:sz="6" w:space="0"/>
                    <w:left w:val="single" w:color="000000" w:sz="6" w:space="0"/>
                    <w:bottom w:val="single" w:color="000000" w:sz="6" w:space="0"/>
                    <w:right w:val="single" w:color="000000" w:sz="6" w:space="0"/>
                  </w:tcBorders>
                  <w:vAlign w:val="center"/>
                </w:tcPr>
                <w:p w14:paraId="1DB6F2D4">
                  <w:pPr>
                    <w:adjustRightInd w:val="0"/>
                    <w:snapToGrid w:val="0"/>
                    <w:spacing w:line="320" w:lineRule="exact"/>
                    <w:jc w:val="center"/>
                    <w:rPr>
                      <w:color w:val="auto"/>
                      <w:sz w:val="21"/>
                      <w:szCs w:val="21"/>
                      <w:lang w:bidi="ar"/>
                    </w:rPr>
                  </w:pPr>
                  <w:r>
                    <w:rPr>
                      <w:color w:val="auto"/>
                      <w:sz w:val="21"/>
                      <w:szCs w:val="21"/>
                      <w:lang w:bidi="ar"/>
                    </w:rPr>
                    <w:t>65</w:t>
                  </w:r>
                </w:p>
              </w:tc>
              <w:tc>
                <w:tcPr>
                  <w:tcW w:w="456" w:type="pct"/>
                  <w:tcBorders>
                    <w:top w:val="single" w:color="000000" w:sz="6" w:space="0"/>
                    <w:left w:val="single" w:color="000000" w:sz="6" w:space="0"/>
                    <w:bottom w:val="single" w:color="000000" w:sz="6" w:space="0"/>
                    <w:right w:val="single" w:color="000000" w:sz="6" w:space="0"/>
                  </w:tcBorders>
                  <w:vAlign w:val="center"/>
                </w:tcPr>
                <w:p w14:paraId="7FB30163">
                  <w:pPr>
                    <w:adjustRightInd w:val="0"/>
                    <w:snapToGrid w:val="0"/>
                    <w:spacing w:line="320" w:lineRule="exact"/>
                    <w:jc w:val="center"/>
                    <w:rPr>
                      <w:color w:val="auto"/>
                      <w:sz w:val="21"/>
                      <w:szCs w:val="21"/>
                      <w:lang w:bidi="ar"/>
                    </w:rPr>
                  </w:pPr>
                  <w:r>
                    <w:rPr>
                      <w:color w:val="auto"/>
                      <w:sz w:val="21"/>
                      <w:szCs w:val="21"/>
                      <w:lang w:bidi="ar"/>
                    </w:rPr>
                    <w:t>55</w:t>
                  </w:r>
                </w:p>
              </w:tc>
              <w:tc>
                <w:tcPr>
                  <w:tcW w:w="543" w:type="pct"/>
                  <w:tcBorders>
                    <w:top w:val="single" w:color="000000" w:sz="6" w:space="0"/>
                    <w:left w:val="single" w:color="000000" w:sz="6" w:space="0"/>
                    <w:bottom w:val="single" w:color="000000" w:sz="6" w:space="0"/>
                    <w:right w:val="single" w:color="000000" w:sz="6" w:space="0"/>
                  </w:tcBorders>
                  <w:vAlign w:val="center"/>
                </w:tcPr>
                <w:p w14:paraId="0123AE42">
                  <w:pPr>
                    <w:adjustRightInd w:val="0"/>
                    <w:snapToGrid w:val="0"/>
                    <w:spacing w:line="320" w:lineRule="exact"/>
                    <w:jc w:val="center"/>
                    <w:rPr>
                      <w:color w:val="auto"/>
                      <w:sz w:val="21"/>
                      <w:szCs w:val="21"/>
                      <w:lang w:bidi="ar"/>
                    </w:rPr>
                  </w:pPr>
                  <w:r>
                    <w:rPr>
                      <w:color w:val="auto"/>
                      <w:sz w:val="21"/>
                      <w:szCs w:val="21"/>
                      <w:lang w:bidi="ar"/>
                    </w:rPr>
                    <w:t>达标</w:t>
                  </w:r>
                </w:p>
              </w:tc>
              <w:tc>
                <w:tcPr>
                  <w:tcW w:w="543" w:type="pct"/>
                  <w:tcBorders>
                    <w:top w:val="single" w:color="000000" w:sz="6" w:space="0"/>
                    <w:left w:val="single" w:color="000000" w:sz="6" w:space="0"/>
                    <w:bottom w:val="single" w:color="000000" w:sz="6" w:space="0"/>
                    <w:right w:val="single" w:color="000000" w:sz="6" w:space="0"/>
                  </w:tcBorders>
                  <w:vAlign w:val="center"/>
                </w:tcPr>
                <w:p w14:paraId="51E591F2">
                  <w:pPr>
                    <w:adjustRightInd w:val="0"/>
                    <w:snapToGrid w:val="0"/>
                    <w:spacing w:line="320" w:lineRule="exact"/>
                    <w:jc w:val="center"/>
                    <w:rPr>
                      <w:color w:val="auto"/>
                      <w:sz w:val="21"/>
                      <w:szCs w:val="21"/>
                      <w:lang w:bidi="ar"/>
                    </w:rPr>
                  </w:pPr>
                  <w:r>
                    <w:rPr>
                      <w:color w:val="auto"/>
                      <w:sz w:val="21"/>
                      <w:szCs w:val="21"/>
                      <w:lang w:bidi="ar"/>
                    </w:rPr>
                    <w:t>达标</w:t>
                  </w:r>
                </w:p>
              </w:tc>
            </w:tr>
            <w:tr w14:paraId="09E66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230" w:type="pct"/>
                  <w:tcBorders>
                    <w:top w:val="single" w:color="000000" w:sz="6" w:space="0"/>
                    <w:left w:val="single" w:color="000000" w:sz="6" w:space="0"/>
                    <w:bottom w:val="single" w:color="000000" w:sz="6" w:space="0"/>
                    <w:right w:val="single" w:color="000000" w:sz="6" w:space="0"/>
                  </w:tcBorders>
                  <w:vAlign w:val="center"/>
                </w:tcPr>
                <w:p w14:paraId="20F8B5E9">
                  <w:pPr>
                    <w:adjustRightInd w:val="0"/>
                    <w:snapToGrid w:val="0"/>
                    <w:spacing w:line="320" w:lineRule="exact"/>
                    <w:jc w:val="center"/>
                    <w:rPr>
                      <w:color w:val="auto"/>
                      <w:sz w:val="21"/>
                      <w:szCs w:val="21"/>
                    </w:rPr>
                  </w:pPr>
                  <w:r>
                    <w:rPr>
                      <w:color w:val="auto"/>
                      <w:sz w:val="21"/>
                      <w:szCs w:val="21"/>
                    </w:rPr>
                    <w:t>2</w:t>
                  </w:r>
                </w:p>
              </w:tc>
              <w:tc>
                <w:tcPr>
                  <w:tcW w:w="498" w:type="pct"/>
                  <w:tcBorders>
                    <w:top w:val="single" w:color="000000" w:sz="6" w:space="0"/>
                    <w:left w:val="single" w:color="000000" w:sz="6" w:space="0"/>
                    <w:bottom w:val="single" w:color="000000" w:sz="6" w:space="0"/>
                    <w:right w:val="single" w:color="000000" w:sz="6" w:space="0"/>
                  </w:tcBorders>
                  <w:vAlign w:val="center"/>
                </w:tcPr>
                <w:p w14:paraId="7011CCA3">
                  <w:pPr>
                    <w:adjustRightInd w:val="0"/>
                    <w:snapToGrid w:val="0"/>
                    <w:spacing w:line="320" w:lineRule="exact"/>
                    <w:jc w:val="center"/>
                    <w:rPr>
                      <w:color w:val="auto"/>
                      <w:sz w:val="21"/>
                      <w:szCs w:val="21"/>
                    </w:rPr>
                  </w:pPr>
                  <w:r>
                    <w:rPr>
                      <w:color w:val="auto"/>
                      <w:sz w:val="21"/>
                      <w:szCs w:val="21"/>
                      <w:lang w:bidi="ar"/>
                    </w:rPr>
                    <w:t>厂界东</w:t>
                  </w:r>
                </w:p>
              </w:tc>
              <w:tc>
                <w:tcPr>
                  <w:tcW w:w="465" w:type="pct"/>
                  <w:tcBorders>
                    <w:top w:val="single" w:color="000000" w:sz="6" w:space="0"/>
                    <w:left w:val="single" w:color="000000" w:sz="6" w:space="0"/>
                    <w:bottom w:val="single" w:color="000000" w:sz="6" w:space="0"/>
                    <w:right w:val="single" w:color="000000" w:sz="6" w:space="0"/>
                  </w:tcBorders>
                  <w:vAlign w:val="center"/>
                </w:tcPr>
                <w:p w14:paraId="2D0F5E01">
                  <w:pPr>
                    <w:widowControl/>
                    <w:jc w:val="center"/>
                    <w:textAlignment w:val="center"/>
                    <w:rPr>
                      <w:color w:val="auto"/>
                      <w:sz w:val="21"/>
                      <w:szCs w:val="21"/>
                      <w:lang w:bidi="ar"/>
                    </w:rPr>
                  </w:pPr>
                  <w:r>
                    <w:rPr>
                      <w:color w:val="auto"/>
                      <w:kern w:val="0"/>
                      <w:sz w:val="21"/>
                      <w:szCs w:val="21"/>
                      <w:lang w:bidi="ar"/>
                    </w:rPr>
                    <w:t>423.69</w:t>
                  </w:r>
                </w:p>
              </w:tc>
              <w:tc>
                <w:tcPr>
                  <w:tcW w:w="493" w:type="pct"/>
                  <w:tcBorders>
                    <w:top w:val="single" w:color="000000" w:sz="6" w:space="0"/>
                    <w:left w:val="single" w:color="000000" w:sz="6" w:space="0"/>
                    <w:bottom w:val="single" w:color="000000" w:sz="6" w:space="0"/>
                    <w:right w:val="single" w:color="000000" w:sz="6" w:space="0"/>
                  </w:tcBorders>
                  <w:vAlign w:val="center"/>
                </w:tcPr>
                <w:p w14:paraId="2266DA43">
                  <w:pPr>
                    <w:widowControl/>
                    <w:jc w:val="center"/>
                    <w:textAlignment w:val="center"/>
                    <w:rPr>
                      <w:color w:val="auto"/>
                      <w:sz w:val="21"/>
                      <w:szCs w:val="21"/>
                      <w:lang w:bidi="ar"/>
                    </w:rPr>
                  </w:pPr>
                  <w:r>
                    <w:rPr>
                      <w:color w:val="auto"/>
                      <w:kern w:val="0"/>
                      <w:sz w:val="21"/>
                      <w:szCs w:val="21"/>
                      <w:lang w:bidi="ar"/>
                    </w:rPr>
                    <w:t>103.20</w:t>
                  </w:r>
                </w:p>
              </w:tc>
              <w:tc>
                <w:tcPr>
                  <w:tcW w:w="412" w:type="pct"/>
                  <w:tcBorders>
                    <w:top w:val="single" w:color="000000" w:sz="6" w:space="0"/>
                    <w:left w:val="single" w:color="000000" w:sz="6" w:space="0"/>
                    <w:bottom w:val="single" w:color="000000" w:sz="6" w:space="0"/>
                    <w:right w:val="single" w:color="000000" w:sz="6" w:space="0"/>
                  </w:tcBorders>
                  <w:vAlign w:val="center"/>
                </w:tcPr>
                <w:p w14:paraId="54540FB8">
                  <w:pPr>
                    <w:widowControl/>
                    <w:jc w:val="center"/>
                    <w:textAlignment w:val="center"/>
                    <w:rPr>
                      <w:color w:val="auto"/>
                      <w:sz w:val="21"/>
                      <w:szCs w:val="21"/>
                      <w:lang w:bidi="ar"/>
                    </w:rPr>
                  </w:pPr>
                  <w:r>
                    <w:rPr>
                      <w:color w:val="auto"/>
                      <w:kern w:val="0"/>
                      <w:sz w:val="21"/>
                      <w:szCs w:val="21"/>
                      <w:lang w:bidi="ar"/>
                    </w:rPr>
                    <w:t>1.20</w:t>
                  </w:r>
                </w:p>
              </w:tc>
              <w:tc>
                <w:tcPr>
                  <w:tcW w:w="484" w:type="pct"/>
                  <w:tcBorders>
                    <w:top w:val="single" w:color="000000" w:sz="6" w:space="0"/>
                    <w:left w:val="single" w:color="000000" w:sz="6" w:space="0"/>
                    <w:bottom w:val="single" w:color="000000" w:sz="6" w:space="0"/>
                    <w:right w:val="single" w:color="000000" w:sz="6" w:space="0"/>
                  </w:tcBorders>
                  <w:vAlign w:val="center"/>
                </w:tcPr>
                <w:p w14:paraId="1DA25941">
                  <w:pPr>
                    <w:widowControl/>
                    <w:jc w:val="center"/>
                    <w:textAlignment w:val="center"/>
                    <w:rPr>
                      <w:color w:val="auto"/>
                      <w:sz w:val="21"/>
                      <w:szCs w:val="21"/>
                    </w:rPr>
                  </w:pPr>
                  <w:r>
                    <w:rPr>
                      <w:color w:val="auto"/>
                      <w:kern w:val="0"/>
                      <w:sz w:val="21"/>
                      <w:szCs w:val="21"/>
                      <w:lang w:bidi="ar"/>
                    </w:rPr>
                    <w:t>18.43</w:t>
                  </w:r>
                </w:p>
              </w:tc>
              <w:tc>
                <w:tcPr>
                  <w:tcW w:w="457" w:type="pct"/>
                  <w:tcBorders>
                    <w:top w:val="single" w:color="000000" w:sz="6" w:space="0"/>
                    <w:left w:val="single" w:color="000000" w:sz="6" w:space="0"/>
                    <w:bottom w:val="single" w:color="000000" w:sz="6" w:space="0"/>
                    <w:right w:val="single" w:color="000000" w:sz="6" w:space="0"/>
                  </w:tcBorders>
                  <w:vAlign w:val="center"/>
                </w:tcPr>
                <w:p w14:paraId="38DA8140">
                  <w:pPr>
                    <w:widowControl/>
                    <w:jc w:val="center"/>
                    <w:textAlignment w:val="center"/>
                    <w:rPr>
                      <w:color w:val="auto"/>
                      <w:kern w:val="0"/>
                      <w:sz w:val="21"/>
                      <w:szCs w:val="21"/>
                      <w:lang w:bidi="ar"/>
                    </w:rPr>
                  </w:pPr>
                  <w:r>
                    <w:rPr>
                      <w:color w:val="auto"/>
                      <w:kern w:val="0"/>
                      <w:sz w:val="21"/>
                      <w:szCs w:val="21"/>
                      <w:lang w:bidi="ar"/>
                    </w:rPr>
                    <w:t>16.13</w:t>
                  </w:r>
                </w:p>
              </w:tc>
              <w:tc>
                <w:tcPr>
                  <w:tcW w:w="412" w:type="pct"/>
                  <w:tcBorders>
                    <w:top w:val="single" w:color="000000" w:sz="6" w:space="0"/>
                    <w:left w:val="single" w:color="000000" w:sz="6" w:space="0"/>
                    <w:bottom w:val="single" w:color="000000" w:sz="6" w:space="0"/>
                    <w:right w:val="single" w:color="000000" w:sz="6" w:space="0"/>
                  </w:tcBorders>
                  <w:vAlign w:val="center"/>
                </w:tcPr>
                <w:p w14:paraId="29E3E8FA">
                  <w:pPr>
                    <w:adjustRightInd w:val="0"/>
                    <w:snapToGrid w:val="0"/>
                    <w:spacing w:line="320" w:lineRule="exact"/>
                    <w:jc w:val="center"/>
                    <w:rPr>
                      <w:color w:val="auto"/>
                      <w:sz w:val="21"/>
                      <w:szCs w:val="21"/>
                    </w:rPr>
                  </w:pPr>
                  <w:r>
                    <w:rPr>
                      <w:color w:val="auto"/>
                      <w:sz w:val="21"/>
                      <w:szCs w:val="21"/>
                    </w:rPr>
                    <w:t>65</w:t>
                  </w:r>
                </w:p>
              </w:tc>
              <w:tc>
                <w:tcPr>
                  <w:tcW w:w="456" w:type="pct"/>
                  <w:tcBorders>
                    <w:top w:val="single" w:color="000000" w:sz="6" w:space="0"/>
                    <w:left w:val="single" w:color="000000" w:sz="6" w:space="0"/>
                    <w:bottom w:val="single" w:color="000000" w:sz="6" w:space="0"/>
                    <w:right w:val="single" w:color="000000" w:sz="6" w:space="0"/>
                  </w:tcBorders>
                  <w:vAlign w:val="center"/>
                </w:tcPr>
                <w:p w14:paraId="5A8E2EB7">
                  <w:pPr>
                    <w:adjustRightInd w:val="0"/>
                    <w:snapToGrid w:val="0"/>
                    <w:spacing w:line="320" w:lineRule="exact"/>
                    <w:jc w:val="center"/>
                    <w:rPr>
                      <w:color w:val="auto"/>
                      <w:sz w:val="21"/>
                      <w:szCs w:val="21"/>
                    </w:rPr>
                  </w:pPr>
                  <w:r>
                    <w:rPr>
                      <w:color w:val="auto"/>
                      <w:sz w:val="21"/>
                      <w:szCs w:val="21"/>
                    </w:rPr>
                    <w:t>55</w:t>
                  </w:r>
                </w:p>
              </w:tc>
              <w:tc>
                <w:tcPr>
                  <w:tcW w:w="543" w:type="pct"/>
                  <w:tcBorders>
                    <w:top w:val="single" w:color="000000" w:sz="6" w:space="0"/>
                    <w:left w:val="single" w:color="000000" w:sz="6" w:space="0"/>
                    <w:bottom w:val="single" w:color="000000" w:sz="6" w:space="0"/>
                    <w:right w:val="single" w:color="000000" w:sz="6" w:space="0"/>
                  </w:tcBorders>
                  <w:vAlign w:val="center"/>
                </w:tcPr>
                <w:p w14:paraId="7D94CECA">
                  <w:pPr>
                    <w:adjustRightInd w:val="0"/>
                    <w:snapToGrid w:val="0"/>
                    <w:spacing w:line="320" w:lineRule="exact"/>
                    <w:jc w:val="center"/>
                    <w:rPr>
                      <w:color w:val="auto"/>
                      <w:sz w:val="21"/>
                      <w:szCs w:val="21"/>
                    </w:rPr>
                  </w:pPr>
                  <w:r>
                    <w:rPr>
                      <w:color w:val="auto"/>
                      <w:sz w:val="21"/>
                      <w:szCs w:val="21"/>
                      <w:lang w:bidi="ar"/>
                    </w:rPr>
                    <w:t>达标</w:t>
                  </w:r>
                </w:p>
              </w:tc>
              <w:tc>
                <w:tcPr>
                  <w:tcW w:w="543" w:type="pct"/>
                  <w:tcBorders>
                    <w:top w:val="single" w:color="000000" w:sz="6" w:space="0"/>
                    <w:left w:val="single" w:color="000000" w:sz="6" w:space="0"/>
                    <w:bottom w:val="single" w:color="000000" w:sz="6" w:space="0"/>
                    <w:right w:val="single" w:color="000000" w:sz="6" w:space="0"/>
                  </w:tcBorders>
                  <w:vAlign w:val="center"/>
                </w:tcPr>
                <w:p w14:paraId="66B46E8B">
                  <w:pPr>
                    <w:adjustRightInd w:val="0"/>
                    <w:snapToGrid w:val="0"/>
                    <w:spacing w:line="320" w:lineRule="exact"/>
                    <w:jc w:val="center"/>
                    <w:rPr>
                      <w:color w:val="auto"/>
                      <w:sz w:val="21"/>
                      <w:szCs w:val="21"/>
                      <w:lang w:bidi="ar"/>
                    </w:rPr>
                  </w:pPr>
                  <w:r>
                    <w:rPr>
                      <w:color w:val="auto"/>
                      <w:sz w:val="21"/>
                      <w:szCs w:val="21"/>
                      <w:lang w:bidi="ar"/>
                    </w:rPr>
                    <w:t>达标</w:t>
                  </w:r>
                </w:p>
              </w:tc>
            </w:tr>
            <w:tr w14:paraId="28905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8" w:hRule="atLeast"/>
                <w:jc w:val="center"/>
              </w:trPr>
              <w:tc>
                <w:tcPr>
                  <w:tcW w:w="230" w:type="pct"/>
                  <w:tcBorders>
                    <w:top w:val="single" w:color="000000" w:sz="6" w:space="0"/>
                    <w:left w:val="single" w:color="000000" w:sz="6" w:space="0"/>
                    <w:bottom w:val="single" w:color="000000" w:sz="6" w:space="0"/>
                    <w:right w:val="single" w:color="000000" w:sz="6" w:space="0"/>
                  </w:tcBorders>
                  <w:vAlign w:val="center"/>
                </w:tcPr>
                <w:p w14:paraId="567B6D21">
                  <w:pPr>
                    <w:adjustRightInd w:val="0"/>
                    <w:snapToGrid w:val="0"/>
                    <w:spacing w:line="320" w:lineRule="exact"/>
                    <w:jc w:val="center"/>
                    <w:rPr>
                      <w:color w:val="auto"/>
                      <w:sz w:val="21"/>
                      <w:szCs w:val="21"/>
                    </w:rPr>
                  </w:pPr>
                  <w:r>
                    <w:rPr>
                      <w:color w:val="auto"/>
                      <w:sz w:val="21"/>
                      <w:szCs w:val="21"/>
                    </w:rPr>
                    <w:t>3</w:t>
                  </w:r>
                </w:p>
              </w:tc>
              <w:tc>
                <w:tcPr>
                  <w:tcW w:w="498" w:type="pct"/>
                  <w:tcBorders>
                    <w:top w:val="single" w:color="000000" w:sz="6" w:space="0"/>
                    <w:left w:val="single" w:color="000000" w:sz="6" w:space="0"/>
                    <w:bottom w:val="single" w:color="000000" w:sz="6" w:space="0"/>
                    <w:right w:val="single" w:color="000000" w:sz="6" w:space="0"/>
                  </w:tcBorders>
                  <w:vAlign w:val="center"/>
                </w:tcPr>
                <w:p w14:paraId="7E3B95B5">
                  <w:pPr>
                    <w:adjustRightInd w:val="0"/>
                    <w:snapToGrid w:val="0"/>
                    <w:spacing w:line="320" w:lineRule="exact"/>
                    <w:jc w:val="center"/>
                    <w:rPr>
                      <w:color w:val="auto"/>
                      <w:sz w:val="21"/>
                      <w:szCs w:val="21"/>
                    </w:rPr>
                  </w:pPr>
                  <w:r>
                    <w:rPr>
                      <w:color w:val="auto"/>
                      <w:sz w:val="21"/>
                      <w:szCs w:val="21"/>
                      <w:lang w:bidi="ar"/>
                    </w:rPr>
                    <w:t>厂界南</w:t>
                  </w:r>
                </w:p>
              </w:tc>
              <w:tc>
                <w:tcPr>
                  <w:tcW w:w="465" w:type="pct"/>
                  <w:tcBorders>
                    <w:top w:val="single" w:color="000000" w:sz="6" w:space="0"/>
                    <w:left w:val="single" w:color="000000" w:sz="6" w:space="0"/>
                    <w:bottom w:val="single" w:color="000000" w:sz="6" w:space="0"/>
                    <w:right w:val="single" w:color="000000" w:sz="6" w:space="0"/>
                  </w:tcBorders>
                  <w:vAlign w:val="center"/>
                </w:tcPr>
                <w:p w14:paraId="3E22AB25">
                  <w:pPr>
                    <w:widowControl/>
                    <w:jc w:val="center"/>
                    <w:textAlignment w:val="center"/>
                    <w:rPr>
                      <w:color w:val="auto"/>
                      <w:sz w:val="21"/>
                      <w:szCs w:val="21"/>
                      <w:lang w:bidi="ar"/>
                    </w:rPr>
                  </w:pPr>
                  <w:r>
                    <w:rPr>
                      <w:rFonts w:hint="eastAsia"/>
                      <w:color w:val="auto"/>
                      <w:kern w:val="0"/>
                      <w:sz w:val="21"/>
                      <w:szCs w:val="21"/>
                      <w:lang w:bidi="ar"/>
                    </w:rPr>
                    <w:t>85.39</w:t>
                  </w:r>
                </w:p>
              </w:tc>
              <w:tc>
                <w:tcPr>
                  <w:tcW w:w="493" w:type="pct"/>
                  <w:tcBorders>
                    <w:top w:val="single" w:color="000000" w:sz="6" w:space="0"/>
                    <w:left w:val="single" w:color="000000" w:sz="6" w:space="0"/>
                    <w:bottom w:val="single" w:color="000000" w:sz="6" w:space="0"/>
                    <w:right w:val="single" w:color="000000" w:sz="6" w:space="0"/>
                  </w:tcBorders>
                  <w:vAlign w:val="center"/>
                </w:tcPr>
                <w:p w14:paraId="1CD0A022">
                  <w:pPr>
                    <w:widowControl/>
                    <w:jc w:val="center"/>
                    <w:textAlignment w:val="center"/>
                    <w:rPr>
                      <w:color w:val="auto"/>
                      <w:sz w:val="21"/>
                      <w:szCs w:val="21"/>
                      <w:lang w:bidi="ar"/>
                    </w:rPr>
                  </w:pPr>
                  <w:r>
                    <w:rPr>
                      <w:color w:val="auto"/>
                      <w:kern w:val="0"/>
                      <w:sz w:val="21"/>
                      <w:szCs w:val="21"/>
                      <w:lang w:bidi="ar"/>
                    </w:rPr>
                    <w:t>-</w:t>
                  </w:r>
                  <w:r>
                    <w:rPr>
                      <w:rFonts w:hint="eastAsia"/>
                      <w:color w:val="auto"/>
                      <w:kern w:val="0"/>
                      <w:sz w:val="21"/>
                      <w:szCs w:val="21"/>
                      <w:lang w:bidi="ar"/>
                    </w:rPr>
                    <w:t>4.72</w:t>
                  </w:r>
                </w:p>
              </w:tc>
              <w:tc>
                <w:tcPr>
                  <w:tcW w:w="412" w:type="pct"/>
                  <w:tcBorders>
                    <w:top w:val="single" w:color="000000" w:sz="6" w:space="0"/>
                    <w:left w:val="single" w:color="000000" w:sz="6" w:space="0"/>
                    <w:bottom w:val="single" w:color="000000" w:sz="6" w:space="0"/>
                    <w:right w:val="single" w:color="000000" w:sz="6" w:space="0"/>
                  </w:tcBorders>
                  <w:vAlign w:val="center"/>
                </w:tcPr>
                <w:p w14:paraId="458FCF6F">
                  <w:pPr>
                    <w:widowControl/>
                    <w:jc w:val="center"/>
                    <w:textAlignment w:val="center"/>
                    <w:rPr>
                      <w:color w:val="auto"/>
                      <w:sz w:val="21"/>
                      <w:szCs w:val="21"/>
                      <w:lang w:bidi="ar"/>
                    </w:rPr>
                  </w:pPr>
                  <w:r>
                    <w:rPr>
                      <w:color w:val="auto"/>
                      <w:kern w:val="0"/>
                      <w:sz w:val="21"/>
                      <w:szCs w:val="21"/>
                      <w:lang w:bidi="ar"/>
                    </w:rPr>
                    <w:t>1.20</w:t>
                  </w:r>
                </w:p>
              </w:tc>
              <w:tc>
                <w:tcPr>
                  <w:tcW w:w="484" w:type="pct"/>
                  <w:tcBorders>
                    <w:top w:val="single" w:color="000000" w:sz="6" w:space="0"/>
                    <w:left w:val="single" w:color="000000" w:sz="6" w:space="0"/>
                    <w:bottom w:val="single" w:color="000000" w:sz="6" w:space="0"/>
                    <w:right w:val="single" w:color="000000" w:sz="6" w:space="0"/>
                  </w:tcBorders>
                  <w:vAlign w:val="center"/>
                </w:tcPr>
                <w:p w14:paraId="469B5F18">
                  <w:pPr>
                    <w:widowControl/>
                    <w:jc w:val="center"/>
                    <w:textAlignment w:val="center"/>
                    <w:rPr>
                      <w:color w:val="auto"/>
                      <w:sz w:val="21"/>
                      <w:szCs w:val="21"/>
                    </w:rPr>
                  </w:pPr>
                  <w:r>
                    <w:rPr>
                      <w:rFonts w:hint="eastAsia"/>
                      <w:color w:val="auto"/>
                      <w:kern w:val="0"/>
                      <w:sz w:val="21"/>
                      <w:szCs w:val="21"/>
                      <w:lang w:bidi="ar"/>
                    </w:rPr>
                    <w:t>52.71</w:t>
                  </w:r>
                </w:p>
              </w:tc>
              <w:tc>
                <w:tcPr>
                  <w:tcW w:w="457" w:type="pct"/>
                  <w:tcBorders>
                    <w:top w:val="single" w:color="000000" w:sz="6" w:space="0"/>
                    <w:left w:val="single" w:color="000000" w:sz="6" w:space="0"/>
                    <w:bottom w:val="single" w:color="000000" w:sz="6" w:space="0"/>
                    <w:right w:val="single" w:color="000000" w:sz="6" w:space="0"/>
                  </w:tcBorders>
                  <w:vAlign w:val="center"/>
                </w:tcPr>
                <w:p w14:paraId="6D63BD6E">
                  <w:pPr>
                    <w:widowControl/>
                    <w:jc w:val="center"/>
                    <w:textAlignment w:val="center"/>
                    <w:rPr>
                      <w:color w:val="auto"/>
                      <w:kern w:val="0"/>
                      <w:sz w:val="21"/>
                      <w:szCs w:val="21"/>
                      <w:lang w:bidi="ar"/>
                    </w:rPr>
                  </w:pPr>
                  <w:r>
                    <w:rPr>
                      <w:rFonts w:hint="eastAsia"/>
                      <w:color w:val="auto"/>
                      <w:kern w:val="0"/>
                      <w:sz w:val="21"/>
                      <w:szCs w:val="21"/>
                      <w:lang w:bidi="ar"/>
                    </w:rPr>
                    <w:t>51.51</w:t>
                  </w:r>
                </w:p>
              </w:tc>
              <w:tc>
                <w:tcPr>
                  <w:tcW w:w="412" w:type="pct"/>
                  <w:tcBorders>
                    <w:top w:val="single" w:color="000000" w:sz="6" w:space="0"/>
                    <w:left w:val="single" w:color="000000" w:sz="6" w:space="0"/>
                    <w:bottom w:val="single" w:color="000000" w:sz="6" w:space="0"/>
                    <w:right w:val="single" w:color="000000" w:sz="6" w:space="0"/>
                  </w:tcBorders>
                  <w:vAlign w:val="center"/>
                </w:tcPr>
                <w:p w14:paraId="0ADB9742">
                  <w:pPr>
                    <w:adjustRightInd w:val="0"/>
                    <w:snapToGrid w:val="0"/>
                    <w:spacing w:line="320" w:lineRule="exact"/>
                    <w:jc w:val="center"/>
                    <w:rPr>
                      <w:color w:val="auto"/>
                      <w:sz w:val="21"/>
                      <w:szCs w:val="21"/>
                    </w:rPr>
                  </w:pPr>
                  <w:r>
                    <w:rPr>
                      <w:color w:val="auto"/>
                      <w:sz w:val="21"/>
                      <w:szCs w:val="21"/>
                    </w:rPr>
                    <w:t>65</w:t>
                  </w:r>
                </w:p>
              </w:tc>
              <w:tc>
                <w:tcPr>
                  <w:tcW w:w="456" w:type="pct"/>
                  <w:tcBorders>
                    <w:top w:val="single" w:color="000000" w:sz="6" w:space="0"/>
                    <w:left w:val="single" w:color="000000" w:sz="6" w:space="0"/>
                    <w:bottom w:val="single" w:color="000000" w:sz="6" w:space="0"/>
                    <w:right w:val="single" w:color="000000" w:sz="6" w:space="0"/>
                  </w:tcBorders>
                  <w:vAlign w:val="center"/>
                </w:tcPr>
                <w:p w14:paraId="5623F170">
                  <w:pPr>
                    <w:adjustRightInd w:val="0"/>
                    <w:snapToGrid w:val="0"/>
                    <w:spacing w:line="320" w:lineRule="exact"/>
                    <w:jc w:val="center"/>
                    <w:rPr>
                      <w:color w:val="auto"/>
                      <w:sz w:val="21"/>
                      <w:szCs w:val="21"/>
                    </w:rPr>
                  </w:pPr>
                  <w:r>
                    <w:rPr>
                      <w:color w:val="auto"/>
                      <w:sz w:val="21"/>
                      <w:szCs w:val="21"/>
                    </w:rPr>
                    <w:t>55</w:t>
                  </w:r>
                </w:p>
              </w:tc>
              <w:tc>
                <w:tcPr>
                  <w:tcW w:w="543" w:type="pct"/>
                  <w:tcBorders>
                    <w:top w:val="single" w:color="000000" w:sz="6" w:space="0"/>
                    <w:left w:val="single" w:color="000000" w:sz="6" w:space="0"/>
                    <w:bottom w:val="single" w:color="000000" w:sz="6" w:space="0"/>
                    <w:right w:val="single" w:color="000000" w:sz="6" w:space="0"/>
                  </w:tcBorders>
                  <w:vAlign w:val="center"/>
                </w:tcPr>
                <w:p w14:paraId="01EAD7CA">
                  <w:pPr>
                    <w:adjustRightInd w:val="0"/>
                    <w:snapToGrid w:val="0"/>
                    <w:spacing w:line="320" w:lineRule="exact"/>
                    <w:jc w:val="center"/>
                    <w:rPr>
                      <w:color w:val="auto"/>
                      <w:sz w:val="21"/>
                      <w:szCs w:val="21"/>
                    </w:rPr>
                  </w:pPr>
                  <w:r>
                    <w:rPr>
                      <w:color w:val="auto"/>
                      <w:sz w:val="21"/>
                      <w:szCs w:val="21"/>
                      <w:lang w:bidi="ar"/>
                    </w:rPr>
                    <w:t>达标</w:t>
                  </w:r>
                </w:p>
              </w:tc>
              <w:tc>
                <w:tcPr>
                  <w:tcW w:w="543" w:type="pct"/>
                  <w:tcBorders>
                    <w:top w:val="single" w:color="000000" w:sz="6" w:space="0"/>
                    <w:left w:val="single" w:color="000000" w:sz="6" w:space="0"/>
                    <w:bottom w:val="single" w:color="000000" w:sz="6" w:space="0"/>
                    <w:right w:val="single" w:color="000000" w:sz="6" w:space="0"/>
                  </w:tcBorders>
                  <w:vAlign w:val="center"/>
                </w:tcPr>
                <w:p w14:paraId="4B4B36D1">
                  <w:pPr>
                    <w:adjustRightInd w:val="0"/>
                    <w:snapToGrid w:val="0"/>
                    <w:spacing w:line="320" w:lineRule="exact"/>
                    <w:jc w:val="center"/>
                    <w:rPr>
                      <w:color w:val="auto"/>
                      <w:sz w:val="21"/>
                      <w:szCs w:val="21"/>
                      <w:lang w:bidi="ar"/>
                    </w:rPr>
                  </w:pPr>
                  <w:r>
                    <w:rPr>
                      <w:color w:val="auto"/>
                      <w:sz w:val="21"/>
                      <w:szCs w:val="21"/>
                      <w:lang w:bidi="ar"/>
                    </w:rPr>
                    <w:t>达标</w:t>
                  </w:r>
                </w:p>
              </w:tc>
            </w:tr>
            <w:tr w14:paraId="19A0A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230" w:type="pct"/>
                  <w:tcBorders>
                    <w:top w:val="single" w:color="000000" w:sz="6" w:space="0"/>
                    <w:left w:val="single" w:color="000000" w:sz="6" w:space="0"/>
                    <w:bottom w:val="single" w:color="000000" w:sz="6" w:space="0"/>
                    <w:right w:val="single" w:color="000000" w:sz="6" w:space="0"/>
                  </w:tcBorders>
                  <w:vAlign w:val="center"/>
                </w:tcPr>
                <w:p w14:paraId="5886DCE7">
                  <w:pPr>
                    <w:adjustRightInd w:val="0"/>
                    <w:snapToGrid w:val="0"/>
                    <w:spacing w:line="320" w:lineRule="exact"/>
                    <w:jc w:val="center"/>
                    <w:rPr>
                      <w:color w:val="auto"/>
                      <w:sz w:val="21"/>
                      <w:szCs w:val="21"/>
                    </w:rPr>
                  </w:pPr>
                  <w:r>
                    <w:rPr>
                      <w:color w:val="auto"/>
                      <w:sz w:val="21"/>
                      <w:szCs w:val="21"/>
                    </w:rPr>
                    <w:t>4</w:t>
                  </w:r>
                </w:p>
              </w:tc>
              <w:tc>
                <w:tcPr>
                  <w:tcW w:w="498" w:type="pct"/>
                  <w:tcBorders>
                    <w:top w:val="single" w:color="000000" w:sz="6" w:space="0"/>
                    <w:left w:val="single" w:color="000000" w:sz="6" w:space="0"/>
                    <w:bottom w:val="single" w:color="000000" w:sz="6" w:space="0"/>
                    <w:right w:val="single" w:color="000000" w:sz="6" w:space="0"/>
                  </w:tcBorders>
                  <w:vAlign w:val="center"/>
                </w:tcPr>
                <w:p w14:paraId="493D3BC3">
                  <w:pPr>
                    <w:adjustRightInd w:val="0"/>
                    <w:snapToGrid w:val="0"/>
                    <w:spacing w:line="320" w:lineRule="exact"/>
                    <w:jc w:val="center"/>
                    <w:rPr>
                      <w:color w:val="auto"/>
                      <w:sz w:val="21"/>
                      <w:szCs w:val="21"/>
                    </w:rPr>
                  </w:pPr>
                  <w:r>
                    <w:rPr>
                      <w:color w:val="auto"/>
                      <w:sz w:val="21"/>
                      <w:szCs w:val="21"/>
                      <w:lang w:bidi="ar"/>
                    </w:rPr>
                    <w:t>厂界西</w:t>
                  </w:r>
                </w:p>
              </w:tc>
              <w:tc>
                <w:tcPr>
                  <w:tcW w:w="465" w:type="pct"/>
                  <w:tcBorders>
                    <w:top w:val="single" w:color="000000" w:sz="6" w:space="0"/>
                    <w:left w:val="single" w:color="000000" w:sz="6" w:space="0"/>
                    <w:bottom w:val="single" w:color="000000" w:sz="6" w:space="0"/>
                    <w:right w:val="single" w:color="000000" w:sz="6" w:space="0"/>
                  </w:tcBorders>
                  <w:vAlign w:val="center"/>
                </w:tcPr>
                <w:p w14:paraId="11CBA070">
                  <w:pPr>
                    <w:widowControl/>
                    <w:jc w:val="center"/>
                    <w:textAlignment w:val="center"/>
                    <w:rPr>
                      <w:color w:val="auto"/>
                      <w:sz w:val="21"/>
                      <w:szCs w:val="21"/>
                      <w:lang w:bidi="ar"/>
                    </w:rPr>
                  </w:pPr>
                  <w:r>
                    <w:rPr>
                      <w:color w:val="auto"/>
                      <w:kern w:val="0"/>
                      <w:sz w:val="21"/>
                      <w:szCs w:val="21"/>
                      <w:lang w:bidi="ar"/>
                    </w:rPr>
                    <w:t>-1</w:t>
                  </w:r>
                  <w:r>
                    <w:rPr>
                      <w:rFonts w:hint="eastAsia"/>
                      <w:color w:val="auto"/>
                      <w:kern w:val="0"/>
                      <w:sz w:val="21"/>
                      <w:szCs w:val="21"/>
                      <w:lang w:bidi="ar"/>
                    </w:rPr>
                    <w:t>3.50</w:t>
                  </w:r>
                </w:p>
              </w:tc>
              <w:tc>
                <w:tcPr>
                  <w:tcW w:w="493" w:type="pct"/>
                  <w:tcBorders>
                    <w:top w:val="single" w:color="000000" w:sz="6" w:space="0"/>
                    <w:left w:val="single" w:color="000000" w:sz="6" w:space="0"/>
                    <w:bottom w:val="single" w:color="000000" w:sz="6" w:space="0"/>
                    <w:right w:val="single" w:color="000000" w:sz="6" w:space="0"/>
                  </w:tcBorders>
                  <w:vAlign w:val="center"/>
                </w:tcPr>
                <w:p w14:paraId="54CE691D">
                  <w:pPr>
                    <w:widowControl/>
                    <w:jc w:val="center"/>
                    <w:textAlignment w:val="center"/>
                    <w:rPr>
                      <w:color w:val="auto"/>
                      <w:sz w:val="21"/>
                      <w:szCs w:val="21"/>
                      <w:lang w:bidi="ar"/>
                    </w:rPr>
                  </w:pPr>
                  <w:r>
                    <w:rPr>
                      <w:rFonts w:hint="eastAsia"/>
                      <w:color w:val="auto"/>
                      <w:kern w:val="0"/>
                      <w:sz w:val="21"/>
                      <w:szCs w:val="21"/>
                      <w:lang w:bidi="ar"/>
                    </w:rPr>
                    <w:t>124.21</w:t>
                  </w:r>
                </w:p>
              </w:tc>
              <w:tc>
                <w:tcPr>
                  <w:tcW w:w="412" w:type="pct"/>
                  <w:tcBorders>
                    <w:top w:val="single" w:color="000000" w:sz="6" w:space="0"/>
                    <w:left w:val="single" w:color="000000" w:sz="6" w:space="0"/>
                    <w:bottom w:val="single" w:color="000000" w:sz="6" w:space="0"/>
                    <w:right w:val="single" w:color="000000" w:sz="6" w:space="0"/>
                  </w:tcBorders>
                  <w:vAlign w:val="center"/>
                </w:tcPr>
                <w:p w14:paraId="5639C70F">
                  <w:pPr>
                    <w:widowControl/>
                    <w:jc w:val="center"/>
                    <w:textAlignment w:val="center"/>
                    <w:rPr>
                      <w:color w:val="auto"/>
                      <w:sz w:val="21"/>
                      <w:szCs w:val="21"/>
                      <w:lang w:bidi="ar"/>
                    </w:rPr>
                  </w:pPr>
                  <w:r>
                    <w:rPr>
                      <w:color w:val="auto"/>
                      <w:kern w:val="0"/>
                      <w:sz w:val="21"/>
                      <w:szCs w:val="21"/>
                      <w:lang w:bidi="ar"/>
                    </w:rPr>
                    <w:t>1.20</w:t>
                  </w:r>
                </w:p>
              </w:tc>
              <w:tc>
                <w:tcPr>
                  <w:tcW w:w="484" w:type="pct"/>
                  <w:tcBorders>
                    <w:top w:val="single" w:color="000000" w:sz="6" w:space="0"/>
                    <w:left w:val="single" w:color="000000" w:sz="6" w:space="0"/>
                    <w:bottom w:val="single" w:color="000000" w:sz="6" w:space="0"/>
                    <w:right w:val="single" w:color="000000" w:sz="6" w:space="0"/>
                  </w:tcBorders>
                  <w:vAlign w:val="center"/>
                </w:tcPr>
                <w:p w14:paraId="0DB9E824">
                  <w:pPr>
                    <w:widowControl/>
                    <w:jc w:val="center"/>
                    <w:textAlignment w:val="center"/>
                    <w:rPr>
                      <w:color w:val="auto"/>
                      <w:sz w:val="21"/>
                      <w:szCs w:val="21"/>
                    </w:rPr>
                  </w:pPr>
                  <w:r>
                    <w:rPr>
                      <w:color w:val="auto"/>
                      <w:kern w:val="0"/>
                      <w:sz w:val="21"/>
                      <w:szCs w:val="21"/>
                      <w:lang w:bidi="ar"/>
                    </w:rPr>
                    <w:t>56.</w:t>
                  </w:r>
                  <w:r>
                    <w:rPr>
                      <w:rFonts w:hint="eastAsia"/>
                      <w:color w:val="auto"/>
                      <w:kern w:val="0"/>
                      <w:sz w:val="21"/>
                      <w:szCs w:val="21"/>
                      <w:lang w:bidi="ar"/>
                    </w:rPr>
                    <w:t>65</w:t>
                  </w:r>
                </w:p>
              </w:tc>
              <w:tc>
                <w:tcPr>
                  <w:tcW w:w="457" w:type="pct"/>
                  <w:tcBorders>
                    <w:top w:val="single" w:color="000000" w:sz="6" w:space="0"/>
                    <w:left w:val="single" w:color="000000" w:sz="6" w:space="0"/>
                    <w:bottom w:val="single" w:color="000000" w:sz="6" w:space="0"/>
                    <w:right w:val="single" w:color="000000" w:sz="6" w:space="0"/>
                  </w:tcBorders>
                  <w:vAlign w:val="center"/>
                </w:tcPr>
                <w:p w14:paraId="0663B843">
                  <w:pPr>
                    <w:widowControl/>
                    <w:jc w:val="center"/>
                    <w:textAlignment w:val="center"/>
                    <w:rPr>
                      <w:color w:val="auto"/>
                      <w:kern w:val="0"/>
                      <w:sz w:val="21"/>
                      <w:szCs w:val="21"/>
                      <w:lang w:bidi="ar"/>
                    </w:rPr>
                  </w:pPr>
                  <w:r>
                    <w:rPr>
                      <w:rFonts w:hint="eastAsia"/>
                      <w:color w:val="auto"/>
                      <w:kern w:val="0"/>
                      <w:sz w:val="21"/>
                      <w:szCs w:val="21"/>
                      <w:lang w:bidi="ar"/>
                    </w:rPr>
                    <w:t>39.91</w:t>
                  </w:r>
                </w:p>
              </w:tc>
              <w:tc>
                <w:tcPr>
                  <w:tcW w:w="412" w:type="pct"/>
                  <w:tcBorders>
                    <w:top w:val="single" w:color="000000" w:sz="6" w:space="0"/>
                    <w:left w:val="single" w:color="000000" w:sz="6" w:space="0"/>
                    <w:bottom w:val="single" w:color="000000" w:sz="6" w:space="0"/>
                    <w:right w:val="single" w:color="000000" w:sz="6" w:space="0"/>
                  </w:tcBorders>
                  <w:vAlign w:val="center"/>
                </w:tcPr>
                <w:p w14:paraId="6B0B9C0D">
                  <w:pPr>
                    <w:adjustRightInd w:val="0"/>
                    <w:snapToGrid w:val="0"/>
                    <w:spacing w:line="320" w:lineRule="exact"/>
                    <w:jc w:val="center"/>
                    <w:rPr>
                      <w:color w:val="auto"/>
                      <w:sz w:val="21"/>
                      <w:szCs w:val="21"/>
                    </w:rPr>
                  </w:pPr>
                  <w:r>
                    <w:rPr>
                      <w:color w:val="auto"/>
                      <w:sz w:val="21"/>
                      <w:szCs w:val="21"/>
                    </w:rPr>
                    <w:t>65</w:t>
                  </w:r>
                </w:p>
              </w:tc>
              <w:tc>
                <w:tcPr>
                  <w:tcW w:w="456" w:type="pct"/>
                  <w:tcBorders>
                    <w:top w:val="single" w:color="000000" w:sz="6" w:space="0"/>
                    <w:left w:val="single" w:color="000000" w:sz="6" w:space="0"/>
                    <w:bottom w:val="single" w:color="000000" w:sz="6" w:space="0"/>
                    <w:right w:val="single" w:color="000000" w:sz="6" w:space="0"/>
                  </w:tcBorders>
                  <w:vAlign w:val="center"/>
                </w:tcPr>
                <w:p w14:paraId="2B01716E">
                  <w:pPr>
                    <w:adjustRightInd w:val="0"/>
                    <w:snapToGrid w:val="0"/>
                    <w:spacing w:line="320" w:lineRule="exact"/>
                    <w:jc w:val="center"/>
                    <w:rPr>
                      <w:color w:val="auto"/>
                      <w:sz w:val="21"/>
                      <w:szCs w:val="21"/>
                    </w:rPr>
                  </w:pPr>
                  <w:r>
                    <w:rPr>
                      <w:color w:val="auto"/>
                      <w:sz w:val="21"/>
                      <w:szCs w:val="21"/>
                    </w:rPr>
                    <w:t>55</w:t>
                  </w:r>
                </w:p>
              </w:tc>
              <w:tc>
                <w:tcPr>
                  <w:tcW w:w="543" w:type="pct"/>
                  <w:tcBorders>
                    <w:top w:val="single" w:color="000000" w:sz="6" w:space="0"/>
                    <w:left w:val="single" w:color="000000" w:sz="6" w:space="0"/>
                    <w:bottom w:val="single" w:color="000000" w:sz="6" w:space="0"/>
                    <w:right w:val="single" w:color="000000" w:sz="6" w:space="0"/>
                  </w:tcBorders>
                  <w:vAlign w:val="center"/>
                </w:tcPr>
                <w:p w14:paraId="58A5AE54">
                  <w:pPr>
                    <w:adjustRightInd w:val="0"/>
                    <w:snapToGrid w:val="0"/>
                    <w:spacing w:line="320" w:lineRule="exact"/>
                    <w:jc w:val="center"/>
                    <w:rPr>
                      <w:color w:val="auto"/>
                      <w:sz w:val="21"/>
                      <w:szCs w:val="21"/>
                    </w:rPr>
                  </w:pPr>
                  <w:r>
                    <w:rPr>
                      <w:color w:val="auto"/>
                      <w:sz w:val="21"/>
                      <w:szCs w:val="21"/>
                      <w:lang w:bidi="ar"/>
                    </w:rPr>
                    <w:t>达标</w:t>
                  </w:r>
                </w:p>
              </w:tc>
              <w:tc>
                <w:tcPr>
                  <w:tcW w:w="543" w:type="pct"/>
                  <w:tcBorders>
                    <w:top w:val="single" w:color="000000" w:sz="6" w:space="0"/>
                    <w:left w:val="single" w:color="000000" w:sz="6" w:space="0"/>
                    <w:bottom w:val="single" w:color="000000" w:sz="6" w:space="0"/>
                    <w:right w:val="single" w:color="000000" w:sz="6" w:space="0"/>
                  </w:tcBorders>
                  <w:vAlign w:val="center"/>
                </w:tcPr>
                <w:p w14:paraId="64A3CB8D">
                  <w:pPr>
                    <w:adjustRightInd w:val="0"/>
                    <w:snapToGrid w:val="0"/>
                    <w:spacing w:line="320" w:lineRule="exact"/>
                    <w:jc w:val="center"/>
                    <w:rPr>
                      <w:color w:val="auto"/>
                      <w:sz w:val="21"/>
                      <w:szCs w:val="21"/>
                      <w:lang w:bidi="ar"/>
                    </w:rPr>
                  </w:pPr>
                  <w:r>
                    <w:rPr>
                      <w:color w:val="auto"/>
                      <w:sz w:val="21"/>
                      <w:szCs w:val="21"/>
                      <w:lang w:bidi="ar"/>
                    </w:rPr>
                    <w:t>达标</w:t>
                  </w:r>
                </w:p>
              </w:tc>
            </w:tr>
          </w:tbl>
          <w:p w14:paraId="2E0FB6E6">
            <w:pPr>
              <w:pStyle w:val="36"/>
              <w:spacing w:before="0" w:after="0" w:line="500" w:lineRule="exact"/>
              <w:ind w:right="0" w:firstLine="480" w:firstLineChars="200"/>
              <w:jc w:val="both"/>
              <w:rPr>
                <w:color w:val="auto"/>
                <w:sz w:val="24"/>
                <w:szCs w:val="24"/>
                <w:lang w:bidi="ar"/>
              </w:rPr>
            </w:pPr>
            <w:r>
              <w:rPr>
                <w:rFonts w:hint="eastAsia"/>
                <w:color w:val="auto"/>
                <w:sz w:val="24"/>
                <w:szCs w:val="24"/>
              </w:rPr>
              <w:t>经预测，本项目厂界处噪声贡献值满足《工业企业厂界环境噪声排放标准》（GB12348-2008）中的3类标准的限值要求。且项目周边50m范围内不存在敏感目标，项目运营后不会对周围声环境产生明显影响。</w:t>
            </w:r>
          </w:p>
          <w:p w14:paraId="28A12774">
            <w:pPr>
              <w:adjustRightInd w:val="0"/>
              <w:snapToGrid w:val="0"/>
              <w:spacing w:line="480" w:lineRule="exact"/>
              <w:ind w:firstLine="482" w:firstLineChars="200"/>
              <w:rPr>
                <w:b/>
                <w:bCs/>
                <w:color w:val="auto"/>
              </w:rPr>
            </w:pPr>
            <w:r>
              <w:rPr>
                <w:rFonts w:hint="eastAsia"/>
                <w:b/>
                <w:bCs/>
                <w:color w:val="auto"/>
              </w:rPr>
              <w:t>3.3噪声监测计划</w:t>
            </w:r>
          </w:p>
          <w:p w14:paraId="0EE5C0EF">
            <w:pPr>
              <w:spacing w:line="480" w:lineRule="exact"/>
              <w:ind w:firstLine="480" w:firstLineChars="200"/>
              <w:rPr>
                <w:color w:val="auto"/>
                <w:lang w:bidi="ar"/>
              </w:rPr>
            </w:pPr>
            <w:r>
              <w:rPr>
                <w:rFonts w:hint="eastAsia"/>
                <w:color w:val="auto"/>
                <w:lang w:bidi="ar"/>
              </w:rPr>
              <w:t>依据《排污单位自行监测技术指南 总则》（HJ 819-2017）开展自行监测，监测要求见下表。</w:t>
            </w:r>
          </w:p>
          <w:p w14:paraId="5268B46A">
            <w:pPr>
              <w:spacing w:line="480" w:lineRule="exact"/>
              <w:jc w:val="center"/>
              <w:rPr>
                <w:rFonts w:cs="宋体"/>
                <w:b/>
                <w:bCs/>
                <w:color w:val="auto"/>
                <w:lang w:bidi="ar"/>
              </w:rPr>
            </w:pPr>
            <w:r>
              <w:rPr>
                <w:rFonts w:cs="宋体"/>
                <w:b/>
                <w:bCs/>
                <w:color w:val="auto"/>
                <w:lang w:bidi="ar"/>
              </w:rPr>
              <w:t>表</w:t>
            </w:r>
            <w:r>
              <w:rPr>
                <w:rFonts w:hint="eastAsia" w:cs="宋体"/>
                <w:b/>
                <w:bCs/>
                <w:color w:val="auto"/>
                <w:lang w:bidi="ar"/>
              </w:rPr>
              <w:t>4-1</w:t>
            </w:r>
            <w:r>
              <w:rPr>
                <w:rFonts w:hint="eastAsia" w:cs="宋体"/>
                <w:b/>
                <w:bCs/>
                <w:color w:val="auto"/>
                <w:lang w:val="en-US" w:eastAsia="zh-CN" w:bidi="ar"/>
              </w:rPr>
              <w:t>1</w:t>
            </w:r>
            <w:r>
              <w:rPr>
                <w:rFonts w:hint="eastAsia" w:cs="宋体"/>
                <w:b/>
                <w:bCs/>
                <w:color w:val="auto"/>
                <w:lang w:bidi="ar"/>
              </w:rPr>
              <w:t xml:space="preserve"> </w:t>
            </w:r>
            <w:r>
              <w:rPr>
                <w:rFonts w:cs="宋体"/>
                <w:b/>
                <w:bCs/>
                <w:color w:val="auto"/>
                <w:lang w:bidi="ar"/>
              </w:rPr>
              <w:t xml:space="preserve"> </w:t>
            </w:r>
            <w:r>
              <w:rPr>
                <w:rFonts w:hint="eastAsia" w:cs="宋体"/>
                <w:b/>
                <w:bCs/>
                <w:color w:val="auto"/>
                <w:lang w:bidi="ar"/>
              </w:rPr>
              <w:t xml:space="preserve"> 噪声监测要求一览表</w:t>
            </w:r>
          </w:p>
          <w:tbl>
            <w:tblPr>
              <w:tblStyle w:val="26"/>
              <w:tblW w:w="4993"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74"/>
              <w:gridCol w:w="1615"/>
              <w:gridCol w:w="1429"/>
              <w:gridCol w:w="1458"/>
              <w:gridCol w:w="3077"/>
            </w:tblGrid>
            <w:tr w14:paraId="3E1CC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463" w:type="pct"/>
                  <w:tcBorders>
                    <w:tl2br w:val="nil"/>
                    <w:tr2bl w:val="nil"/>
                  </w:tcBorders>
                  <w:vAlign w:val="center"/>
                </w:tcPr>
                <w:p w14:paraId="40AA4D0C">
                  <w:pPr>
                    <w:pStyle w:val="96"/>
                    <w:spacing w:line="320" w:lineRule="exact"/>
                    <w:rPr>
                      <w:color w:val="auto"/>
                    </w:rPr>
                  </w:pPr>
                  <w:r>
                    <w:rPr>
                      <w:rFonts w:hint="eastAsia"/>
                      <w:color w:val="auto"/>
                    </w:rPr>
                    <w:t>序号</w:t>
                  </w:r>
                </w:p>
              </w:tc>
              <w:tc>
                <w:tcPr>
                  <w:tcW w:w="966" w:type="pct"/>
                  <w:tcBorders>
                    <w:tl2br w:val="nil"/>
                    <w:tr2bl w:val="nil"/>
                  </w:tcBorders>
                  <w:vAlign w:val="center"/>
                </w:tcPr>
                <w:p w14:paraId="1D6792D6">
                  <w:pPr>
                    <w:pStyle w:val="96"/>
                    <w:spacing w:line="320" w:lineRule="exact"/>
                    <w:rPr>
                      <w:color w:val="auto"/>
                    </w:rPr>
                  </w:pPr>
                  <w:r>
                    <w:rPr>
                      <w:rFonts w:hint="eastAsia"/>
                      <w:color w:val="auto"/>
                    </w:rPr>
                    <w:t>监测点位</w:t>
                  </w:r>
                </w:p>
              </w:tc>
              <w:tc>
                <w:tcPr>
                  <w:tcW w:w="855" w:type="pct"/>
                  <w:tcBorders>
                    <w:tl2br w:val="nil"/>
                    <w:tr2bl w:val="nil"/>
                  </w:tcBorders>
                  <w:vAlign w:val="center"/>
                </w:tcPr>
                <w:p w14:paraId="042337F1">
                  <w:pPr>
                    <w:pStyle w:val="96"/>
                    <w:spacing w:line="320" w:lineRule="exact"/>
                    <w:rPr>
                      <w:color w:val="auto"/>
                    </w:rPr>
                  </w:pPr>
                  <w:r>
                    <w:rPr>
                      <w:rFonts w:hint="eastAsia"/>
                      <w:color w:val="auto"/>
                    </w:rPr>
                    <w:t>监测项目</w:t>
                  </w:r>
                </w:p>
              </w:tc>
              <w:tc>
                <w:tcPr>
                  <w:tcW w:w="872" w:type="pct"/>
                  <w:tcBorders>
                    <w:tl2br w:val="nil"/>
                    <w:tr2bl w:val="nil"/>
                  </w:tcBorders>
                  <w:vAlign w:val="center"/>
                </w:tcPr>
                <w:p w14:paraId="3236F6B7">
                  <w:pPr>
                    <w:pStyle w:val="96"/>
                    <w:spacing w:line="320" w:lineRule="exact"/>
                    <w:rPr>
                      <w:color w:val="auto"/>
                    </w:rPr>
                  </w:pPr>
                  <w:r>
                    <w:rPr>
                      <w:rFonts w:hint="eastAsia"/>
                      <w:color w:val="auto"/>
                    </w:rPr>
                    <w:t>监测频次</w:t>
                  </w:r>
                </w:p>
              </w:tc>
              <w:tc>
                <w:tcPr>
                  <w:tcW w:w="1841" w:type="pct"/>
                  <w:tcBorders>
                    <w:tl2br w:val="nil"/>
                    <w:tr2bl w:val="nil"/>
                  </w:tcBorders>
                  <w:vAlign w:val="center"/>
                </w:tcPr>
                <w:p w14:paraId="2D18D6E4">
                  <w:pPr>
                    <w:pStyle w:val="96"/>
                    <w:spacing w:line="320" w:lineRule="exact"/>
                    <w:rPr>
                      <w:color w:val="auto"/>
                    </w:rPr>
                  </w:pPr>
                  <w:r>
                    <w:rPr>
                      <w:rFonts w:hint="eastAsia"/>
                      <w:color w:val="auto"/>
                    </w:rPr>
                    <w:t>执行标准</w:t>
                  </w:r>
                </w:p>
              </w:tc>
            </w:tr>
            <w:tr w14:paraId="41852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463" w:type="pct"/>
                  <w:tcBorders>
                    <w:tl2br w:val="nil"/>
                    <w:tr2bl w:val="nil"/>
                  </w:tcBorders>
                  <w:vAlign w:val="center"/>
                </w:tcPr>
                <w:p w14:paraId="57DB19B6">
                  <w:pPr>
                    <w:pStyle w:val="96"/>
                    <w:spacing w:line="320" w:lineRule="exact"/>
                    <w:rPr>
                      <w:color w:val="auto"/>
                    </w:rPr>
                  </w:pPr>
                  <w:r>
                    <w:rPr>
                      <w:rFonts w:hint="eastAsia"/>
                      <w:color w:val="auto"/>
                    </w:rPr>
                    <w:t>1</w:t>
                  </w:r>
                </w:p>
              </w:tc>
              <w:tc>
                <w:tcPr>
                  <w:tcW w:w="966" w:type="pct"/>
                  <w:tcBorders>
                    <w:tl2br w:val="nil"/>
                    <w:tr2bl w:val="nil"/>
                  </w:tcBorders>
                  <w:vAlign w:val="center"/>
                </w:tcPr>
                <w:p w14:paraId="1C7A6754">
                  <w:pPr>
                    <w:pStyle w:val="96"/>
                    <w:spacing w:line="320" w:lineRule="exact"/>
                    <w:rPr>
                      <w:color w:val="auto"/>
                    </w:rPr>
                  </w:pPr>
                  <w:r>
                    <w:rPr>
                      <w:rFonts w:hint="eastAsia"/>
                      <w:color w:val="auto"/>
                    </w:rPr>
                    <w:t>项目四周厂界</w:t>
                  </w:r>
                </w:p>
              </w:tc>
              <w:tc>
                <w:tcPr>
                  <w:tcW w:w="855" w:type="pct"/>
                  <w:tcBorders>
                    <w:tl2br w:val="nil"/>
                    <w:tr2bl w:val="nil"/>
                  </w:tcBorders>
                  <w:vAlign w:val="center"/>
                </w:tcPr>
                <w:p w14:paraId="455560F4">
                  <w:pPr>
                    <w:pStyle w:val="96"/>
                    <w:spacing w:line="320" w:lineRule="exact"/>
                    <w:rPr>
                      <w:color w:val="auto"/>
                    </w:rPr>
                  </w:pPr>
                  <w:r>
                    <w:rPr>
                      <w:rFonts w:hint="eastAsia"/>
                      <w:color w:val="auto"/>
                    </w:rPr>
                    <w:t>昼间噪声</w:t>
                  </w:r>
                </w:p>
              </w:tc>
              <w:tc>
                <w:tcPr>
                  <w:tcW w:w="872" w:type="pct"/>
                  <w:tcBorders>
                    <w:tl2br w:val="nil"/>
                    <w:tr2bl w:val="nil"/>
                  </w:tcBorders>
                  <w:vAlign w:val="center"/>
                </w:tcPr>
                <w:p w14:paraId="15C7E99D">
                  <w:pPr>
                    <w:pStyle w:val="96"/>
                    <w:spacing w:line="320" w:lineRule="exact"/>
                    <w:rPr>
                      <w:color w:val="auto"/>
                    </w:rPr>
                  </w:pPr>
                  <w:r>
                    <w:rPr>
                      <w:rFonts w:hint="eastAsia"/>
                      <w:color w:val="auto"/>
                    </w:rPr>
                    <w:t>1次/季度</w:t>
                  </w:r>
                </w:p>
              </w:tc>
              <w:tc>
                <w:tcPr>
                  <w:tcW w:w="1841" w:type="pct"/>
                  <w:tcBorders>
                    <w:tl2br w:val="nil"/>
                    <w:tr2bl w:val="nil"/>
                  </w:tcBorders>
                  <w:vAlign w:val="center"/>
                </w:tcPr>
                <w:p w14:paraId="2909414E">
                  <w:pPr>
                    <w:pStyle w:val="96"/>
                    <w:spacing w:line="320" w:lineRule="exact"/>
                    <w:rPr>
                      <w:color w:val="auto"/>
                    </w:rPr>
                  </w:pPr>
                  <w:r>
                    <w:rPr>
                      <w:rFonts w:hint="eastAsia"/>
                      <w:color w:val="auto"/>
                    </w:rPr>
                    <w:t>《工业企业厂界环境噪声排放标准》（GB12348-2008）中的3类标准限值</w:t>
                  </w:r>
                </w:p>
              </w:tc>
            </w:tr>
          </w:tbl>
          <w:p w14:paraId="169953E1">
            <w:pPr>
              <w:spacing w:line="500" w:lineRule="exact"/>
              <w:ind w:firstLine="482" w:firstLineChars="200"/>
              <w:rPr>
                <w:b/>
                <w:bCs/>
                <w:color w:val="auto"/>
                <w:lang w:bidi="ar"/>
              </w:rPr>
            </w:pPr>
            <w:r>
              <w:rPr>
                <w:rFonts w:hint="eastAsia"/>
                <w:b/>
                <w:bCs/>
                <w:color w:val="auto"/>
                <w:lang w:bidi="ar"/>
              </w:rPr>
              <w:t>4、固体废物环境影响和保护措施</w:t>
            </w:r>
          </w:p>
          <w:p w14:paraId="7DEADA41">
            <w:pPr>
              <w:tabs>
                <w:tab w:val="left" w:pos="0"/>
              </w:tabs>
              <w:spacing w:line="500" w:lineRule="exact"/>
              <w:ind w:firstLine="482" w:firstLineChars="200"/>
              <w:outlineLvl w:val="0"/>
              <w:rPr>
                <w:color w:val="auto"/>
              </w:rPr>
            </w:pPr>
            <w:r>
              <w:rPr>
                <w:rFonts w:hint="eastAsia"/>
                <w:b/>
                <w:bCs/>
                <w:color w:val="auto"/>
              </w:rPr>
              <w:t>4.1固体废物产生及处置情况</w:t>
            </w:r>
          </w:p>
          <w:p w14:paraId="4076E7CD">
            <w:pPr>
              <w:tabs>
                <w:tab w:val="left" w:pos="0"/>
              </w:tabs>
              <w:spacing w:line="500" w:lineRule="exact"/>
              <w:ind w:firstLine="480" w:firstLineChars="200"/>
              <w:outlineLvl w:val="0"/>
              <w:rPr>
                <w:color w:val="auto"/>
              </w:rPr>
            </w:pPr>
            <w:r>
              <w:rPr>
                <w:rFonts w:hint="eastAsia"/>
                <w:color w:val="auto"/>
              </w:rPr>
              <w:t>本项目固体废物包括车辆维修产生的废机油、废制动液、废铅酸蓄电池、废机滤等危废，污水处理系统产生的废油</w:t>
            </w:r>
            <w:r>
              <w:rPr>
                <w:rFonts w:hint="eastAsia"/>
                <w:color w:val="auto"/>
                <w:lang w:eastAsia="zh-CN"/>
              </w:rPr>
              <w:t>、</w:t>
            </w:r>
            <w:r>
              <w:rPr>
                <w:rFonts w:hint="eastAsia"/>
                <w:color w:val="auto"/>
              </w:rPr>
              <w:t>污泥</w:t>
            </w:r>
            <w:r>
              <w:rPr>
                <w:rFonts w:hint="eastAsia"/>
                <w:color w:val="auto"/>
                <w:lang w:val="en-US" w:eastAsia="zh-CN"/>
              </w:rPr>
              <w:t>及废膜</w:t>
            </w:r>
            <w:r>
              <w:rPr>
                <w:rFonts w:hint="eastAsia"/>
                <w:color w:val="auto"/>
              </w:rPr>
              <w:t>等危废，</w:t>
            </w:r>
            <w:r>
              <w:rPr>
                <w:rFonts w:hint="eastAsia"/>
                <w:color w:val="auto"/>
                <w:lang w:val="en-US" w:eastAsia="zh-CN"/>
              </w:rPr>
              <w:t>非磁性物质</w:t>
            </w:r>
            <w:r>
              <w:rPr>
                <w:rFonts w:hint="eastAsia"/>
                <w:color w:val="auto"/>
              </w:rPr>
              <w:t>、废零部件、除尘器收集粉尘等一般固废及生活垃圾。</w:t>
            </w:r>
          </w:p>
          <w:p w14:paraId="636909D9">
            <w:pPr>
              <w:tabs>
                <w:tab w:val="left" w:pos="0"/>
              </w:tabs>
              <w:spacing w:line="500" w:lineRule="exact"/>
              <w:ind w:firstLine="480" w:firstLineChars="200"/>
              <w:outlineLvl w:val="0"/>
              <w:rPr>
                <w:color w:val="auto"/>
              </w:rPr>
            </w:pPr>
            <w:r>
              <w:rPr>
                <w:rFonts w:hint="eastAsia"/>
                <w:color w:val="auto"/>
              </w:rPr>
              <w:t>（1）危险废物</w:t>
            </w:r>
          </w:p>
          <w:p w14:paraId="1FB21B02">
            <w:pPr>
              <w:tabs>
                <w:tab w:val="left" w:pos="0"/>
              </w:tabs>
              <w:spacing w:line="500" w:lineRule="exact"/>
              <w:ind w:firstLine="480" w:firstLineChars="200"/>
              <w:outlineLvl w:val="0"/>
              <w:rPr>
                <w:color w:val="auto"/>
              </w:rPr>
            </w:pPr>
            <w:r>
              <w:rPr>
                <w:rFonts w:hint="eastAsia"/>
                <w:color w:val="auto"/>
              </w:rPr>
              <w:t>①车辆维修产生的危废</w:t>
            </w:r>
          </w:p>
          <w:p w14:paraId="5E4D7520">
            <w:pPr>
              <w:tabs>
                <w:tab w:val="left" w:pos="0"/>
              </w:tabs>
              <w:spacing w:line="500" w:lineRule="exact"/>
              <w:ind w:firstLine="480" w:firstLineChars="200"/>
              <w:outlineLvl w:val="0"/>
              <w:rPr>
                <w:color w:val="auto"/>
              </w:rPr>
            </w:pPr>
            <w:r>
              <w:rPr>
                <w:rFonts w:hint="eastAsia"/>
                <w:color w:val="auto"/>
              </w:rPr>
              <w:t>车辆维修过程中会产生一定量废机油、废制动液、废铅酸蓄电池、废机滤等危废。根据同类型行业对比，危废产生量分别为废机油：</w:t>
            </w:r>
            <w:r>
              <w:rPr>
                <w:rFonts w:hint="eastAsia"/>
                <w:color w:val="auto"/>
                <w:lang w:val="en-US" w:eastAsia="zh-CN"/>
              </w:rPr>
              <w:t>2</w:t>
            </w:r>
            <w:r>
              <w:rPr>
                <w:rFonts w:hint="eastAsia"/>
                <w:color w:val="auto"/>
              </w:rPr>
              <w:t>t/a、废制动液：</w:t>
            </w:r>
            <w:r>
              <w:rPr>
                <w:rFonts w:hint="eastAsia"/>
                <w:color w:val="auto"/>
                <w:lang w:val="en-US" w:eastAsia="zh-CN"/>
              </w:rPr>
              <w:t>0.2</w:t>
            </w:r>
            <w:r>
              <w:rPr>
                <w:rFonts w:hint="eastAsia"/>
                <w:color w:val="auto"/>
              </w:rPr>
              <w:t>t/a、废铅酸蓄电池</w:t>
            </w:r>
            <w:r>
              <w:rPr>
                <w:rFonts w:hint="eastAsia"/>
                <w:color w:val="auto"/>
                <w:lang w:val="en-US" w:eastAsia="zh-CN"/>
              </w:rPr>
              <w:t>1.5</w:t>
            </w:r>
            <w:r>
              <w:rPr>
                <w:rFonts w:hint="eastAsia"/>
                <w:color w:val="auto"/>
              </w:rPr>
              <w:t>t/a、废机滤</w:t>
            </w:r>
            <w:r>
              <w:rPr>
                <w:rFonts w:hint="eastAsia"/>
                <w:color w:val="auto"/>
                <w:lang w:val="en-US" w:eastAsia="zh-CN"/>
              </w:rPr>
              <w:t>0.5</w:t>
            </w:r>
            <w:r>
              <w:rPr>
                <w:rFonts w:hint="eastAsia"/>
                <w:color w:val="auto"/>
              </w:rPr>
              <w:t>t/a。根据《国家危险废物名录（2025版）》，废机油、废制动液危废类别为HW08、废物代码为900-214-08；废铅酸蓄电池危废类别为HW31、废物代码为900-052-31；废机滤危废类别为HW49、废物代码为900-041-49。</w:t>
            </w:r>
          </w:p>
          <w:p w14:paraId="2BFA10CD">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480" w:firstLineChars="200"/>
              <w:textAlignment w:val="auto"/>
              <w:outlineLvl w:val="0"/>
              <w:rPr>
                <w:color w:val="auto"/>
              </w:rPr>
            </w:pPr>
            <w:r>
              <w:rPr>
                <w:rFonts w:hint="eastAsia"/>
                <w:color w:val="auto"/>
              </w:rPr>
              <w:t>②污水处理系统产生的危废</w:t>
            </w:r>
          </w:p>
          <w:p w14:paraId="4DA4597C">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480" w:firstLineChars="200"/>
              <w:textAlignment w:val="auto"/>
              <w:outlineLvl w:val="0"/>
              <w:rPr>
                <w:color w:val="auto"/>
              </w:rPr>
            </w:pPr>
            <w:r>
              <w:rPr>
                <w:rFonts w:hint="eastAsia"/>
                <w:color w:val="auto"/>
              </w:rPr>
              <w:t>污水处理系统隔油和沉淀产生废油及污泥</w:t>
            </w:r>
            <w:r>
              <w:rPr>
                <w:rFonts w:hint="eastAsia"/>
                <w:color w:val="auto"/>
                <w:lang w:val="en-US" w:eastAsia="zh-CN"/>
              </w:rPr>
              <w:t>，均属于危废</w:t>
            </w:r>
            <w:r>
              <w:rPr>
                <w:rFonts w:hint="eastAsia"/>
                <w:color w:val="auto"/>
              </w:rPr>
              <w:t>。经计算，废油产生量</w:t>
            </w:r>
            <w:r>
              <w:rPr>
                <w:rFonts w:hint="eastAsia"/>
                <w:color w:val="auto"/>
                <w:lang w:val="en-US" w:eastAsia="zh-CN"/>
              </w:rPr>
              <w:t>约</w:t>
            </w:r>
            <w:r>
              <w:rPr>
                <w:rFonts w:hint="eastAsia"/>
                <w:color w:val="auto"/>
              </w:rPr>
              <w:t>0.</w:t>
            </w:r>
            <w:r>
              <w:rPr>
                <w:rFonts w:hint="eastAsia"/>
                <w:color w:val="auto"/>
                <w:lang w:val="en-US" w:eastAsia="zh-CN"/>
              </w:rPr>
              <w:t>73</w:t>
            </w:r>
            <w:r>
              <w:rPr>
                <w:rFonts w:hint="eastAsia"/>
                <w:color w:val="auto"/>
              </w:rPr>
              <w:t>t/a，污泥产生量</w:t>
            </w:r>
            <w:r>
              <w:rPr>
                <w:rFonts w:hint="eastAsia"/>
                <w:color w:val="auto"/>
                <w:lang w:val="en-US" w:eastAsia="zh-CN"/>
              </w:rPr>
              <w:t>约4.0</w:t>
            </w:r>
            <w:r>
              <w:rPr>
                <w:rFonts w:hint="eastAsia"/>
                <w:color w:val="auto"/>
              </w:rPr>
              <w:t>t/a。废油、污泥危废类别均为HW08、废物代码均为900-210-08</w:t>
            </w:r>
            <w:r>
              <w:rPr>
                <w:rFonts w:hint="eastAsia"/>
                <w:color w:val="auto"/>
                <w:lang w:eastAsia="zh-CN"/>
              </w:rPr>
              <w:t>，</w:t>
            </w:r>
            <w:r>
              <w:rPr>
                <w:rFonts w:hint="eastAsia"/>
                <w:color w:val="auto"/>
                <w:lang w:val="en-US" w:eastAsia="zh-CN"/>
              </w:rPr>
              <w:t>废膜危废类别为HW49、废物代码为900-041-49</w:t>
            </w:r>
            <w:r>
              <w:rPr>
                <w:rFonts w:hint="eastAsia"/>
                <w:color w:val="auto"/>
              </w:rPr>
              <w:t>。</w:t>
            </w:r>
          </w:p>
          <w:p w14:paraId="1D1FA9FD">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480" w:firstLineChars="200"/>
              <w:textAlignment w:val="auto"/>
              <w:outlineLvl w:val="0"/>
              <w:rPr>
                <w:color w:val="auto"/>
              </w:rPr>
            </w:pPr>
            <w:r>
              <w:rPr>
                <w:rFonts w:hint="eastAsia"/>
                <w:color w:val="auto"/>
              </w:rPr>
              <w:t>厂区内设1座</w:t>
            </w:r>
            <w:r>
              <w:rPr>
                <w:rFonts w:hint="eastAsia"/>
                <w:color w:val="auto"/>
                <w:lang w:val="en-US" w:eastAsia="zh-CN"/>
              </w:rPr>
              <w:t>50</w:t>
            </w:r>
            <w:r>
              <w:rPr>
                <w:rFonts w:hint="eastAsia"/>
                <w:color w:val="auto"/>
              </w:rPr>
              <w:t>m</w:t>
            </w:r>
            <w:r>
              <w:rPr>
                <w:rFonts w:hint="eastAsia"/>
                <w:color w:val="auto"/>
                <w:vertAlign w:val="superscript"/>
              </w:rPr>
              <w:t>2</w:t>
            </w:r>
            <w:r>
              <w:rPr>
                <w:rFonts w:hint="eastAsia"/>
                <w:color w:val="auto"/>
              </w:rPr>
              <w:t>危废暂存库，废机油、废制动液、废铅酸蓄电池、废机滤、废油、污泥</w:t>
            </w:r>
            <w:r>
              <w:rPr>
                <w:rFonts w:hint="eastAsia"/>
                <w:color w:val="auto"/>
                <w:lang w:eastAsia="zh-CN"/>
              </w:rPr>
              <w:t>、</w:t>
            </w:r>
            <w:r>
              <w:rPr>
                <w:rFonts w:hint="eastAsia"/>
                <w:color w:val="auto"/>
                <w:lang w:val="en-US" w:eastAsia="zh-CN"/>
              </w:rPr>
              <w:t>废膜</w:t>
            </w:r>
            <w:r>
              <w:rPr>
                <w:rFonts w:hint="eastAsia"/>
                <w:color w:val="auto"/>
              </w:rPr>
              <w:t>分类暂存于危废库，定期交由有资质单位处置。</w:t>
            </w:r>
          </w:p>
          <w:p w14:paraId="4F26609D">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480" w:firstLineChars="200"/>
              <w:textAlignment w:val="auto"/>
              <w:outlineLvl w:val="0"/>
              <w:rPr>
                <w:color w:val="auto"/>
              </w:rPr>
            </w:pPr>
            <w:r>
              <w:rPr>
                <w:rFonts w:hint="eastAsia"/>
                <w:color w:val="auto"/>
              </w:rPr>
              <w:t>（2）废零部件</w:t>
            </w:r>
          </w:p>
          <w:p w14:paraId="023BDA4F">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480" w:firstLineChars="200"/>
              <w:textAlignment w:val="auto"/>
              <w:outlineLvl w:val="0"/>
              <w:rPr>
                <w:color w:val="auto"/>
              </w:rPr>
            </w:pPr>
            <w:r>
              <w:rPr>
                <w:color w:val="auto"/>
              </w:rPr>
              <w:t>车辆维修过程中产生废轮胎、废部件等废零部件，</w:t>
            </w:r>
            <w:r>
              <w:rPr>
                <w:rFonts w:hint="eastAsia"/>
                <w:color w:val="auto"/>
              </w:rPr>
              <w:t>产生量约</w:t>
            </w:r>
            <w:r>
              <w:rPr>
                <w:rFonts w:hint="eastAsia"/>
                <w:color w:val="auto"/>
                <w:lang w:val="en-US" w:eastAsia="zh-CN"/>
              </w:rPr>
              <w:t>2</w:t>
            </w:r>
            <w:r>
              <w:rPr>
                <w:rFonts w:hint="eastAsia"/>
                <w:color w:val="auto"/>
              </w:rPr>
              <w:t>t/a，其中沾染油污的废零部件约占20%，产生量为</w:t>
            </w:r>
            <w:r>
              <w:rPr>
                <w:rFonts w:hint="eastAsia"/>
                <w:color w:val="auto"/>
                <w:lang w:val="en-US" w:eastAsia="zh-CN"/>
              </w:rPr>
              <w:t>0.4</w:t>
            </w:r>
            <w:r>
              <w:rPr>
                <w:rFonts w:hint="eastAsia"/>
                <w:color w:val="auto"/>
              </w:rPr>
              <w:t>t/a，暂存于危废库，定期交由有资质单位处置。根据《国家危险废物名录（2025版）》，沾染油污的废零部件危废类别为HW49、废物代码为900-041-49。</w:t>
            </w:r>
          </w:p>
          <w:p w14:paraId="5513DB21">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480" w:firstLineChars="200"/>
              <w:textAlignment w:val="auto"/>
              <w:outlineLvl w:val="0"/>
              <w:rPr>
                <w:color w:val="auto"/>
              </w:rPr>
            </w:pPr>
            <w:r>
              <w:rPr>
                <w:rFonts w:hint="eastAsia"/>
                <w:color w:val="auto"/>
              </w:rPr>
              <w:t>未沾染油污的废零部件产生量为1</w:t>
            </w:r>
            <w:r>
              <w:rPr>
                <w:rFonts w:hint="eastAsia"/>
                <w:color w:val="auto"/>
                <w:lang w:val="en-US" w:eastAsia="zh-CN"/>
              </w:rPr>
              <w:t>.</w:t>
            </w:r>
            <w:r>
              <w:rPr>
                <w:rFonts w:hint="eastAsia"/>
                <w:color w:val="auto"/>
              </w:rPr>
              <w:t>6t/a，暂存于一般固废暂存间</w:t>
            </w:r>
            <w:r>
              <w:rPr>
                <w:rFonts w:hint="eastAsia"/>
                <w:color w:val="auto"/>
                <w:lang w:eastAsia="zh-CN"/>
              </w:rPr>
              <w:t>（</w:t>
            </w:r>
            <w:r>
              <w:rPr>
                <w:rFonts w:hint="eastAsia"/>
                <w:color w:val="auto"/>
              </w:rPr>
              <w:t>20m</w:t>
            </w:r>
            <w:r>
              <w:rPr>
                <w:rFonts w:hint="eastAsia"/>
                <w:color w:val="auto"/>
                <w:vertAlign w:val="superscript"/>
              </w:rPr>
              <w:t>2</w:t>
            </w:r>
            <w:r>
              <w:rPr>
                <w:rFonts w:hint="eastAsia"/>
                <w:color w:val="auto"/>
                <w:lang w:eastAsia="zh-CN"/>
              </w:rPr>
              <w:t>）</w:t>
            </w:r>
            <w:r>
              <w:rPr>
                <w:rFonts w:hint="eastAsia"/>
                <w:color w:val="auto"/>
              </w:rPr>
              <w:t>，</w:t>
            </w:r>
            <w:r>
              <w:rPr>
                <w:color w:val="auto"/>
              </w:rPr>
              <w:t>收集后外售废品回收公司综合利用</w:t>
            </w:r>
            <w:r>
              <w:rPr>
                <w:rFonts w:hint="eastAsia"/>
                <w:color w:val="auto"/>
              </w:rPr>
              <w:t>。</w:t>
            </w:r>
          </w:p>
          <w:p w14:paraId="4466A927">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480" w:firstLineChars="200"/>
              <w:textAlignment w:val="auto"/>
              <w:outlineLvl w:val="0"/>
              <w:rPr>
                <w:color w:val="auto"/>
              </w:rPr>
            </w:pPr>
            <w:r>
              <w:rPr>
                <w:rFonts w:hint="eastAsia"/>
                <w:color w:val="auto"/>
              </w:rPr>
              <w:t>（3）非磁性物质</w:t>
            </w:r>
          </w:p>
          <w:p w14:paraId="65704C84">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480" w:firstLineChars="200"/>
              <w:textAlignment w:val="auto"/>
              <w:outlineLvl w:val="0"/>
              <w:rPr>
                <w:color w:val="auto"/>
              </w:rPr>
            </w:pPr>
            <w:r>
              <w:rPr>
                <w:color w:val="auto"/>
              </w:rPr>
              <w:t>废钢磁选过程</w:t>
            </w:r>
            <w:r>
              <w:rPr>
                <w:rFonts w:hint="eastAsia"/>
                <w:color w:val="auto"/>
              </w:rPr>
              <w:t>会</w:t>
            </w:r>
            <w:r>
              <w:rPr>
                <w:color w:val="auto"/>
              </w:rPr>
              <w:t>产生</w:t>
            </w:r>
            <w:r>
              <w:rPr>
                <w:rFonts w:hint="eastAsia"/>
                <w:color w:val="auto"/>
                <w:lang w:val="en-US" w:eastAsia="zh-CN"/>
              </w:rPr>
              <w:t>约0.2%的</w:t>
            </w:r>
            <w:r>
              <w:rPr>
                <w:color w:val="auto"/>
              </w:rPr>
              <w:t>非磁</w:t>
            </w:r>
            <w:r>
              <w:rPr>
                <w:rFonts w:hint="eastAsia"/>
                <w:color w:val="auto"/>
              </w:rPr>
              <w:t>性物质</w:t>
            </w:r>
            <w:r>
              <w:rPr>
                <w:color w:val="auto"/>
              </w:rPr>
              <w:t>，</w:t>
            </w:r>
            <w:r>
              <w:rPr>
                <w:rFonts w:hint="eastAsia"/>
                <w:color w:val="auto"/>
              </w:rPr>
              <w:t>主要成分为非金属杂质及非铁金属，产生量约</w:t>
            </w:r>
            <w:r>
              <w:rPr>
                <w:rFonts w:hint="eastAsia"/>
                <w:color w:val="auto"/>
                <w:lang w:val="en-US" w:eastAsia="zh-CN"/>
              </w:rPr>
              <w:t>2000</w:t>
            </w:r>
            <w:r>
              <w:rPr>
                <w:rFonts w:hint="eastAsia"/>
                <w:color w:val="auto"/>
              </w:rPr>
              <w:t>t/a。非磁性物质暂存于</w:t>
            </w:r>
            <w:r>
              <w:rPr>
                <w:rFonts w:hint="eastAsia"/>
                <w:color w:val="auto"/>
                <w:lang w:val="en-US" w:eastAsia="zh-CN"/>
              </w:rPr>
              <w:t>废钢储存库房</w:t>
            </w:r>
            <w:r>
              <w:rPr>
                <w:rFonts w:hint="eastAsia"/>
                <w:color w:val="auto"/>
              </w:rPr>
              <w:t>，收</w:t>
            </w:r>
            <w:r>
              <w:rPr>
                <w:color w:val="auto"/>
              </w:rPr>
              <w:t>集后外售废品回收公司综合利用</w:t>
            </w:r>
            <w:r>
              <w:rPr>
                <w:rFonts w:hint="eastAsia"/>
                <w:color w:val="auto"/>
              </w:rPr>
              <w:t>。</w:t>
            </w:r>
          </w:p>
          <w:p w14:paraId="2E2DFC5E">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480" w:firstLineChars="200"/>
              <w:textAlignment w:val="auto"/>
              <w:outlineLvl w:val="0"/>
              <w:rPr>
                <w:color w:val="auto"/>
              </w:rPr>
            </w:pPr>
            <w:r>
              <w:rPr>
                <w:rFonts w:hint="eastAsia"/>
                <w:color w:val="auto"/>
              </w:rPr>
              <w:t>（4）除尘器收集粉尘</w:t>
            </w:r>
          </w:p>
          <w:p w14:paraId="6079DCE4">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480" w:firstLineChars="200"/>
              <w:textAlignment w:val="auto"/>
              <w:outlineLvl w:val="0"/>
              <w:rPr>
                <w:color w:val="auto"/>
              </w:rPr>
            </w:pPr>
            <w:r>
              <w:rPr>
                <w:rFonts w:hint="eastAsia"/>
                <w:color w:val="auto"/>
              </w:rPr>
              <w:t>破碎、剪切粉尘采用布袋除尘器处理，除尘器收集粉尘量为</w:t>
            </w:r>
            <w:r>
              <w:rPr>
                <w:rFonts w:hint="eastAsia"/>
                <w:color w:val="auto"/>
                <w:lang w:val="en-US" w:eastAsia="zh-CN"/>
              </w:rPr>
              <w:t>225.65</w:t>
            </w:r>
            <w:r>
              <w:rPr>
                <w:rFonts w:hint="eastAsia"/>
                <w:color w:val="auto"/>
              </w:rPr>
              <w:t>t/a，</w:t>
            </w:r>
            <w:r>
              <w:rPr>
                <w:rFonts w:hint="eastAsia"/>
                <w:color w:val="0000FF"/>
              </w:rPr>
              <w:t>收集后</w:t>
            </w:r>
            <w:r>
              <w:rPr>
                <w:rFonts w:hint="eastAsia"/>
                <w:color w:val="0000FF"/>
                <w:lang w:val="en-US" w:eastAsia="zh-CN"/>
              </w:rPr>
              <w:t>作为产品外售</w:t>
            </w:r>
            <w:r>
              <w:rPr>
                <w:rFonts w:hint="eastAsia"/>
                <w:color w:val="auto"/>
              </w:rPr>
              <w:t>。</w:t>
            </w:r>
          </w:p>
          <w:p w14:paraId="4319F589">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480" w:firstLineChars="200"/>
              <w:textAlignment w:val="auto"/>
              <w:outlineLvl w:val="0"/>
              <w:rPr>
                <w:color w:val="auto"/>
              </w:rPr>
            </w:pPr>
            <w:r>
              <w:rPr>
                <w:rFonts w:hint="eastAsia"/>
                <w:color w:val="auto"/>
              </w:rPr>
              <w:t>（5）生活垃圾</w:t>
            </w:r>
          </w:p>
          <w:p w14:paraId="320F830B">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480" w:firstLineChars="200"/>
              <w:textAlignment w:val="auto"/>
              <w:outlineLvl w:val="0"/>
              <w:rPr>
                <w:color w:val="auto"/>
              </w:rPr>
            </w:pPr>
            <w:r>
              <w:rPr>
                <w:rFonts w:hint="eastAsia"/>
                <w:color w:val="auto"/>
              </w:rPr>
              <w:t>本项目建成后劳动定员70人，生活垃圾垃圾产生量按 0.5kg/人·d计，生活垃圾产生量约为35kg/d（10.5t/a）。生活垃圾收集后由当地环卫部门统一清运。</w:t>
            </w:r>
          </w:p>
          <w:p w14:paraId="780D0C14">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480" w:firstLineChars="200"/>
              <w:textAlignment w:val="auto"/>
              <w:outlineLvl w:val="0"/>
              <w:rPr>
                <w:rFonts w:hint="eastAsia"/>
                <w:color w:val="auto"/>
              </w:rPr>
            </w:pPr>
            <w:r>
              <w:rPr>
                <w:rFonts w:hint="eastAsia"/>
                <w:color w:val="auto"/>
              </w:rPr>
              <w:t>本项目运营期固废产生情况见下表：</w:t>
            </w:r>
          </w:p>
          <w:p w14:paraId="7A901286">
            <w:pPr>
              <w:spacing w:line="500" w:lineRule="exact"/>
              <w:jc w:val="center"/>
              <w:rPr>
                <w:rFonts w:cs="宋体"/>
                <w:b/>
                <w:bCs/>
                <w:color w:val="auto"/>
                <w:lang w:bidi="ar"/>
              </w:rPr>
            </w:pPr>
            <w:r>
              <w:rPr>
                <w:rFonts w:cs="宋体"/>
                <w:b/>
                <w:bCs/>
                <w:color w:val="auto"/>
                <w:lang w:bidi="ar"/>
              </w:rPr>
              <w:t>表</w:t>
            </w:r>
            <w:r>
              <w:rPr>
                <w:rFonts w:hint="eastAsia" w:cs="宋体"/>
                <w:b/>
                <w:bCs/>
                <w:color w:val="auto"/>
                <w:lang w:bidi="ar"/>
              </w:rPr>
              <w:t>4-1</w:t>
            </w:r>
            <w:r>
              <w:rPr>
                <w:rFonts w:hint="eastAsia" w:cs="宋体"/>
                <w:b/>
                <w:bCs/>
                <w:color w:val="auto"/>
                <w:lang w:val="en-US" w:eastAsia="zh-CN" w:bidi="ar"/>
              </w:rPr>
              <w:t>2</w:t>
            </w:r>
            <w:r>
              <w:rPr>
                <w:rFonts w:cs="宋体"/>
                <w:b/>
                <w:bCs/>
                <w:color w:val="auto"/>
                <w:lang w:bidi="ar"/>
              </w:rPr>
              <w:t xml:space="preserve">  项目固废产生情况汇总表</w:t>
            </w:r>
          </w:p>
          <w:tbl>
            <w:tblPr>
              <w:tblStyle w:val="25"/>
              <w:tblW w:w="4955"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64"/>
              <w:gridCol w:w="654"/>
              <w:gridCol w:w="352"/>
              <w:gridCol w:w="529"/>
              <w:gridCol w:w="587"/>
              <w:gridCol w:w="876"/>
              <w:gridCol w:w="483"/>
              <w:gridCol w:w="634"/>
              <w:gridCol w:w="1110"/>
              <w:gridCol w:w="725"/>
              <w:gridCol w:w="2076"/>
            </w:tblGrid>
            <w:tr w14:paraId="0ADDB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83" w:hRule="atLeast"/>
                <w:jc w:val="center"/>
              </w:trPr>
              <w:tc>
                <w:tcPr>
                  <w:tcW w:w="553" w:type="pct"/>
                  <w:gridSpan w:val="2"/>
                  <w:vAlign w:val="center"/>
                </w:tcPr>
                <w:p w14:paraId="513F1DCB">
                  <w:pPr>
                    <w:pStyle w:val="96"/>
                    <w:spacing w:line="290" w:lineRule="exact"/>
                    <w:rPr>
                      <w:color w:val="auto"/>
                    </w:rPr>
                  </w:pPr>
                  <w:r>
                    <w:rPr>
                      <w:color w:val="auto"/>
                    </w:rPr>
                    <w:t>固废名称</w:t>
                  </w:r>
                </w:p>
              </w:tc>
              <w:tc>
                <w:tcPr>
                  <w:tcW w:w="212" w:type="pct"/>
                  <w:vAlign w:val="center"/>
                </w:tcPr>
                <w:p w14:paraId="7FA99E5F">
                  <w:pPr>
                    <w:pStyle w:val="96"/>
                    <w:spacing w:line="290" w:lineRule="exact"/>
                    <w:rPr>
                      <w:color w:val="auto"/>
                    </w:rPr>
                  </w:pPr>
                  <w:r>
                    <w:rPr>
                      <w:color w:val="auto"/>
                    </w:rPr>
                    <w:t>属性</w:t>
                  </w:r>
                </w:p>
              </w:tc>
              <w:tc>
                <w:tcPr>
                  <w:tcW w:w="319" w:type="pct"/>
                  <w:vAlign w:val="center"/>
                </w:tcPr>
                <w:p w14:paraId="03C123C6">
                  <w:pPr>
                    <w:pStyle w:val="96"/>
                    <w:spacing w:line="290" w:lineRule="exact"/>
                    <w:rPr>
                      <w:color w:val="auto"/>
                    </w:rPr>
                  </w:pPr>
                  <w:r>
                    <w:rPr>
                      <w:color w:val="auto"/>
                    </w:rPr>
                    <w:t>产生环节</w:t>
                  </w:r>
                </w:p>
              </w:tc>
              <w:tc>
                <w:tcPr>
                  <w:tcW w:w="354" w:type="pct"/>
                  <w:vAlign w:val="center"/>
                </w:tcPr>
                <w:p w14:paraId="03B8BA70">
                  <w:pPr>
                    <w:pStyle w:val="96"/>
                    <w:spacing w:line="290" w:lineRule="exact"/>
                    <w:rPr>
                      <w:color w:val="auto"/>
                    </w:rPr>
                  </w:pPr>
                  <w:r>
                    <w:rPr>
                      <w:color w:val="auto"/>
                    </w:rPr>
                    <w:t>物理性状</w:t>
                  </w:r>
                </w:p>
              </w:tc>
              <w:tc>
                <w:tcPr>
                  <w:tcW w:w="528" w:type="pct"/>
                  <w:vAlign w:val="center"/>
                </w:tcPr>
                <w:p w14:paraId="5445FDB7">
                  <w:pPr>
                    <w:pStyle w:val="96"/>
                    <w:spacing w:line="290" w:lineRule="exact"/>
                    <w:rPr>
                      <w:color w:val="auto"/>
                    </w:rPr>
                  </w:pPr>
                  <w:r>
                    <w:rPr>
                      <w:color w:val="auto"/>
                    </w:rPr>
                    <w:t>主要有毒有害物质名称</w:t>
                  </w:r>
                </w:p>
              </w:tc>
              <w:tc>
                <w:tcPr>
                  <w:tcW w:w="291" w:type="pct"/>
                  <w:vAlign w:val="center"/>
                </w:tcPr>
                <w:p w14:paraId="2F32F534">
                  <w:pPr>
                    <w:pStyle w:val="96"/>
                    <w:spacing w:line="290" w:lineRule="exact"/>
                    <w:rPr>
                      <w:color w:val="auto"/>
                    </w:rPr>
                  </w:pPr>
                  <w:r>
                    <w:rPr>
                      <w:color w:val="auto"/>
                    </w:rPr>
                    <w:t>危险特性</w:t>
                  </w:r>
                </w:p>
              </w:tc>
              <w:tc>
                <w:tcPr>
                  <w:tcW w:w="382" w:type="pct"/>
                  <w:vAlign w:val="center"/>
                </w:tcPr>
                <w:p w14:paraId="7F551D6F">
                  <w:pPr>
                    <w:pStyle w:val="96"/>
                    <w:spacing w:line="290" w:lineRule="exact"/>
                    <w:rPr>
                      <w:color w:val="auto"/>
                    </w:rPr>
                  </w:pPr>
                  <w:r>
                    <w:rPr>
                      <w:color w:val="auto"/>
                    </w:rPr>
                    <w:t>废物类别</w:t>
                  </w:r>
                </w:p>
              </w:tc>
              <w:tc>
                <w:tcPr>
                  <w:tcW w:w="669" w:type="pct"/>
                  <w:vAlign w:val="center"/>
                </w:tcPr>
                <w:p w14:paraId="19F14FEA">
                  <w:pPr>
                    <w:pStyle w:val="96"/>
                    <w:spacing w:line="290" w:lineRule="exact"/>
                    <w:rPr>
                      <w:color w:val="auto"/>
                    </w:rPr>
                  </w:pPr>
                  <w:r>
                    <w:rPr>
                      <w:color w:val="auto"/>
                    </w:rPr>
                    <w:t>废物代码</w:t>
                  </w:r>
                </w:p>
              </w:tc>
              <w:tc>
                <w:tcPr>
                  <w:tcW w:w="437" w:type="pct"/>
                  <w:vAlign w:val="center"/>
                </w:tcPr>
                <w:p w14:paraId="35056A43">
                  <w:pPr>
                    <w:pStyle w:val="96"/>
                    <w:spacing w:line="290" w:lineRule="exact"/>
                    <w:rPr>
                      <w:color w:val="auto"/>
                    </w:rPr>
                  </w:pPr>
                  <w:r>
                    <w:rPr>
                      <w:color w:val="auto"/>
                    </w:rPr>
                    <w:t>产生量</w:t>
                  </w:r>
                </w:p>
                <w:p w14:paraId="5F656F0D">
                  <w:pPr>
                    <w:pStyle w:val="96"/>
                    <w:spacing w:line="290" w:lineRule="exact"/>
                    <w:rPr>
                      <w:color w:val="auto"/>
                    </w:rPr>
                  </w:pPr>
                  <w:r>
                    <w:rPr>
                      <w:color w:val="auto"/>
                    </w:rPr>
                    <w:t>（t/a）</w:t>
                  </w:r>
                </w:p>
              </w:tc>
              <w:tc>
                <w:tcPr>
                  <w:tcW w:w="1251" w:type="pct"/>
                  <w:vAlign w:val="center"/>
                </w:tcPr>
                <w:p w14:paraId="0A310B8A">
                  <w:pPr>
                    <w:pStyle w:val="96"/>
                    <w:spacing w:line="290" w:lineRule="exact"/>
                    <w:rPr>
                      <w:color w:val="auto"/>
                    </w:rPr>
                  </w:pPr>
                  <w:r>
                    <w:rPr>
                      <w:color w:val="auto"/>
                    </w:rPr>
                    <w:t>利用处置方式或去向</w:t>
                  </w:r>
                </w:p>
              </w:tc>
            </w:tr>
            <w:tr w14:paraId="41B05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80" w:hRule="atLeast"/>
                <w:jc w:val="center"/>
              </w:trPr>
              <w:tc>
                <w:tcPr>
                  <w:tcW w:w="553" w:type="pct"/>
                  <w:gridSpan w:val="2"/>
                  <w:vAlign w:val="center"/>
                </w:tcPr>
                <w:p w14:paraId="2FD3FACF">
                  <w:pPr>
                    <w:pStyle w:val="96"/>
                    <w:spacing w:line="290" w:lineRule="exact"/>
                    <w:rPr>
                      <w:color w:val="auto"/>
                    </w:rPr>
                  </w:pPr>
                  <w:r>
                    <w:rPr>
                      <w:color w:val="auto"/>
                    </w:rPr>
                    <w:t>废机油</w:t>
                  </w:r>
                </w:p>
              </w:tc>
              <w:tc>
                <w:tcPr>
                  <w:tcW w:w="212" w:type="pct"/>
                  <w:vMerge w:val="restart"/>
                  <w:vAlign w:val="center"/>
                </w:tcPr>
                <w:p w14:paraId="4AF16078">
                  <w:pPr>
                    <w:pStyle w:val="96"/>
                    <w:spacing w:line="290" w:lineRule="exact"/>
                    <w:rPr>
                      <w:color w:val="auto"/>
                    </w:rPr>
                  </w:pPr>
                  <w:r>
                    <w:rPr>
                      <w:color w:val="auto"/>
                    </w:rPr>
                    <w:t>危废</w:t>
                  </w:r>
                </w:p>
              </w:tc>
              <w:tc>
                <w:tcPr>
                  <w:tcW w:w="319" w:type="pct"/>
                  <w:vMerge w:val="restart"/>
                  <w:vAlign w:val="center"/>
                </w:tcPr>
                <w:p w14:paraId="2ABC1211">
                  <w:pPr>
                    <w:pStyle w:val="96"/>
                    <w:spacing w:line="290" w:lineRule="exact"/>
                    <w:rPr>
                      <w:color w:val="auto"/>
                    </w:rPr>
                  </w:pPr>
                  <w:r>
                    <w:rPr>
                      <w:rFonts w:hint="eastAsia"/>
                      <w:color w:val="auto"/>
                    </w:rPr>
                    <w:t>卡车</w:t>
                  </w:r>
                  <w:r>
                    <w:rPr>
                      <w:color w:val="auto"/>
                    </w:rPr>
                    <w:t>维修</w:t>
                  </w:r>
                </w:p>
              </w:tc>
              <w:tc>
                <w:tcPr>
                  <w:tcW w:w="354" w:type="pct"/>
                  <w:vAlign w:val="center"/>
                </w:tcPr>
                <w:p w14:paraId="4A691495">
                  <w:pPr>
                    <w:pStyle w:val="96"/>
                    <w:spacing w:line="290" w:lineRule="exact"/>
                    <w:rPr>
                      <w:color w:val="auto"/>
                    </w:rPr>
                  </w:pPr>
                  <w:r>
                    <w:rPr>
                      <w:color w:val="auto"/>
                    </w:rPr>
                    <w:t>液</w:t>
                  </w:r>
                </w:p>
              </w:tc>
              <w:tc>
                <w:tcPr>
                  <w:tcW w:w="528" w:type="pct"/>
                  <w:vAlign w:val="center"/>
                </w:tcPr>
                <w:p w14:paraId="4CD77E88">
                  <w:pPr>
                    <w:pStyle w:val="96"/>
                    <w:spacing w:line="290" w:lineRule="exact"/>
                    <w:rPr>
                      <w:color w:val="auto"/>
                    </w:rPr>
                  </w:pPr>
                  <w:r>
                    <w:rPr>
                      <w:color w:val="auto"/>
                    </w:rPr>
                    <w:t>油类</w:t>
                  </w:r>
                </w:p>
              </w:tc>
              <w:tc>
                <w:tcPr>
                  <w:tcW w:w="291" w:type="pct"/>
                  <w:vAlign w:val="center"/>
                </w:tcPr>
                <w:p w14:paraId="70AEF08E">
                  <w:pPr>
                    <w:adjustRightInd w:val="0"/>
                    <w:snapToGrid w:val="0"/>
                    <w:spacing w:line="290" w:lineRule="exact"/>
                    <w:jc w:val="center"/>
                    <w:rPr>
                      <w:color w:val="auto"/>
                      <w:sz w:val="21"/>
                      <w:szCs w:val="21"/>
                    </w:rPr>
                  </w:pPr>
                  <w:r>
                    <w:rPr>
                      <w:color w:val="auto"/>
                      <w:sz w:val="21"/>
                      <w:szCs w:val="21"/>
                    </w:rPr>
                    <w:t>T，I</w:t>
                  </w:r>
                </w:p>
              </w:tc>
              <w:tc>
                <w:tcPr>
                  <w:tcW w:w="382" w:type="pct"/>
                  <w:vAlign w:val="center"/>
                </w:tcPr>
                <w:p w14:paraId="1BE40904">
                  <w:pPr>
                    <w:adjustRightInd w:val="0"/>
                    <w:snapToGrid w:val="0"/>
                    <w:spacing w:line="290" w:lineRule="exact"/>
                    <w:jc w:val="center"/>
                    <w:rPr>
                      <w:color w:val="auto"/>
                      <w:sz w:val="21"/>
                      <w:szCs w:val="21"/>
                    </w:rPr>
                  </w:pPr>
                  <w:r>
                    <w:rPr>
                      <w:color w:val="auto"/>
                      <w:sz w:val="21"/>
                      <w:szCs w:val="21"/>
                    </w:rPr>
                    <w:t>HW08</w:t>
                  </w:r>
                </w:p>
              </w:tc>
              <w:tc>
                <w:tcPr>
                  <w:tcW w:w="669" w:type="pct"/>
                  <w:vAlign w:val="center"/>
                </w:tcPr>
                <w:p w14:paraId="4FCDFA01">
                  <w:pPr>
                    <w:adjustRightInd w:val="0"/>
                    <w:snapToGrid w:val="0"/>
                    <w:spacing w:line="290" w:lineRule="exact"/>
                    <w:jc w:val="center"/>
                    <w:rPr>
                      <w:color w:val="auto"/>
                      <w:sz w:val="21"/>
                      <w:szCs w:val="21"/>
                    </w:rPr>
                  </w:pPr>
                  <w:r>
                    <w:rPr>
                      <w:color w:val="auto"/>
                      <w:sz w:val="21"/>
                      <w:szCs w:val="21"/>
                    </w:rPr>
                    <w:t>900-214-08</w:t>
                  </w:r>
                </w:p>
              </w:tc>
              <w:tc>
                <w:tcPr>
                  <w:tcW w:w="437" w:type="pct"/>
                  <w:vAlign w:val="center"/>
                </w:tcPr>
                <w:p w14:paraId="5C64AD7A">
                  <w:pPr>
                    <w:pStyle w:val="96"/>
                    <w:spacing w:line="290" w:lineRule="exact"/>
                    <w:rPr>
                      <w:rFonts w:hint="eastAsia" w:eastAsia="宋体"/>
                      <w:color w:val="auto"/>
                      <w:lang w:eastAsia="zh-CN"/>
                    </w:rPr>
                  </w:pPr>
                  <w:r>
                    <w:rPr>
                      <w:rFonts w:hint="eastAsia"/>
                      <w:color w:val="auto"/>
                      <w:lang w:val="en-US" w:eastAsia="zh-CN"/>
                    </w:rPr>
                    <w:t>2</w:t>
                  </w:r>
                </w:p>
              </w:tc>
              <w:tc>
                <w:tcPr>
                  <w:tcW w:w="1251" w:type="pct"/>
                  <w:vMerge w:val="restart"/>
                  <w:vAlign w:val="center"/>
                </w:tcPr>
                <w:p w14:paraId="1C79AEDB">
                  <w:pPr>
                    <w:pStyle w:val="96"/>
                    <w:spacing w:line="290" w:lineRule="exact"/>
                    <w:rPr>
                      <w:color w:val="auto"/>
                    </w:rPr>
                  </w:pPr>
                  <w:r>
                    <w:rPr>
                      <w:rFonts w:hint="eastAsia"/>
                      <w:color w:val="auto"/>
                    </w:rPr>
                    <w:t>分类暂存于危废库（</w:t>
                  </w:r>
                  <w:r>
                    <w:rPr>
                      <w:rFonts w:hint="eastAsia"/>
                      <w:color w:val="auto"/>
                      <w:lang w:val="en-US" w:eastAsia="zh-CN"/>
                    </w:rPr>
                    <w:t>50</w:t>
                  </w:r>
                  <w:r>
                    <w:rPr>
                      <w:rFonts w:hint="eastAsia"/>
                      <w:color w:val="auto"/>
                    </w:rPr>
                    <w:t>m</w:t>
                  </w:r>
                  <w:r>
                    <w:rPr>
                      <w:rFonts w:hint="eastAsia"/>
                      <w:color w:val="auto"/>
                      <w:vertAlign w:val="superscript"/>
                    </w:rPr>
                    <w:t>2</w:t>
                  </w:r>
                  <w:r>
                    <w:rPr>
                      <w:rFonts w:hint="eastAsia"/>
                      <w:color w:val="auto"/>
                    </w:rPr>
                    <w:t>），定期交由有资质单位处置</w:t>
                  </w:r>
                </w:p>
              </w:tc>
            </w:tr>
            <w:tr w14:paraId="38C90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0" w:hRule="atLeast"/>
                <w:jc w:val="center"/>
              </w:trPr>
              <w:tc>
                <w:tcPr>
                  <w:tcW w:w="553" w:type="pct"/>
                  <w:gridSpan w:val="2"/>
                  <w:vAlign w:val="center"/>
                </w:tcPr>
                <w:p w14:paraId="1B424BBB">
                  <w:pPr>
                    <w:pStyle w:val="96"/>
                    <w:spacing w:line="290" w:lineRule="exact"/>
                    <w:rPr>
                      <w:color w:val="auto"/>
                    </w:rPr>
                  </w:pPr>
                  <w:r>
                    <w:rPr>
                      <w:rFonts w:hint="eastAsia"/>
                      <w:color w:val="auto"/>
                    </w:rPr>
                    <w:t>废制动液</w:t>
                  </w:r>
                </w:p>
              </w:tc>
              <w:tc>
                <w:tcPr>
                  <w:tcW w:w="212" w:type="pct"/>
                  <w:vMerge w:val="continue"/>
                  <w:vAlign w:val="center"/>
                </w:tcPr>
                <w:p w14:paraId="6AE94A88">
                  <w:pPr>
                    <w:pStyle w:val="96"/>
                    <w:spacing w:line="290" w:lineRule="exact"/>
                    <w:rPr>
                      <w:color w:val="auto"/>
                    </w:rPr>
                  </w:pPr>
                </w:p>
              </w:tc>
              <w:tc>
                <w:tcPr>
                  <w:tcW w:w="319" w:type="pct"/>
                  <w:vMerge w:val="continue"/>
                  <w:vAlign w:val="center"/>
                </w:tcPr>
                <w:p w14:paraId="7FD7CDED">
                  <w:pPr>
                    <w:pStyle w:val="96"/>
                    <w:spacing w:line="290" w:lineRule="exact"/>
                    <w:rPr>
                      <w:color w:val="auto"/>
                    </w:rPr>
                  </w:pPr>
                </w:p>
              </w:tc>
              <w:tc>
                <w:tcPr>
                  <w:tcW w:w="354" w:type="pct"/>
                  <w:vAlign w:val="center"/>
                </w:tcPr>
                <w:p w14:paraId="42F38A3C">
                  <w:pPr>
                    <w:pStyle w:val="96"/>
                    <w:spacing w:line="290" w:lineRule="exact"/>
                    <w:rPr>
                      <w:color w:val="auto"/>
                    </w:rPr>
                  </w:pPr>
                  <w:r>
                    <w:rPr>
                      <w:color w:val="auto"/>
                    </w:rPr>
                    <w:t>液</w:t>
                  </w:r>
                </w:p>
              </w:tc>
              <w:tc>
                <w:tcPr>
                  <w:tcW w:w="528" w:type="pct"/>
                  <w:vAlign w:val="center"/>
                </w:tcPr>
                <w:p w14:paraId="77F0B061">
                  <w:pPr>
                    <w:pStyle w:val="96"/>
                    <w:spacing w:line="290" w:lineRule="exact"/>
                    <w:rPr>
                      <w:color w:val="auto"/>
                    </w:rPr>
                  </w:pPr>
                  <w:r>
                    <w:rPr>
                      <w:color w:val="auto"/>
                    </w:rPr>
                    <w:t>油类</w:t>
                  </w:r>
                </w:p>
              </w:tc>
              <w:tc>
                <w:tcPr>
                  <w:tcW w:w="291" w:type="pct"/>
                  <w:vAlign w:val="center"/>
                </w:tcPr>
                <w:p w14:paraId="09C717B3">
                  <w:pPr>
                    <w:adjustRightInd w:val="0"/>
                    <w:snapToGrid w:val="0"/>
                    <w:spacing w:line="290" w:lineRule="exact"/>
                    <w:jc w:val="center"/>
                    <w:rPr>
                      <w:color w:val="auto"/>
                      <w:sz w:val="21"/>
                      <w:szCs w:val="21"/>
                    </w:rPr>
                  </w:pPr>
                  <w:r>
                    <w:rPr>
                      <w:color w:val="auto"/>
                      <w:sz w:val="21"/>
                      <w:szCs w:val="21"/>
                    </w:rPr>
                    <w:t>T，I</w:t>
                  </w:r>
                </w:p>
              </w:tc>
              <w:tc>
                <w:tcPr>
                  <w:tcW w:w="382" w:type="pct"/>
                  <w:vAlign w:val="center"/>
                </w:tcPr>
                <w:p w14:paraId="07ADAD04">
                  <w:pPr>
                    <w:adjustRightInd w:val="0"/>
                    <w:snapToGrid w:val="0"/>
                    <w:spacing w:line="290" w:lineRule="exact"/>
                    <w:jc w:val="center"/>
                    <w:rPr>
                      <w:color w:val="auto"/>
                      <w:sz w:val="21"/>
                      <w:szCs w:val="21"/>
                    </w:rPr>
                  </w:pPr>
                  <w:r>
                    <w:rPr>
                      <w:color w:val="auto"/>
                      <w:sz w:val="21"/>
                      <w:szCs w:val="21"/>
                    </w:rPr>
                    <w:t>HW</w:t>
                  </w:r>
                  <w:r>
                    <w:rPr>
                      <w:rFonts w:hint="eastAsia"/>
                      <w:color w:val="auto"/>
                      <w:sz w:val="21"/>
                      <w:szCs w:val="21"/>
                    </w:rPr>
                    <w:t>08</w:t>
                  </w:r>
                </w:p>
              </w:tc>
              <w:tc>
                <w:tcPr>
                  <w:tcW w:w="669" w:type="pct"/>
                  <w:vAlign w:val="center"/>
                </w:tcPr>
                <w:p w14:paraId="721E70AC">
                  <w:pPr>
                    <w:adjustRightInd w:val="0"/>
                    <w:snapToGrid w:val="0"/>
                    <w:spacing w:line="290" w:lineRule="exact"/>
                    <w:jc w:val="center"/>
                    <w:rPr>
                      <w:color w:val="auto"/>
                      <w:sz w:val="21"/>
                      <w:szCs w:val="21"/>
                    </w:rPr>
                  </w:pPr>
                  <w:r>
                    <w:rPr>
                      <w:color w:val="auto"/>
                      <w:sz w:val="21"/>
                      <w:szCs w:val="21"/>
                    </w:rPr>
                    <w:t>900-214-08</w:t>
                  </w:r>
                </w:p>
              </w:tc>
              <w:tc>
                <w:tcPr>
                  <w:tcW w:w="437" w:type="pct"/>
                  <w:vAlign w:val="center"/>
                </w:tcPr>
                <w:p w14:paraId="34150B3B">
                  <w:pPr>
                    <w:pStyle w:val="96"/>
                    <w:spacing w:line="290" w:lineRule="exact"/>
                    <w:rPr>
                      <w:rFonts w:hint="default" w:eastAsia="宋体"/>
                      <w:color w:val="auto"/>
                      <w:lang w:val="en-US" w:eastAsia="zh-CN"/>
                    </w:rPr>
                  </w:pPr>
                  <w:r>
                    <w:rPr>
                      <w:rFonts w:hint="eastAsia"/>
                      <w:color w:val="auto"/>
                      <w:lang w:val="en-US" w:eastAsia="zh-CN"/>
                    </w:rPr>
                    <w:t>0.2</w:t>
                  </w:r>
                </w:p>
              </w:tc>
              <w:tc>
                <w:tcPr>
                  <w:tcW w:w="1251" w:type="pct"/>
                  <w:vMerge w:val="continue"/>
                  <w:vAlign w:val="center"/>
                </w:tcPr>
                <w:p w14:paraId="5E919DA7">
                  <w:pPr>
                    <w:pStyle w:val="96"/>
                    <w:spacing w:line="290" w:lineRule="exact"/>
                    <w:rPr>
                      <w:color w:val="auto"/>
                    </w:rPr>
                  </w:pPr>
                </w:p>
              </w:tc>
            </w:tr>
            <w:tr w14:paraId="30D22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0" w:hRule="atLeast"/>
                <w:jc w:val="center"/>
              </w:trPr>
              <w:tc>
                <w:tcPr>
                  <w:tcW w:w="553" w:type="pct"/>
                  <w:gridSpan w:val="2"/>
                  <w:vAlign w:val="center"/>
                </w:tcPr>
                <w:p w14:paraId="36269A9B">
                  <w:pPr>
                    <w:pStyle w:val="96"/>
                    <w:spacing w:line="290" w:lineRule="exact"/>
                    <w:rPr>
                      <w:color w:val="auto"/>
                    </w:rPr>
                  </w:pPr>
                  <w:r>
                    <w:rPr>
                      <w:rFonts w:hint="eastAsia"/>
                      <w:color w:val="auto"/>
                    </w:rPr>
                    <w:t>废铅酸蓄电池</w:t>
                  </w:r>
                </w:p>
              </w:tc>
              <w:tc>
                <w:tcPr>
                  <w:tcW w:w="212" w:type="pct"/>
                  <w:vMerge w:val="continue"/>
                  <w:vAlign w:val="center"/>
                </w:tcPr>
                <w:p w14:paraId="409A5B82">
                  <w:pPr>
                    <w:pStyle w:val="96"/>
                    <w:spacing w:line="290" w:lineRule="exact"/>
                    <w:rPr>
                      <w:color w:val="auto"/>
                    </w:rPr>
                  </w:pPr>
                </w:p>
              </w:tc>
              <w:tc>
                <w:tcPr>
                  <w:tcW w:w="319" w:type="pct"/>
                  <w:vMerge w:val="continue"/>
                  <w:vAlign w:val="center"/>
                </w:tcPr>
                <w:p w14:paraId="0542CC76">
                  <w:pPr>
                    <w:pStyle w:val="96"/>
                    <w:spacing w:line="290" w:lineRule="exact"/>
                    <w:rPr>
                      <w:color w:val="auto"/>
                    </w:rPr>
                  </w:pPr>
                </w:p>
              </w:tc>
              <w:tc>
                <w:tcPr>
                  <w:tcW w:w="354" w:type="pct"/>
                  <w:vAlign w:val="center"/>
                </w:tcPr>
                <w:p w14:paraId="607E0C75">
                  <w:pPr>
                    <w:pStyle w:val="96"/>
                    <w:spacing w:line="290" w:lineRule="exact"/>
                    <w:rPr>
                      <w:color w:val="auto"/>
                    </w:rPr>
                  </w:pPr>
                  <w:r>
                    <w:rPr>
                      <w:color w:val="auto"/>
                    </w:rPr>
                    <w:t>固</w:t>
                  </w:r>
                </w:p>
              </w:tc>
              <w:tc>
                <w:tcPr>
                  <w:tcW w:w="528" w:type="pct"/>
                  <w:vAlign w:val="center"/>
                </w:tcPr>
                <w:p w14:paraId="0EADB83E">
                  <w:pPr>
                    <w:pStyle w:val="96"/>
                    <w:spacing w:line="290" w:lineRule="exact"/>
                    <w:rPr>
                      <w:color w:val="auto"/>
                    </w:rPr>
                  </w:pPr>
                  <w:r>
                    <w:rPr>
                      <w:rFonts w:hint="eastAsia"/>
                      <w:color w:val="auto"/>
                    </w:rPr>
                    <w:t>铅</w:t>
                  </w:r>
                </w:p>
              </w:tc>
              <w:tc>
                <w:tcPr>
                  <w:tcW w:w="291" w:type="pct"/>
                  <w:vAlign w:val="center"/>
                </w:tcPr>
                <w:p w14:paraId="71F199DF">
                  <w:pPr>
                    <w:adjustRightInd w:val="0"/>
                    <w:snapToGrid w:val="0"/>
                    <w:spacing w:line="290" w:lineRule="exact"/>
                    <w:jc w:val="center"/>
                    <w:rPr>
                      <w:color w:val="auto"/>
                      <w:sz w:val="21"/>
                      <w:szCs w:val="21"/>
                    </w:rPr>
                  </w:pPr>
                  <w:r>
                    <w:rPr>
                      <w:color w:val="auto"/>
                      <w:sz w:val="21"/>
                      <w:szCs w:val="21"/>
                    </w:rPr>
                    <w:t>T，</w:t>
                  </w:r>
                  <w:r>
                    <w:rPr>
                      <w:rFonts w:hint="eastAsia"/>
                      <w:color w:val="auto"/>
                      <w:sz w:val="21"/>
                      <w:szCs w:val="21"/>
                    </w:rPr>
                    <w:t>C</w:t>
                  </w:r>
                </w:p>
              </w:tc>
              <w:tc>
                <w:tcPr>
                  <w:tcW w:w="382" w:type="pct"/>
                  <w:vAlign w:val="center"/>
                </w:tcPr>
                <w:p w14:paraId="4B54C82C">
                  <w:pPr>
                    <w:adjustRightInd w:val="0"/>
                    <w:snapToGrid w:val="0"/>
                    <w:spacing w:line="290" w:lineRule="exact"/>
                    <w:jc w:val="center"/>
                    <w:rPr>
                      <w:color w:val="auto"/>
                      <w:sz w:val="21"/>
                      <w:szCs w:val="21"/>
                    </w:rPr>
                  </w:pPr>
                  <w:r>
                    <w:rPr>
                      <w:color w:val="auto"/>
                      <w:sz w:val="21"/>
                      <w:szCs w:val="21"/>
                    </w:rPr>
                    <w:t>HW</w:t>
                  </w:r>
                  <w:r>
                    <w:rPr>
                      <w:rFonts w:hint="eastAsia"/>
                      <w:color w:val="auto"/>
                      <w:sz w:val="21"/>
                      <w:szCs w:val="21"/>
                    </w:rPr>
                    <w:t>31</w:t>
                  </w:r>
                </w:p>
              </w:tc>
              <w:tc>
                <w:tcPr>
                  <w:tcW w:w="669" w:type="pct"/>
                  <w:vAlign w:val="center"/>
                </w:tcPr>
                <w:p w14:paraId="75CBFC12">
                  <w:pPr>
                    <w:adjustRightInd w:val="0"/>
                    <w:snapToGrid w:val="0"/>
                    <w:spacing w:line="290" w:lineRule="exact"/>
                    <w:jc w:val="center"/>
                    <w:rPr>
                      <w:color w:val="auto"/>
                      <w:sz w:val="21"/>
                      <w:szCs w:val="21"/>
                    </w:rPr>
                  </w:pPr>
                  <w:r>
                    <w:rPr>
                      <w:rFonts w:hint="eastAsia"/>
                      <w:color w:val="auto"/>
                      <w:sz w:val="21"/>
                      <w:szCs w:val="21"/>
                    </w:rPr>
                    <w:t>900-052-31</w:t>
                  </w:r>
                </w:p>
              </w:tc>
              <w:tc>
                <w:tcPr>
                  <w:tcW w:w="437" w:type="pct"/>
                  <w:vAlign w:val="center"/>
                </w:tcPr>
                <w:p w14:paraId="4F28EC8C">
                  <w:pPr>
                    <w:pStyle w:val="96"/>
                    <w:spacing w:line="290" w:lineRule="exact"/>
                    <w:rPr>
                      <w:rFonts w:hint="default" w:eastAsia="宋体"/>
                      <w:color w:val="auto"/>
                      <w:lang w:val="en-US" w:eastAsia="zh-CN"/>
                    </w:rPr>
                  </w:pPr>
                  <w:r>
                    <w:rPr>
                      <w:rFonts w:hint="eastAsia"/>
                      <w:color w:val="auto"/>
                      <w:lang w:val="en-US" w:eastAsia="zh-CN"/>
                    </w:rPr>
                    <w:t>1.5</w:t>
                  </w:r>
                </w:p>
              </w:tc>
              <w:tc>
                <w:tcPr>
                  <w:tcW w:w="1251" w:type="pct"/>
                  <w:vMerge w:val="continue"/>
                  <w:vAlign w:val="center"/>
                </w:tcPr>
                <w:p w14:paraId="176668BD">
                  <w:pPr>
                    <w:pStyle w:val="96"/>
                    <w:spacing w:line="290" w:lineRule="exact"/>
                    <w:rPr>
                      <w:color w:val="auto"/>
                    </w:rPr>
                  </w:pPr>
                </w:p>
              </w:tc>
            </w:tr>
            <w:tr w14:paraId="29665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0" w:hRule="atLeast"/>
                <w:jc w:val="center"/>
              </w:trPr>
              <w:tc>
                <w:tcPr>
                  <w:tcW w:w="553" w:type="pct"/>
                  <w:gridSpan w:val="2"/>
                  <w:vAlign w:val="center"/>
                </w:tcPr>
                <w:p w14:paraId="7208D561">
                  <w:pPr>
                    <w:pStyle w:val="96"/>
                    <w:spacing w:line="290" w:lineRule="exact"/>
                    <w:rPr>
                      <w:color w:val="auto"/>
                    </w:rPr>
                  </w:pPr>
                  <w:r>
                    <w:rPr>
                      <w:rFonts w:hint="eastAsia" w:cs="Times New Roman"/>
                      <w:color w:val="auto"/>
                    </w:rPr>
                    <w:t>废机滤</w:t>
                  </w:r>
                </w:p>
              </w:tc>
              <w:tc>
                <w:tcPr>
                  <w:tcW w:w="212" w:type="pct"/>
                  <w:vMerge w:val="continue"/>
                  <w:vAlign w:val="center"/>
                </w:tcPr>
                <w:p w14:paraId="170F2197">
                  <w:pPr>
                    <w:pStyle w:val="96"/>
                    <w:spacing w:line="290" w:lineRule="exact"/>
                    <w:rPr>
                      <w:color w:val="auto"/>
                    </w:rPr>
                  </w:pPr>
                </w:p>
              </w:tc>
              <w:tc>
                <w:tcPr>
                  <w:tcW w:w="319" w:type="pct"/>
                  <w:vMerge w:val="continue"/>
                  <w:vAlign w:val="center"/>
                </w:tcPr>
                <w:p w14:paraId="5F53289F">
                  <w:pPr>
                    <w:pStyle w:val="96"/>
                    <w:spacing w:line="290" w:lineRule="exact"/>
                    <w:rPr>
                      <w:color w:val="auto"/>
                    </w:rPr>
                  </w:pPr>
                </w:p>
              </w:tc>
              <w:tc>
                <w:tcPr>
                  <w:tcW w:w="354" w:type="pct"/>
                  <w:vAlign w:val="center"/>
                </w:tcPr>
                <w:p w14:paraId="1F2C94BF">
                  <w:pPr>
                    <w:pStyle w:val="96"/>
                    <w:spacing w:line="290" w:lineRule="exact"/>
                    <w:rPr>
                      <w:color w:val="auto"/>
                    </w:rPr>
                  </w:pPr>
                  <w:r>
                    <w:rPr>
                      <w:color w:val="auto"/>
                    </w:rPr>
                    <w:t>固</w:t>
                  </w:r>
                </w:p>
              </w:tc>
              <w:tc>
                <w:tcPr>
                  <w:tcW w:w="528" w:type="pct"/>
                  <w:vAlign w:val="center"/>
                </w:tcPr>
                <w:p w14:paraId="53C0D29C">
                  <w:pPr>
                    <w:pStyle w:val="96"/>
                    <w:spacing w:line="290" w:lineRule="exact"/>
                    <w:rPr>
                      <w:color w:val="auto"/>
                    </w:rPr>
                  </w:pPr>
                  <w:r>
                    <w:rPr>
                      <w:color w:val="auto"/>
                    </w:rPr>
                    <w:t>油类</w:t>
                  </w:r>
                </w:p>
              </w:tc>
              <w:tc>
                <w:tcPr>
                  <w:tcW w:w="291" w:type="pct"/>
                  <w:vAlign w:val="center"/>
                </w:tcPr>
                <w:p w14:paraId="04E6EA87">
                  <w:pPr>
                    <w:adjustRightInd w:val="0"/>
                    <w:snapToGrid w:val="0"/>
                    <w:spacing w:line="290" w:lineRule="exact"/>
                    <w:jc w:val="center"/>
                    <w:rPr>
                      <w:color w:val="auto"/>
                      <w:sz w:val="21"/>
                      <w:szCs w:val="21"/>
                    </w:rPr>
                  </w:pPr>
                  <w:r>
                    <w:rPr>
                      <w:rFonts w:hint="eastAsia"/>
                      <w:color w:val="auto"/>
                      <w:sz w:val="21"/>
                      <w:szCs w:val="21"/>
                    </w:rPr>
                    <w:t>T/In</w:t>
                  </w:r>
                </w:p>
              </w:tc>
              <w:tc>
                <w:tcPr>
                  <w:tcW w:w="382" w:type="pct"/>
                  <w:vAlign w:val="center"/>
                </w:tcPr>
                <w:p w14:paraId="41CC1F92">
                  <w:pPr>
                    <w:adjustRightInd w:val="0"/>
                    <w:snapToGrid w:val="0"/>
                    <w:spacing w:line="290" w:lineRule="exact"/>
                    <w:jc w:val="center"/>
                    <w:rPr>
                      <w:color w:val="auto"/>
                      <w:sz w:val="21"/>
                      <w:szCs w:val="21"/>
                    </w:rPr>
                  </w:pPr>
                  <w:r>
                    <w:rPr>
                      <w:color w:val="auto"/>
                      <w:sz w:val="21"/>
                      <w:szCs w:val="21"/>
                    </w:rPr>
                    <w:t>HW</w:t>
                  </w:r>
                  <w:r>
                    <w:rPr>
                      <w:rFonts w:hint="eastAsia"/>
                      <w:color w:val="auto"/>
                      <w:sz w:val="21"/>
                      <w:szCs w:val="21"/>
                    </w:rPr>
                    <w:t>49</w:t>
                  </w:r>
                </w:p>
              </w:tc>
              <w:tc>
                <w:tcPr>
                  <w:tcW w:w="669" w:type="pct"/>
                  <w:vAlign w:val="center"/>
                </w:tcPr>
                <w:p w14:paraId="47C70B72">
                  <w:pPr>
                    <w:adjustRightInd w:val="0"/>
                    <w:snapToGrid w:val="0"/>
                    <w:spacing w:line="290" w:lineRule="exact"/>
                    <w:jc w:val="center"/>
                    <w:rPr>
                      <w:color w:val="auto"/>
                      <w:sz w:val="21"/>
                      <w:szCs w:val="21"/>
                    </w:rPr>
                  </w:pPr>
                  <w:r>
                    <w:rPr>
                      <w:rFonts w:hint="eastAsia"/>
                      <w:color w:val="auto"/>
                      <w:sz w:val="21"/>
                      <w:szCs w:val="21"/>
                    </w:rPr>
                    <w:t>900-041-49</w:t>
                  </w:r>
                </w:p>
              </w:tc>
              <w:tc>
                <w:tcPr>
                  <w:tcW w:w="437" w:type="pct"/>
                  <w:vAlign w:val="center"/>
                </w:tcPr>
                <w:p w14:paraId="4706CE6F">
                  <w:pPr>
                    <w:pStyle w:val="96"/>
                    <w:spacing w:line="290" w:lineRule="exact"/>
                    <w:rPr>
                      <w:rFonts w:hint="default" w:eastAsia="宋体"/>
                      <w:color w:val="auto"/>
                      <w:lang w:val="en-US" w:eastAsia="zh-CN"/>
                    </w:rPr>
                  </w:pPr>
                  <w:r>
                    <w:rPr>
                      <w:rFonts w:hint="eastAsia"/>
                      <w:color w:val="auto"/>
                      <w:lang w:val="en-US" w:eastAsia="zh-CN"/>
                    </w:rPr>
                    <w:t>0.5</w:t>
                  </w:r>
                </w:p>
              </w:tc>
              <w:tc>
                <w:tcPr>
                  <w:tcW w:w="1251" w:type="pct"/>
                  <w:vMerge w:val="continue"/>
                  <w:vAlign w:val="center"/>
                </w:tcPr>
                <w:p w14:paraId="74137B9B">
                  <w:pPr>
                    <w:pStyle w:val="96"/>
                    <w:spacing w:line="290" w:lineRule="exact"/>
                    <w:rPr>
                      <w:color w:val="auto"/>
                    </w:rPr>
                  </w:pPr>
                </w:p>
              </w:tc>
            </w:tr>
            <w:tr w14:paraId="4D5B5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0" w:hRule="atLeast"/>
                <w:jc w:val="center"/>
              </w:trPr>
              <w:tc>
                <w:tcPr>
                  <w:tcW w:w="553" w:type="pct"/>
                  <w:gridSpan w:val="2"/>
                  <w:vAlign w:val="center"/>
                </w:tcPr>
                <w:p w14:paraId="369D7ECF">
                  <w:pPr>
                    <w:pStyle w:val="96"/>
                    <w:spacing w:line="290" w:lineRule="exact"/>
                    <w:rPr>
                      <w:rFonts w:cs="Times New Roman"/>
                      <w:color w:val="auto"/>
                    </w:rPr>
                  </w:pPr>
                  <w:r>
                    <w:rPr>
                      <w:rFonts w:hint="eastAsia" w:cs="Times New Roman"/>
                      <w:color w:val="auto"/>
                    </w:rPr>
                    <w:t>废油</w:t>
                  </w:r>
                </w:p>
              </w:tc>
              <w:tc>
                <w:tcPr>
                  <w:tcW w:w="212" w:type="pct"/>
                  <w:vMerge w:val="continue"/>
                  <w:vAlign w:val="center"/>
                </w:tcPr>
                <w:p w14:paraId="7FA2D557">
                  <w:pPr>
                    <w:pStyle w:val="96"/>
                    <w:spacing w:line="290" w:lineRule="exact"/>
                    <w:rPr>
                      <w:color w:val="auto"/>
                    </w:rPr>
                  </w:pPr>
                </w:p>
              </w:tc>
              <w:tc>
                <w:tcPr>
                  <w:tcW w:w="319" w:type="pct"/>
                  <w:vMerge w:val="restart"/>
                  <w:vAlign w:val="center"/>
                </w:tcPr>
                <w:p w14:paraId="1A3F67C6">
                  <w:pPr>
                    <w:pStyle w:val="96"/>
                    <w:spacing w:line="290" w:lineRule="exact"/>
                    <w:rPr>
                      <w:color w:val="auto"/>
                    </w:rPr>
                  </w:pPr>
                  <w:r>
                    <w:rPr>
                      <w:rFonts w:hint="eastAsia"/>
                      <w:color w:val="auto"/>
                    </w:rPr>
                    <w:t>废水处理</w:t>
                  </w:r>
                </w:p>
              </w:tc>
              <w:tc>
                <w:tcPr>
                  <w:tcW w:w="354" w:type="pct"/>
                  <w:vAlign w:val="center"/>
                </w:tcPr>
                <w:p w14:paraId="0862ECFE">
                  <w:pPr>
                    <w:pStyle w:val="96"/>
                    <w:spacing w:line="290" w:lineRule="exact"/>
                    <w:rPr>
                      <w:color w:val="auto"/>
                    </w:rPr>
                  </w:pPr>
                  <w:r>
                    <w:rPr>
                      <w:color w:val="auto"/>
                    </w:rPr>
                    <w:t>液</w:t>
                  </w:r>
                </w:p>
              </w:tc>
              <w:tc>
                <w:tcPr>
                  <w:tcW w:w="528" w:type="pct"/>
                  <w:vAlign w:val="center"/>
                </w:tcPr>
                <w:p w14:paraId="75D89EA9">
                  <w:pPr>
                    <w:pStyle w:val="96"/>
                    <w:spacing w:line="290" w:lineRule="exact"/>
                    <w:rPr>
                      <w:color w:val="auto"/>
                    </w:rPr>
                  </w:pPr>
                  <w:r>
                    <w:rPr>
                      <w:color w:val="auto"/>
                    </w:rPr>
                    <w:t>油类</w:t>
                  </w:r>
                </w:p>
              </w:tc>
              <w:tc>
                <w:tcPr>
                  <w:tcW w:w="291" w:type="pct"/>
                  <w:vAlign w:val="center"/>
                </w:tcPr>
                <w:p w14:paraId="69FB25C5">
                  <w:pPr>
                    <w:adjustRightInd w:val="0"/>
                    <w:snapToGrid w:val="0"/>
                    <w:spacing w:line="290" w:lineRule="exact"/>
                    <w:jc w:val="center"/>
                    <w:rPr>
                      <w:color w:val="auto"/>
                      <w:sz w:val="21"/>
                      <w:szCs w:val="21"/>
                    </w:rPr>
                  </w:pPr>
                  <w:r>
                    <w:rPr>
                      <w:color w:val="auto"/>
                      <w:sz w:val="21"/>
                      <w:szCs w:val="21"/>
                    </w:rPr>
                    <w:t>T，I</w:t>
                  </w:r>
                </w:p>
              </w:tc>
              <w:tc>
                <w:tcPr>
                  <w:tcW w:w="382" w:type="pct"/>
                  <w:vAlign w:val="center"/>
                </w:tcPr>
                <w:p w14:paraId="4EA30D59">
                  <w:pPr>
                    <w:adjustRightInd w:val="0"/>
                    <w:snapToGrid w:val="0"/>
                    <w:spacing w:line="290" w:lineRule="exact"/>
                    <w:jc w:val="center"/>
                    <w:rPr>
                      <w:color w:val="auto"/>
                      <w:sz w:val="21"/>
                      <w:szCs w:val="21"/>
                    </w:rPr>
                  </w:pPr>
                  <w:r>
                    <w:rPr>
                      <w:color w:val="auto"/>
                      <w:sz w:val="21"/>
                      <w:szCs w:val="21"/>
                    </w:rPr>
                    <w:t>HW</w:t>
                  </w:r>
                  <w:r>
                    <w:rPr>
                      <w:rFonts w:hint="eastAsia"/>
                      <w:color w:val="auto"/>
                      <w:sz w:val="21"/>
                      <w:szCs w:val="21"/>
                    </w:rPr>
                    <w:t>08</w:t>
                  </w:r>
                </w:p>
              </w:tc>
              <w:tc>
                <w:tcPr>
                  <w:tcW w:w="669" w:type="pct"/>
                  <w:vAlign w:val="center"/>
                </w:tcPr>
                <w:p w14:paraId="24E345F0">
                  <w:pPr>
                    <w:adjustRightInd w:val="0"/>
                    <w:snapToGrid w:val="0"/>
                    <w:spacing w:line="290" w:lineRule="exact"/>
                    <w:jc w:val="center"/>
                    <w:rPr>
                      <w:color w:val="auto"/>
                      <w:sz w:val="21"/>
                      <w:szCs w:val="21"/>
                    </w:rPr>
                  </w:pPr>
                  <w:r>
                    <w:rPr>
                      <w:rFonts w:hint="eastAsia"/>
                      <w:color w:val="auto"/>
                      <w:sz w:val="21"/>
                      <w:szCs w:val="21"/>
                    </w:rPr>
                    <w:t>900-210-08</w:t>
                  </w:r>
                </w:p>
              </w:tc>
              <w:tc>
                <w:tcPr>
                  <w:tcW w:w="437" w:type="pct"/>
                  <w:vAlign w:val="center"/>
                </w:tcPr>
                <w:p w14:paraId="6B42CD02">
                  <w:pPr>
                    <w:pStyle w:val="96"/>
                    <w:spacing w:line="290" w:lineRule="exact"/>
                    <w:rPr>
                      <w:rFonts w:hint="default" w:eastAsia="宋体"/>
                      <w:color w:val="auto"/>
                      <w:lang w:val="en-US" w:eastAsia="zh-CN"/>
                    </w:rPr>
                  </w:pPr>
                  <w:r>
                    <w:rPr>
                      <w:rFonts w:hint="eastAsia"/>
                      <w:color w:val="auto"/>
                    </w:rPr>
                    <w:t>0.</w:t>
                  </w:r>
                  <w:r>
                    <w:rPr>
                      <w:rFonts w:hint="eastAsia"/>
                      <w:color w:val="auto"/>
                      <w:lang w:val="en-US" w:eastAsia="zh-CN"/>
                    </w:rPr>
                    <w:t>73</w:t>
                  </w:r>
                </w:p>
              </w:tc>
              <w:tc>
                <w:tcPr>
                  <w:tcW w:w="1251" w:type="pct"/>
                  <w:vMerge w:val="continue"/>
                  <w:vAlign w:val="center"/>
                </w:tcPr>
                <w:p w14:paraId="37140983">
                  <w:pPr>
                    <w:pStyle w:val="96"/>
                    <w:spacing w:line="290" w:lineRule="exact"/>
                    <w:rPr>
                      <w:color w:val="auto"/>
                    </w:rPr>
                  </w:pPr>
                </w:p>
              </w:tc>
            </w:tr>
            <w:tr w14:paraId="70E18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jc w:val="center"/>
              </w:trPr>
              <w:tc>
                <w:tcPr>
                  <w:tcW w:w="553" w:type="pct"/>
                  <w:gridSpan w:val="2"/>
                  <w:vAlign w:val="center"/>
                </w:tcPr>
                <w:p w14:paraId="794EF362">
                  <w:pPr>
                    <w:pStyle w:val="96"/>
                    <w:spacing w:line="290" w:lineRule="exact"/>
                    <w:rPr>
                      <w:rFonts w:cs="Times New Roman"/>
                      <w:color w:val="auto"/>
                    </w:rPr>
                  </w:pPr>
                  <w:r>
                    <w:rPr>
                      <w:rFonts w:hint="eastAsia" w:cs="Times New Roman"/>
                      <w:color w:val="auto"/>
                    </w:rPr>
                    <w:t>污泥</w:t>
                  </w:r>
                </w:p>
              </w:tc>
              <w:tc>
                <w:tcPr>
                  <w:tcW w:w="212" w:type="pct"/>
                  <w:vMerge w:val="continue"/>
                  <w:vAlign w:val="center"/>
                </w:tcPr>
                <w:p w14:paraId="73FCAB09">
                  <w:pPr>
                    <w:pStyle w:val="96"/>
                    <w:spacing w:line="290" w:lineRule="exact"/>
                    <w:rPr>
                      <w:color w:val="auto"/>
                    </w:rPr>
                  </w:pPr>
                </w:p>
              </w:tc>
              <w:tc>
                <w:tcPr>
                  <w:tcW w:w="319" w:type="pct"/>
                  <w:vMerge w:val="continue"/>
                  <w:vAlign w:val="center"/>
                </w:tcPr>
                <w:p w14:paraId="14AA603C">
                  <w:pPr>
                    <w:pStyle w:val="96"/>
                    <w:spacing w:line="290" w:lineRule="exact"/>
                    <w:rPr>
                      <w:color w:val="auto"/>
                    </w:rPr>
                  </w:pPr>
                </w:p>
              </w:tc>
              <w:tc>
                <w:tcPr>
                  <w:tcW w:w="354" w:type="pct"/>
                  <w:vAlign w:val="center"/>
                </w:tcPr>
                <w:p w14:paraId="3F06F607">
                  <w:pPr>
                    <w:pStyle w:val="96"/>
                    <w:spacing w:line="290" w:lineRule="exact"/>
                    <w:rPr>
                      <w:color w:val="auto"/>
                    </w:rPr>
                  </w:pPr>
                  <w:r>
                    <w:rPr>
                      <w:color w:val="auto"/>
                    </w:rPr>
                    <w:t>固</w:t>
                  </w:r>
                </w:p>
              </w:tc>
              <w:tc>
                <w:tcPr>
                  <w:tcW w:w="528" w:type="pct"/>
                  <w:vAlign w:val="center"/>
                </w:tcPr>
                <w:p w14:paraId="11507568">
                  <w:pPr>
                    <w:pStyle w:val="96"/>
                    <w:spacing w:line="290" w:lineRule="exact"/>
                    <w:rPr>
                      <w:color w:val="auto"/>
                    </w:rPr>
                  </w:pPr>
                  <w:r>
                    <w:rPr>
                      <w:color w:val="auto"/>
                    </w:rPr>
                    <w:t>油类</w:t>
                  </w:r>
                </w:p>
              </w:tc>
              <w:tc>
                <w:tcPr>
                  <w:tcW w:w="291" w:type="pct"/>
                  <w:vAlign w:val="center"/>
                </w:tcPr>
                <w:p w14:paraId="5DE488AB">
                  <w:pPr>
                    <w:adjustRightInd w:val="0"/>
                    <w:snapToGrid w:val="0"/>
                    <w:spacing w:line="290" w:lineRule="exact"/>
                    <w:jc w:val="center"/>
                    <w:rPr>
                      <w:color w:val="auto"/>
                      <w:sz w:val="21"/>
                      <w:szCs w:val="21"/>
                    </w:rPr>
                  </w:pPr>
                  <w:r>
                    <w:rPr>
                      <w:color w:val="auto"/>
                      <w:sz w:val="21"/>
                      <w:szCs w:val="21"/>
                    </w:rPr>
                    <w:t>T，I</w:t>
                  </w:r>
                </w:p>
              </w:tc>
              <w:tc>
                <w:tcPr>
                  <w:tcW w:w="382" w:type="pct"/>
                  <w:vAlign w:val="center"/>
                </w:tcPr>
                <w:p w14:paraId="5D56F2C7">
                  <w:pPr>
                    <w:adjustRightInd w:val="0"/>
                    <w:snapToGrid w:val="0"/>
                    <w:spacing w:line="290" w:lineRule="exact"/>
                    <w:jc w:val="center"/>
                    <w:rPr>
                      <w:color w:val="auto"/>
                      <w:sz w:val="21"/>
                      <w:szCs w:val="21"/>
                    </w:rPr>
                  </w:pPr>
                  <w:r>
                    <w:rPr>
                      <w:color w:val="auto"/>
                      <w:sz w:val="21"/>
                      <w:szCs w:val="21"/>
                    </w:rPr>
                    <w:t>HW</w:t>
                  </w:r>
                  <w:r>
                    <w:rPr>
                      <w:rFonts w:hint="eastAsia"/>
                      <w:color w:val="auto"/>
                      <w:sz w:val="21"/>
                      <w:szCs w:val="21"/>
                    </w:rPr>
                    <w:t>08</w:t>
                  </w:r>
                </w:p>
              </w:tc>
              <w:tc>
                <w:tcPr>
                  <w:tcW w:w="669" w:type="pct"/>
                  <w:vAlign w:val="center"/>
                </w:tcPr>
                <w:p w14:paraId="0F70A14F">
                  <w:pPr>
                    <w:adjustRightInd w:val="0"/>
                    <w:snapToGrid w:val="0"/>
                    <w:spacing w:line="290" w:lineRule="exact"/>
                    <w:jc w:val="center"/>
                    <w:rPr>
                      <w:color w:val="auto"/>
                      <w:sz w:val="21"/>
                      <w:szCs w:val="21"/>
                    </w:rPr>
                  </w:pPr>
                  <w:r>
                    <w:rPr>
                      <w:rFonts w:hint="eastAsia"/>
                      <w:color w:val="auto"/>
                      <w:sz w:val="21"/>
                      <w:szCs w:val="21"/>
                    </w:rPr>
                    <w:t>900-210-08</w:t>
                  </w:r>
                </w:p>
              </w:tc>
              <w:tc>
                <w:tcPr>
                  <w:tcW w:w="437" w:type="pct"/>
                  <w:vAlign w:val="center"/>
                </w:tcPr>
                <w:p w14:paraId="52ACF83B">
                  <w:pPr>
                    <w:pStyle w:val="96"/>
                    <w:spacing w:line="290" w:lineRule="exact"/>
                    <w:rPr>
                      <w:rFonts w:hint="default"/>
                      <w:color w:val="auto"/>
                      <w:lang w:val="en-US"/>
                    </w:rPr>
                  </w:pPr>
                  <w:r>
                    <w:rPr>
                      <w:rFonts w:hint="eastAsia"/>
                      <w:color w:val="auto"/>
                      <w:lang w:val="en-US" w:eastAsia="zh-CN"/>
                    </w:rPr>
                    <w:t>4.0</w:t>
                  </w:r>
                </w:p>
              </w:tc>
              <w:tc>
                <w:tcPr>
                  <w:tcW w:w="1251" w:type="pct"/>
                  <w:vMerge w:val="continue"/>
                  <w:vAlign w:val="center"/>
                </w:tcPr>
                <w:p w14:paraId="2143A2E8">
                  <w:pPr>
                    <w:pStyle w:val="96"/>
                    <w:spacing w:line="290" w:lineRule="exact"/>
                    <w:rPr>
                      <w:color w:val="auto"/>
                    </w:rPr>
                  </w:pPr>
                </w:p>
              </w:tc>
            </w:tr>
            <w:tr w14:paraId="530B5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0" w:hRule="atLeast"/>
                <w:jc w:val="center"/>
              </w:trPr>
              <w:tc>
                <w:tcPr>
                  <w:tcW w:w="553" w:type="pct"/>
                  <w:gridSpan w:val="2"/>
                  <w:vAlign w:val="center"/>
                </w:tcPr>
                <w:p w14:paraId="3D86FB05">
                  <w:pPr>
                    <w:pStyle w:val="96"/>
                    <w:spacing w:line="290" w:lineRule="exact"/>
                    <w:rPr>
                      <w:rFonts w:hint="eastAsia" w:eastAsia="宋体" w:cs="Times New Roman"/>
                      <w:color w:val="auto"/>
                      <w:lang w:val="en-US" w:eastAsia="zh-CN"/>
                    </w:rPr>
                  </w:pPr>
                  <w:r>
                    <w:rPr>
                      <w:rFonts w:hint="eastAsia" w:cs="Times New Roman"/>
                      <w:color w:val="auto"/>
                      <w:lang w:val="en-US" w:eastAsia="zh-CN"/>
                    </w:rPr>
                    <w:t>废膜</w:t>
                  </w:r>
                </w:p>
              </w:tc>
              <w:tc>
                <w:tcPr>
                  <w:tcW w:w="212" w:type="pct"/>
                  <w:vMerge w:val="continue"/>
                  <w:vAlign w:val="center"/>
                </w:tcPr>
                <w:p w14:paraId="1FB0956F">
                  <w:pPr>
                    <w:pStyle w:val="96"/>
                    <w:spacing w:line="290" w:lineRule="exact"/>
                    <w:rPr>
                      <w:color w:val="auto"/>
                    </w:rPr>
                  </w:pPr>
                </w:p>
              </w:tc>
              <w:tc>
                <w:tcPr>
                  <w:tcW w:w="319" w:type="pct"/>
                  <w:vMerge w:val="continue"/>
                  <w:vAlign w:val="center"/>
                </w:tcPr>
                <w:p w14:paraId="5F6DB40E">
                  <w:pPr>
                    <w:pStyle w:val="96"/>
                    <w:spacing w:line="290" w:lineRule="exact"/>
                    <w:rPr>
                      <w:color w:val="auto"/>
                    </w:rPr>
                  </w:pPr>
                </w:p>
              </w:tc>
              <w:tc>
                <w:tcPr>
                  <w:tcW w:w="354" w:type="pct"/>
                  <w:vAlign w:val="center"/>
                </w:tcPr>
                <w:p w14:paraId="4A11DBB3">
                  <w:pPr>
                    <w:pStyle w:val="96"/>
                    <w:spacing w:line="290" w:lineRule="exact"/>
                    <w:rPr>
                      <w:color w:val="auto"/>
                    </w:rPr>
                  </w:pPr>
                  <w:r>
                    <w:rPr>
                      <w:color w:val="auto"/>
                    </w:rPr>
                    <w:t>固</w:t>
                  </w:r>
                </w:p>
              </w:tc>
              <w:tc>
                <w:tcPr>
                  <w:tcW w:w="528" w:type="pct"/>
                  <w:vAlign w:val="center"/>
                </w:tcPr>
                <w:p w14:paraId="4FA0FAC4">
                  <w:pPr>
                    <w:pStyle w:val="96"/>
                    <w:spacing w:line="290" w:lineRule="exact"/>
                    <w:rPr>
                      <w:rFonts w:hint="eastAsia" w:eastAsia="宋体"/>
                      <w:color w:val="auto"/>
                      <w:lang w:val="en-US" w:eastAsia="zh-CN"/>
                    </w:rPr>
                  </w:pPr>
                  <w:r>
                    <w:rPr>
                      <w:rFonts w:hint="eastAsia"/>
                      <w:color w:val="auto"/>
                      <w:lang w:val="en-US" w:eastAsia="zh-CN"/>
                    </w:rPr>
                    <w:t>重金属</w:t>
                  </w:r>
                </w:p>
              </w:tc>
              <w:tc>
                <w:tcPr>
                  <w:tcW w:w="291" w:type="pct"/>
                  <w:shd w:val="clear" w:color="auto" w:fill="auto"/>
                  <w:vAlign w:val="center"/>
                </w:tcPr>
                <w:p w14:paraId="3F61C73C">
                  <w:pPr>
                    <w:adjustRightInd w:val="0"/>
                    <w:snapToGrid w:val="0"/>
                    <w:spacing w:line="290" w:lineRule="exact"/>
                    <w:jc w:val="center"/>
                    <w:rPr>
                      <w:rFonts w:ascii="Times New Roman" w:hAnsi="Times New Roman" w:eastAsia="宋体" w:cs="Times New Roman"/>
                      <w:color w:val="auto"/>
                      <w:kern w:val="2"/>
                      <w:sz w:val="21"/>
                      <w:szCs w:val="21"/>
                      <w:lang w:val="en-US" w:eastAsia="zh-CN" w:bidi="ar-SA"/>
                    </w:rPr>
                  </w:pPr>
                  <w:r>
                    <w:rPr>
                      <w:rFonts w:hint="eastAsia"/>
                      <w:color w:val="auto"/>
                      <w:sz w:val="21"/>
                      <w:szCs w:val="21"/>
                    </w:rPr>
                    <w:t>T/In</w:t>
                  </w:r>
                </w:p>
              </w:tc>
              <w:tc>
                <w:tcPr>
                  <w:tcW w:w="382" w:type="pct"/>
                  <w:shd w:val="clear" w:color="auto" w:fill="auto"/>
                  <w:vAlign w:val="center"/>
                </w:tcPr>
                <w:p w14:paraId="7ACB5A89">
                  <w:pPr>
                    <w:adjustRightInd w:val="0"/>
                    <w:snapToGrid w:val="0"/>
                    <w:spacing w:line="290" w:lineRule="exact"/>
                    <w:jc w:val="center"/>
                    <w:rPr>
                      <w:rFonts w:ascii="Times New Roman" w:hAnsi="Times New Roman" w:eastAsia="宋体" w:cs="Times New Roman"/>
                      <w:color w:val="auto"/>
                      <w:kern w:val="2"/>
                      <w:sz w:val="21"/>
                      <w:szCs w:val="21"/>
                      <w:lang w:val="en-US" w:eastAsia="zh-CN" w:bidi="ar-SA"/>
                    </w:rPr>
                  </w:pPr>
                  <w:r>
                    <w:rPr>
                      <w:color w:val="auto"/>
                      <w:sz w:val="21"/>
                      <w:szCs w:val="21"/>
                    </w:rPr>
                    <w:t>HW</w:t>
                  </w:r>
                  <w:r>
                    <w:rPr>
                      <w:rFonts w:hint="eastAsia"/>
                      <w:color w:val="auto"/>
                      <w:sz w:val="21"/>
                      <w:szCs w:val="21"/>
                    </w:rPr>
                    <w:t>49</w:t>
                  </w:r>
                </w:p>
              </w:tc>
              <w:tc>
                <w:tcPr>
                  <w:tcW w:w="669" w:type="pct"/>
                  <w:shd w:val="clear" w:color="auto" w:fill="auto"/>
                  <w:vAlign w:val="center"/>
                </w:tcPr>
                <w:p w14:paraId="122D842C">
                  <w:pPr>
                    <w:adjustRightInd w:val="0"/>
                    <w:snapToGrid w:val="0"/>
                    <w:spacing w:line="290" w:lineRule="exact"/>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900-041-49</w:t>
                  </w:r>
                </w:p>
              </w:tc>
              <w:tc>
                <w:tcPr>
                  <w:tcW w:w="437" w:type="pct"/>
                  <w:vAlign w:val="center"/>
                </w:tcPr>
                <w:p w14:paraId="42A044AA">
                  <w:pPr>
                    <w:pStyle w:val="96"/>
                    <w:spacing w:line="290" w:lineRule="exact"/>
                    <w:rPr>
                      <w:rFonts w:hint="default" w:eastAsia="宋体"/>
                      <w:color w:val="auto"/>
                      <w:lang w:val="en-US" w:eastAsia="zh-CN"/>
                    </w:rPr>
                  </w:pPr>
                  <w:r>
                    <w:rPr>
                      <w:rFonts w:hint="eastAsia"/>
                      <w:color w:val="auto"/>
                      <w:lang w:val="en-US" w:eastAsia="zh-CN"/>
                    </w:rPr>
                    <w:t>0.01</w:t>
                  </w:r>
                </w:p>
              </w:tc>
              <w:tc>
                <w:tcPr>
                  <w:tcW w:w="1251" w:type="pct"/>
                  <w:vMerge w:val="continue"/>
                  <w:vAlign w:val="center"/>
                </w:tcPr>
                <w:p w14:paraId="003D3656">
                  <w:pPr>
                    <w:pStyle w:val="96"/>
                    <w:spacing w:line="290" w:lineRule="exact"/>
                    <w:rPr>
                      <w:color w:val="auto"/>
                    </w:rPr>
                  </w:pPr>
                </w:p>
              </w:tc>
            </w:tr>
            <w:tr w14:paraId="4B93B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0" w:hRule="atLeast"/>
                <w:jc w:val="center"/>
              </w:trPr>
              <w:tc>
                <w:tcPr>
                  <w:tcW w:w="159" w:type="pct"/>
                  <w:vMerge w:val="restart"/>
                  <w:tcBorders>
                    <w:right w:val="single" w:color="auto" w:sz="4" w:space="0"/>
                  </w:tcBorders>
                  <w:vAlign w:val="center"/>
                </w:tcPr>
                <w:p w14:paraId="4BFF3C35">
                  <w:pPr>
                    <w:pStyle w:val="96"/>
                    <w:spacing w:line="290" w:lineRule="exact"/>
                    <w:rPr>
                      <w:color w:val="auto"/>
                    </w:rPr>
                  </w:pPr>
                  <w:r>
                    <w:rPr>
                      <w:rFonts w:hint="eastAsia"/>
                      <w:color w:val="auto"/>
                    </w:rPr>
                    <w:t>废零部件</w:t>
                  </w:r>
                </w:p>
              </w:tc>
              <w:tc>
                <w:tcPr>
                  <w:tcW w:w="393" w:type="pct"/>
                  <w:tcBorders>
                    <w:left w:val="single" w:color="auto" w:sz="4" w:space="0"/>
                  </w:tcBorders>
                  <w:vAlign w:val="center"/>
                </w:tcPr>
                <w:p w14:paraId="0553CB24">
                  <w:pPr>
                    <w:pStyle w:val="96"/>
                    <w:spacing w:line="290" w:lineRule="exact"/>
                    <w:rPr>
                      <w:color w:val="auto"/>
                    </w:rPr>
                  </w:pPr>
                  <w:r>
                    <w:rPr>
                      <w:rFonts w:hint="eastAsia"/>
                      <w:color w:val="auto"/>
                    </w:rPr>
                    <w:t>沾染油污</w:t>
                  </w:r>
                </w:p>
              </w:tc>
              <w:tc>
                <w:tcPr>
                  <w:tcW w:w="212" w:type="pct"/>
                  <w:vMerge w:val="continue"/>
                  <w:vAlign w:val="center"/>
                </w:tcPr>
                <w:p w14:paraId="501BAA14">
                  <w:pPr>
                    <w:pStyle w:val="96"/>
                    <w:spacing w:line="290" w:lineRule="exact"/>
                    <w:rPr>
                      <w:color w:val="auto"/>
                    </w:rPr>
                  </w:pPr>
                </w:p>
              </w:tc>
              <w:tc>
                <w:tcPr>
                  <w:tcW w:w="319" w:type="pct"/>
                  <w:vAlign w:val="center"/>
                </w:tcPr>
                <w:p w14:paraId="3D42C537">
                  <w:pPr>
                    <w:pStyle w:val="96"/>
                    <w:spacing w:line="290" w:lineRule="exact"/>
                    <w:rPr>
                      <w:color w:val="auto"/>
                    </w:rPr>
                  </w:pPr>
                  <w:r>
                    <w:rPr>
                      <w:rFonts w:hint="eastAsia"/>
                      <w:color w:val="auto"/>
                    </w:rPr>
                    <w:t>卡车维修</w:t>
                  </w:r>
                </w:p>
              </w:tc>
              <w:tc>
                <w:tcPr>
                  <w:tcW w:w="354" w:type="pct"/>
                  <w:vAlign w:val="center"/>
                </w:tcPr>
                <w:p w14:paraId="446788D6">
                  <w:pPr>
                    <w:pStyle w:val="96"/>
                    <w:spacing w:line="290" w:lineRule="exact"/>
                    <w:rPr>
                      <w:color w:val="auto"/>
                    </w:rPr>
                  </w:pPr>
                  <w:r>
                    <w:rPr>
                      <w:rFonts w:hint="eastAsia"/>
                      <w:color w:val="auto"/>
                    </w:rPr>
                    <w:t>固</w:t>
                  </w:r>
                </w:p>
              </w:tc>
              <w:tc>
                <w:tcPr>
                  <w:tcW w:w="528" w:type="pct"/>
                  <w:vAlign w:val="center"/>
                </w:tcPr>
                <w:p w14:paraId="53B440F8">
                  <w:pPr>
                    <w:pStyle w:val="96"/>
                    <w:spacing w:line="290" w:lineRule="exact"/>
                    <w:rPr>
                      <w:color w:val="auto"/>
                    </w:rPr>
                  </w:pPr>
                  <w:r>
                    <w:rPr>
                      <w:color w:val="auto"/>
                    </w:rPr>
                    <w:t>油类</w:t>
                  </w:r>
                </w:p>
              </w:tc>
              <w:tc>
                <w:tcPr>
                  <w:tcW w:w="291" w:type="pct"/>
                  <w:vAlign w:val="center"/>
                </w:tcPr>
                <w:p w14:paraId="14392BDA">
                  <w:pPr>
                    <w:adjustRightInd w:val="0"/>
                    <w:snapToGrid w:val="0"/>
                    <w:spacing w:line="290" w:lineRule="exact"/>
                    <w:jc w:val="center"/>
                    <w:rPr>
                      <w:color w:val="auto"/>
                      <w:sz w:val="21"/>
                      <w:szCs w:val="21"/>
                    </w:rPr>
                  </w:pPr>
                  <w:r>
                    <w:rPr>
                      <w:rFonts w:hint="eastAsia"/>
                      <w:color w:val="auto"/>
                      <w:sz w:val="21"/>
                      <w:szCs w:val="21"/>
                    </w:rPr>
                    <w:t>T/In</w:t>
                  </w:r>
                </w:p>
              </w:tc>
              <w:tc>
                <w:tcPr>
                  <w:tcW w:w="382" w:type="pct"/>
                  <w:vAlign w:val="center"/>
                </w:tcPr>
                <w:p w14:paraId="181269AB">
                  <w:pPr>
                    <w:adjustRightInd w:val="0"/>
                    <w:snapToGrid w:val="0"/>
                    <w:spacing w:line="290" w:lineRule="exact"/>
                    <w:jc w:val="center"/>
                    <w:rPr>
                      <w:color w:val="auto"/>
                      <w:sz w:val="21"/>
                      <w:szCs w:val="21"/>
                    </w:rPr>
                  </w:pPr>
                  <w:r>
                    <w:rPr>
                      <w:color w:val="auto"/>
                      <w:sz w:val="21"/>
                      <w:szCs w:val="21"/>
                    </w:rPr>
                    <w:t>HW</w:t>
                  </w:r>
                  <w:r>
                    <w:rPr>
                      <w:rFonts w:hint="eastAsia"/>
                      <w:color w:val="auto"/>
                      <w:sz w:val="21"/>
                      <w:szCs w:val="21"/>
                    </w:rPr>
                    <w:t>49</w:t>
                  </w:r>
                </w:p>
              </w:tc>
              <w:tc>
                <w:tcPr>
                  <w:tcW w:w="669" w:type="pct"/>
                  <w:vAlign w:val="center"/>
                </w:tcPr>
                <w:p w14:paraId="072C4FBA">
                  <w:pPr>
                    <w:pStyle w:val="96"/>
                    <w:spacing w:line="290" w:lineRule="exact"/>
                    <w:rPr>
                      <w:rFonts w:cs="Times New Roman"/>
                      <w:color w:val="auto"/>
                    </w:rPr>
                  </w:pPr>
                  <w:r>
                    <w:rPr>
                      <w:rFonts w:hint="eastAsia"/>
                      <w:color w:val="auto"/>
                    </w:rPr>
                    <w:t>900-041-49</w:t>
                  </w:r>
                </w:p>
              </w:tc>
              <w:tc>
                <w:tcPr>
                  <w:tcW w:w="437" w:type="pct"/>
                  <w:vAlign w:val="center"/>
                </w:tcPr>
                <w:p w14:paraId="0B06BD99">
                  <w:pPr>
                    <w:pStyle w:val="96"/>
                    <w:spacing w:line="290" w:lineRule="exact"/>
                    <w:rPr>
                      <w:color w:val="auto"/>
                    </w:rPr>
                  </w:pPr>
                  <w:r>
                    <w:rPr>
                      <w:rFonts w:hint="eastAsia"/>
                      <w:color w:val="auto"/>
                      <w:lang w:val="en-US" w:eastAsia="zh-CN"/>
                    </w:rPr>
                    <w:t>0.</w:t>
                  </w:r>
                  <w:r>
                    <w:rPr>
                      <w:rFonts w:hint="eastAsia"/>
                      <w:color w:val="auto"/>
                    </w:rPr>
                    <w:t>4</w:t>
                  </w:r>
                </w:p>
              </w:tc>
              <w:tc>
                <w:tcPr>
                  <w:tcW w:w="1251" w:type="pct"/>
                  <w:vMerge w:val="continue"/>
                  <w:vAlign w:val="center"/>
                </w:tcPr>
                <w:p w14:paraId="54A805C9">
                  <w:pPr>
                    <w:pStyle w:val="96"/>
                    <w:spacing w:line="290" w:lineRule="exact"/>
                    <w:rPr>
                      <w:color w:val="auto"/>
                    </w:rPr>
                  </w:pPr>
                </w:p>
              </w:tc>
            </w:tr>
            <w:tr w14:paraId="2BEF1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0" w:hRule="atLeast"/>
                <w:jc w:val="center"/>
              </w:trPr>
              <w:tc>
                <w:tcPr>
                  <w:tcW w:w="159" w:type="pct"/>
                  <w:vMerge w:val="continue"/>
                  <w:tcBorders>
                    <w:right w:val="single" w:color="auto" w:sz="4" w:space="0"/>
                  </w:tcBorders>
                  <w:vAlign w:val="center"/>
                </w:tcPr>
                <w:p w14:paraId="106FD89E">
                  <w:pPr>
                    <w:pStyle w:val="96"/>
                    <w:spacing w:line="290" w:lineRule="exact"/>
                    <w:rPr>
                      <w:color w:val="auto"/>
                    </w:rPr>
                  </w:pPr>
                </w:p>
              </w:tc>
              <w:tc>
                <w:tcPr>
                  <w:tcW w:w="393" w:type="pct"/>
                  <w:tcBorders>
                    <w:left w:val="single" w:color="auto" w:sz="4" w:space="0"/>
                  </w:tcBorders>
                  <w:vAlign w:val="center"/>
                </w:tcPr>
                <w:p w14:paraId="56C1E77D">
                  <w:pPr>
                    <w:pStyle w:val="96"/>
                    <w:spacing w:line="290" w:lineRule="exact"/>
                    <w:rPr>
                      <w:color w:val="auto"/>
                    </w:rPr>
                  </w:pPr>
                  <w:r>
                    <w:rPr>
                      <w:rFonts w:hint="eastAsia"/>
                      <w:color w:val="auto"/>
                    </w:rPr>
                    <w:t>未沾染油污</w:t>
                  </w:r>
                </w:p>
              </w:tc>
              <w:tc>
                <w:tcPr>
                  <w:tcW w:w="212" w:type="pct"/>
                  <w:vMerge w:val="restart"/>
                  <w:vAlign w:val="center"/>
                </w:tcPr>
                <w:p w14:paraId="2E4D40A5">
                  <w:pPr>
                    <w:pStyle w:val="96"/>
                    <w:spacing w:line="290" w:lineRule="exact"/>
                    <w:rPr>
                      <w:color w:val="auto"/>
                    </w:rPr>
                  </w:pPr>
                  <w:r>
                    <w:rPr>
                      <w:rFonts w:hint="eastAsia"/>
                      <w:color w:val="auto"/>
                    </w:rPr>
                    <w:t>一般固废</w:t>
                  </w:r>
                </w:p>
              </w:tc>
              <w:tc>
                <w:tcPr>
                  <w:tcW w:w="319" w:type="pct"/>
                  <w:vAlign w:val="center"/>
                </w:tcPr>
                <w:p w14:paraId="68C50DE8">
                  <w:pPr>
                    <w:pStyle w:val="96"/>
                    <w:spacing w:line="290" w:lineRule="exact"/>
                    <w:rPr>
                      <w:color w:val="auto"/>
                    </w:rPr>
                  </w:pPr>
                  <w:r>
                    <w:rPr>
                      <w:rFonts w:hint="eastAsia"/>
                      <w:color w:val="auto"/>
                    </w:rPr>
                    <w:t>卡车维修</w:t>
                  </w:r>
                </w:p>
              </w:tc>
              <w:tc>
                <w:tcPr>
                  <w:tcW w:w="354" w:type="pct"/>
                  <w:vAlign w:val="center"/>
                </w:tcPr>
                <w:p w14:paraId="40D7AC65">
                  <w:pPr>
                    <w:pStyle w:val="96"/>
                    <w:spacing w:line="290" w:lineRule="exact"/>
                    <w:rPr>
                      <w:color w:val="auto"/>
                    </w:rPr>
                  </w:pPr>
                  <w:r>
                    <w:rPr>
                      <w:rFonts w:hint="eastAsia"/>
                      <w:color w:val="auto"/>
                    </w:rPr>
                    <w:t>固</w:t>
                  </w:r>
                </w:p>
              </w:tc>
              <w:tc>
                <w:tcPr>
                  <w:tcW w:w="528" w:type="pct"/>
                  <w:vAlign w:val="center"/>
                </w:tcPr>
                <w:p w14:paraId="439810BC">
                  <w:pPr>
                    <w:pStyle w:val="96"/>
                    <w:spacing w:line="290" w:lineRule="exact"/>
                    <w:rPr>
                      <w:color w:val="auto"/>
                    </w:rPr>
                  </w:pPr>
                  <w:r>
                    <w:rPr>
                      <w:rFonts w:hint="eastAsia"/>
                      <w:color w:val="auto"/>
                    </w:rPr>
                    <w:t>/</w:t>
                  </w:r>
                </w:p>
              </w:tc>
              <w:tc>
                <w:tcPr>
                  <w:tcW w:w="291" w:type="pct"/>
                  <w:vAlign w:val="center"/>
                </w:tcPr>
                <w:p w14:paraId="313FFF02">
                  <w:pPr>
                    <w:pStyle w:val="96"/>
                    <w:spacing w:line="290" w:lineRule="exact"/>
                    <w:rPr>
                      <w:rFonts w:cs="Times New Roman"/>
                      <w:color w:val="auto"/>
                    </w:rPr>
                  </w:pPr>
                  <w:r>
                    <w:rPr>
                      <w:color w:val="auto"/>
                    </w:rPr>
                    <w:t>/</w:t>
                  </w:r>
                </w:p>
              </w:tc>
              <w:tc>
                <w:tcPr>
                  <w:tcW w:w="382" w:type="pct"/>
                  <w:vAlign w:val="center"/>
                </w:tcPr>
                <w:p w14:paraId="68F7B336">
                  <w:pPr>
                    <w:pStyle w:val="96"/>
                    <w:spacing w:line="290" w:lineRule="exact"/>
                    <w:rPr>
                      <w:rFonts w:cs="Times New Roman"/>
                      <w:color w:val="auto"/>
                    </w:rPr>
                  </w:pPr>
                  <w:r>
                    <w:rPr>
                      <w:rFonts w:hint="eastAsia"/>
                      <w:color w:val="auto"/>
                    </w:rPr>
                    <w:t>SW59</w:t>
                  </w:r>
                </w:p>
              </w:tc>
              <w:tc>
                <w:tcPr>
                  <w:tcW w:w="669" w:type="pct"/>
                  <w:vAlign w:val="center"/>
                </w:tcPr>
                <w:p w14:paraId="05CD397F">
                  <w:pPr>
                    <w:pStyle w:val="96"/>
                    <w:spacing w:line="290" w:lineRule="exact"/>
                    <w:rPr>
                      <w:rFonts w:cs="Times New Roman"/>
                      <w:color w:val="auto"/>
                    </w:rPr>
                  </w:pPr>
                  <w:r>
                    <w:rPr>
                      <w:rFonts w:hint="eastAsia" w:cs="Times New Roman"/>
                      <w:color w:val="auto"/>
                    </w:rPr>
                    <w:t>900-099-S59</w:t>
                  </w:r>
                </w:p>
              </w:tc>
              <w:tc>
                <w:tcPr>
                  <w:tcW w:w="437" w:type="pct"/>
                  <w:vAlign w:val="center"/>
                </w:tcPr>
                <w:p w14:paraId="15522EBB">
                  <w:pPr>
                    <w:pStyle w:val="96"/>
                    <w:spacing w:line="290" w:lineRule="exact"/>
                    <w:rPr>
                      <w:color w:val="auto"/>
                    </w:rPr>
                  </w:pPr>
                  <w:r>
                    <w:rPr>
                      <w:rFonts w:hint="eastAsia"/>
                      <w:color w:val="auto"/>
                    </w:rPr>
                    <w:t>1</w:t>
                  </w:r>
                  <w:r>
                    <w:rPr>
                      <w:rFonts w:hint="eastAsia"/>
                      <w:color w:val="auto"/>
                      <w:lang w:val="en-US" w:eastAsia="zh-CN"/>
                    </w:rPr>
                    <w:t>.</w:t>
                  </w:r>
                  <w:r>
                    <w:rPr>
                      <w:rFonts w:hint="eastAsia"/>
                      <w:color w:val="auto"/>
                    </w:rPr>
                    <w:t>6</w:t>
                  </w:r>
                </w:p>
              </w:tc>
              <w:tc>
                <w:tcPr>
                  <w:tcW w:w="1251" w:type="pct"/>
                  <w:vMerge w:val="restart"/>
                  <w:vAlign w:val="center"/>
                </w:tcPr>
                <w:p w14:paraId="44292514">
                  <w:pPr>
                    <w:pStyle w:val="96"/>
                    <w:spacing w:line="290" w:lineRule="exact"/>
                    <w:rPr>
                      <w:color w:val="auto"/>
                    </w:rPr>
                  </w:pPr>
                  <w:r>
                    <w:rPr>
                      <w:rFonts w:hint="eastAsia"/>
                      <w:color w:val="auto"/>
                    </w:rPr>
                    <w:t>收</w:t>
                  </w:r>
                  <w:r>
                    <w:rPr>
                      <w:color w:val="auto"/>
                    </w:rPr>
                    <w:t>集后外售废品回收公司综合利用</w:t>
                  </w:r>
                </w:p>
              </w:tc>
            </w:tr>
            <w:tr w14:paraId="41C82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0" w:hRule="atLeast"/>
                <w:jc w:val="center"/>
              </w:trPr>
              <w:tc>
                <w:tcPr>
                  <w:tcW w:w="553" w:type="pct"/>
                  <w:gridSpan w:val="2"/>
                  <w:vAlign w:val="center"/>
                </w:tcPr>
                <w:p w14:paraId="403DDD11">
                  <w:pPr>
                    <w:pStyle w:val="96"/>
                    <w:spacing w:line="290" w:lineRule="exact"/>
                    <w:rPr>
                      <w:color w:val="auto"/>
                    </w:rPr>
                  </w:pPr>
                  <w:r>
                    <w:rPr>
                      <w:rFonts w:hint="eastAsia"/>
                      <w:color w:val="auto"/>
                    </w:rPr>
                    <w:t>非磁性物质</w:t>
                  </w:r>
                </w:p>
              </w:tc>
              <w:tc>
                <w:tcPr>
                  <w:tcW w:w="212" w:type="pct"/>
                  <w:vMerge w:val="continue"/>
                  <w:vAlign w:val="center"/>
                </w:tcPr>
                <w:p w14:paraId="26F06DC5">
                  <w:pPr>
                    <w:pStyle w:val="96"/>
                    <w:spacing w:line="290" w:lineRule="exact"/>
                    <w:rPr>
                      <w:color w:val="auto"/>
                    </w:rPr>
                  </w:pPr>
                </w:p>
              </w:tc>
              <w:tc>
                <w:tcPr>
                  <w:tcW w:w="319" w:type="pct"/>
                  <w:vAlign w:val="center"/>
                </w:tcPr>
                <w:p w14:paraId="6F08A2F8">
                  <w:pPr>
                    <w:pStyle w:val="96"/>
                    <w:spacing w:line="290" w:lineRule="exact"/>
                    <w:rPr>
                      <w:color w:val="auto"/>
                    </w:rPr>
                  </w:pPr>
                  <w:r>
                    <w:rPr>
                      <w:rFonts w:hint="eastAsia"/>
                      <w:color w:val="auto"/>
                    </w:rPr>
                    <w:t>磁选机</w:t>
                  </w:r>
                </w:p>
              </w:tc>
              <w:tc>
                <w:tcPr>
                  <w:tcW w:w="354" w:type="pct"/>
                  <w:vAlign w:val="center"/>
                </w:tcPr>
                <w:p w14:paraId="6BB79C57">
                  <w:pPr>
                    <w:pStyle w:val="96"/>
                    <w:spacing w:line="290" w:lineRule="exact"/>
                    <w:rPr>
                      <w:color w:val="auto"/>
                    </w:rPr>
                  </w:pPr>
                  <w:r>
                    <w:rPr>
                      <w:color w:val="auto"/>
                    </w:rPr>
                    <w:t>固</w:t>
                  </w:r>
                </w:p>
              </w:tc>
              <w:tc>
                <w:tcPr>
                  <w:tcW w:w="528" w:type="pct"/>
                  <w:vAlign w:val="center"/>
                </w:tcPr>
                <w:p w14:paraId="16CF04A9">
                  <w:pPr>
                    <w:pStyle w:val="96"/>
                    <w:spacing w:line="290" w:lineRule="exact"/>
                    <w:rPr>
                      <w:color w:val="auto"/>
                    </w:rPr>
                  </w:pPr>
                  <w:r>
                    <w:rPr>
                      <w:rFonts w:hint="eastAsia"/>
                      <w:color w:val="auto"/>
                    </w:rPr>
                    <w:t>/</w:t>
                  </w:r>
                </w:p>
              </w:tc>
              <w:tc>
                <w:tcPr>
                  <w:tcW w:w="291" w:type="pct"/>
                  <w:vAlign w:val="center"/>
                </w:tcPr>
                <w:p w14:paraId="58F9ABD2">
                  <w:pPr>
                    <w:pStyle w:val="96"/>
                    <w:spacing w:line="290" w:lineRule="exact"/>
                    <w:rPr>
                      <w:rFonts w:cs="Times New Roman"/>
                      <w:color w:val="auto"/>
                    </w:rPr>
                  </w:pPr>
                  <w:r>
                    <w:rPr>
                      <w:color w:val="auto"/>
                    </w:rPr>
                    <w:t>/</w:t>
                  </w:r>
                </w:p>
              </w:tc>
              <w:tc>
                <w:tcPr>
                  <w:tcW w:w="382" w:type="pct"/>
                  <w:vAlign w:val="center"/>
                </w:tcPr>
                <w:p w14:paraId="7AA6877B">
                  <w:pPr>
                    <w:pStyle w:val="96"/>
                    <w:spacing w:line="290" w:lineRule="exact"/>
                    <w:rPr>
                      <w:rFonts w:cs="Times New Roman"/>
                      <w:color w:val="auto"/>
                    </w:rPr>
                  </w:pPr>
                  <w:r>
                    <w:rPr>
                      <w:rFonts w:hint="eastAsia"/>
                      <w:color w:val="auto"/>
                    </w:rPr>
                    <w:t>SW59</w:t>
                  </w:r>
                </w:p>
              </w:tc>
              <w:tc>
                <w:tcPr>
                  <w:tcW w:w="669" w:type="pct"/>
                  <w:vAlign w:val="center"/>
                </w:tcPr>
                <w:p w14:paraId="0CD118FB">
                  <w:pPr>
                    <w:pStyle w:val="96"/>
                    <w:spacing w:line="290" w:lineRule="exact"/>
                    <w:rPr>
                      <w:rFonts w:cs="Times New Roman"/>
                      <w:color w:val="auto"/>
                    </w:rPr>
                  </w:pPr>
                  <w:r>
                    <w:rPr>
                      <w:rFonts w:hint="eastAsia" w:cs="Times New Roman"/>
                      <w:color w:val="auto"/>
                    </w:rPr>
                    <w:t>900-099-S59</w:t>
                  </w:r>
                </w:p>
              </w:tc>
              <w:tc>
                <w:tcPr>
                  <w:tcW w:w="437" w:type="pct"/>
                  <w:vAlign w:val="center"/>
                </w:tcPr>
                <w:p w14:paraId="1EFAA151">
                  <w:pPr>
                    <w:pStyle w:val="96"/>
                    <w:spacing w:line="290" w:lineRule="exact"/>
                    <w:rPr>
                      <w:rFonts w:hint="default" w:eastAsia="宋体"/>
                      <w:color w:val="auto"/>
                      <w:lang w:val="en-US" w:eastAsia="zh-CN"/>
                    </w:rPr>
                  </w:pPr>
                  <w:r>
                    <w:rPr>
                      <w:rFonts w:hint="eastAsia"/>
                      <w:color w:val="auto"/>
                      <w:lang w:val="en-US" w:eastAsia="zh-CN"/>
                    </w:rPr>
                    <w:t>2000</w:t>
                  </w:r>
                </w:p>
              </w:tc>
              <w:tc>
                <w:tcPr>
                  <w:tcW w:w="1251" w:type="pct"/>
                  <w:vMerge w:val="continue"/>
                  <w:vAlign w:val="center"/>
                </w:tcPr>
                <w:p w14:paraId="2D1E62E5">
                  <w:pPr>
                    <w:pStyle w:val="96"/>
                    <w:spacing w:line="290" w:lineRule="exact"/>
                    <w:rPr>
                      <w:color w:val="auto"/>
                    </w:rPr>
                  </w:pPr>
                </w:p>
              </w:tc>
            </w:tr>
            <w:tr w14:paraId="3E5E3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0" w:hRule="atLeast"/>
                <w:jc w:val="center"/>
              </w:trPr>
              <w:tc>
                <w:tcPr>
                  <w:tcW w:w="553" w:type="pct"/>
                  <w:gridSpan w:val="2"/>
                  <w:vAlign w:val="center"/>
                </w:tcPr>
                <w:p w14:paraId="63FB3337">
                  <w:pPr>
                    <w:pStyle w:val="96"/>
                    <w:spacing w:line="290" w:lineRule="exact"/>
                    <w:ind w:left="-48" w:leftChars="-20" w:right="-48" w:rightChars="-20"/>
                    <w:rPr>
                      <w:color w:val="auto"/>
                    </w:rPr>
                  </w:pPr>
                  <w:r>
                    <w:rPr>
                      <w:rFonts w:hint="eastAsia"/>
                      <w:color w:val="auto"/>
                    </w:rPr>
                    <w:t>除尘器收集粉尘</w:t>
                  </w:r>
                </w:p>
              </w:tc>
              <w:tc>
                <w:tcPr>
                  <w:tcW w:w="212" w:type="pct"/>
                  <w:vMerge w:val="continue"/>
                  <w:vAlign w:val="center"/>
                </w:tcPr>
                <w:p w14:paraId="3FEA31C9">
                  <w:pPr>
                    <w:pStyle w:val="96"/>
                    <w:spacing w:line="290" w:lineRule="exact"/>
                    <w:rPr>
                      <w:color w:val="auto"/>
                    </w:rPr>
                  </w:pPr>
                </w:p>
              </w:tc>
              <w:tc>
                <w:tcPr>
                  <w:tcW w:w="319" w:type="pct"/>
                  <w:vAlign w:val="center"/>
                </w:tcPr>
                <w:p w14:paraId="550166B8">
                  <w:pPr>
                    <w:pStyle w:val="96"/>
                    <w:spacing w:line="290" w:lineRule="exact"/>
                    <w:rPr>
                      <w:color w:val="auto"/>
                    </w:rPr>
                  </w:pPr>
                  <w:r>
                    <w:rPr>
                      <w:rFonts w:hint="eastAsia"/>
                      <w:color w:val="auto"/>
                    </w:rPr>
                    <w:t>废气治理</w:t>
                  </w:r>
                </w:p>
              </w:tc>
              <w:tc>
                <w:tcPr>
                  <w:tcW w:w="354" w:type="pct"/>
                  <w:vAlign w:val="center"/>
                </w:tcPr>
                <w:p w14:paraId="00C10949">
                  <w:pPr>
                    <w:pStyle w:val="96"/>
                    <w:spacing w:line="290" w:lineRule="exact"/>
                    <w:rPr>
                      <w:color w:val="auto"/>
                    </w:rPr>
                  </w:pPr>
                  <w:r>
                    <w:rPr>
                      <w:color w:val="auto"/>
                    </w:rPr>
                    <w:t>固</w:t>
                  </w:r>
                </w:p>
              </w:tc>
              <w:tc>
                <w:tcPr>
                  <w:tcW w:w="528" w:type="pct"/>
                  <w:vAlign w:val="center"/>
                </w:tcPr>
                <w:p w14:paraId="1DFDBEA8">
                  <w:pPr>
                    <w:pStyle w:val="96"/>
                    <w:spacing w:line="290" w:lineRule="exact"/>
                    <w:rPr>
                      <w:color w:val="auto"/>
                    </w:rPr>
                  </w:pPr>
                  <w:r>
                    <w:rPr>
                      <w:rFonts w:hint="eastAsia"/>
                      <w:color w:val="auto"/>
                    </w:rPr>
                    <w:t>/</w:t>
                  </w:r>
                </w:p>
              </w:tc>
              <w:tc>
                <w:tcPr>
                  <w:tcW w:w="291" w:type="pct"/>
                  <w:vAlign w:val="center"/>
                </w:tcPr>
                <w:p w14:paraId="0DC7EBF0">
                  <w:pPr>
                    <w:pStyle w:val="96"/>
                    <w:spacing w:line="290" w:lineRule="exact"/>
                    <w:rPr>
                      <w:rFonts w:cs="Times New Roman"/>
                      <w:color w:val="auto"/>
                    </w:rPr>
                  </w:pPr>
                  <w:r>
                    <w:rPr>
                      <w:color w:val="auto"/>
                    </w:rPr>
                    <w:t>/</w:t>
                  </w:r>
                </w:p>
              </w:tc>
              <w:tc>
                <w:tcPr>
                  <w:tcW w:w="382" w:type="pct"/>
                  <w:vAlign w:val="center"/>
                </w:tcPr>
                <w:p w14:paraId="7BD67EDF">
                  <w:pPr>
                    <w:pStyle w:val="96"/>
                    <w:spacing w:line="290" w:lineRule="exact"/>
                    <w:rPr>
                      <w:rFonts w:cs="Times New Roman"/>
                      <w:color w:val="auto"/>
                    </w:rPr>
                  </w:pPr>
                  <w:r>
                    <w:rPr>
                      <w:rFonts w:hint="eastAsia"/>
                      <w:color w:val="auto"/>
                    </w:rPr>
                    <w:t>SW59</w:t>
                  </w:r>
                </w:p>
              </w:tc>
              <w:tc>
                <w:tcPr>
                  <w:tcW w:w="669" w:type="pct"/>
                  <w:vAlign w:val="center"/>
                </w:tcPr>
                <w:p w14:paraId="472C3A8C">
                  <w:pPr>
                    <w:pStyle w:val="96"/>
                    <w:spacing w:line="290" w:lineRule="exact"/>
                    <w:rPr>
                      <w:rFonts w:cs="Times New Roman"/>
                      <w:color w:val="auto"/>
                    </w:rPr>
                  </w:pPr>
                  <w:r>
                    <w:rPr>
                      <w:rFonts w:hint="eastAsia" w:cs="Times New Roman"/>
                      <w:color w:val="auto"/>
                    </w:rPr>
                    <w:t>900-099-S59</w:t>
                  </w:r>
                </w:p>
              </w:tc>
              <w:tc>
                <w:tcPr>
                  <w:tcW w:w="437" w:type="pct"/>
                  <w:vAlign w:val="center"/>
                </w:tcPr>
                <w:p w14:paraId="3CE3C4A3">
                  <w:pPr>
                    <w:pStyle w:val="96"/>
                    <w:spacing w:line="290" w:lineRule="exact"/>
                    <w:rPr>
                      <w:rFonts w:hint="eastAsia" w:eastAsia="宋体"/>
                      <w:color w:val="auto"/>
                      <w:lang w:eastAsia="zh-CN"/>
                    </w:rPr>
                  </w:pPr>
                  <w:r>
                    <w:rPr>
                      <w:rFonts w:hint="eastAsia"/>
                      <w:color w:val="auto"/>
                      <w:lang w:eastAsia="zh-CN"/>
                    </w:rPr>
                    <w:t>225.65</w:t>
                  </w:r>
                </w:p>
              </w:tc>
              <w:tc>
                <w:tcPr>
                  <w:tcW w:w="1251" w:type="pct"/>
                  <w:vAlign w:val="center"/>
                </w:tcPr>
                <w:p w14:paraId="79472101">
                  <w:pPr>
                    <w:pStyle w:val="96"/>
                    <w:spacing w:line="290" w:lineRule="exact"/>
                    <w:rPr>
                      <w:rFonts w:hint="default" w:eastAsia="宋体"/>
                      <w:color w:val="auto"/>
                      <w:lang w:val="en-US" w:eastAsia="zh-CN"/>
                    </w:rPr>
                  </w:pPr>
                  <w:r>
                    <w:rPr>
                      <w:rFonts w:hint="eastAsia"/>
                      <w:color w:val="0000FF"/>
                      <w:lang w:val="en-US" w:eastAsia="zh-CN"/>
                    </w:rPr>
                    <w:t>收集后作为产品外售</w:t>
                  </w:r>
                </w:p>
              </w:tc>
            </w:tr>
            <w:tr w14:paraId="2A528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0" w:hRule="atLeast"/>
                <w:jc w:val="center"/>
              </w:trPr>
              <w:tc>
                <w:tcPr>
                  <w:tcW w:w="553" w:type="pct"/>
                  <w:gridSpan w:val="2"/>
                  <w:vAlign w:val="center"/>
                </w:tcPr>
                <w:p w14:paraId="09DB1EF8">
                  <w:pPr>
                    <w:pStyle w:val="96"/>
                    <w:spacing w:line="290" w:lineRule="exact"/>
                    <w:rPr>
                      <w:color w:val="auto"/>
                    </w:rPr>
                  </w:pPr>
                  <w:r>
                    <w:rPr>
                      <w:color w:val="auto"/>
                    </w:rPr>
                    <w:t>生活</w:t>
                  </w:r>
                </w:p>
                <w:p w14:paraId="004BCD35">
                  <w:pPr>
                    <w:pStyle w:val="96"/>
                    <w:spacing w:line="290" w:lineRule="exact"/>
                    <w:rPr>
                      <w:color w:val="auto"/>
                    </w:rPr>
                  </w:pPr>
                  <w:r>
                    <w:rPr>
                      <w:color w:val="auto"/>
                    </w:rPr>
                    <w:t>垃圾</w:t>
                  </w:r>
                </w:p>
              </w:tc>
              <w:tc>
                <w:tcPr>
                  <w:tcW w:w="212" w:type="pct"/>
                  <w:vAlign w:val="center"/>
                </w:tcPr>
                <w:p w14:paraId="32AD78FC">
                  <w:pPr>
                    <w:pStyle w:val="96"/>
                    <w:spacing w:line="290" w:lineRule="exact"/>
                    <w:rPr>
                      <w:color w:val="auto"/>
                    </w:rPr>
                  </w:pPr>
                  <w:r>
                    <w:rPr>
                      <w:color w:val="auto"/>
                    </w:rPr>
                    <w:t>生活</w:t>
                  </w:r>
                </w:p>
                <w:p w14:paraId="7E30EC4C">
                  <w:pPr>
                    <w:pStyle w:val="96"/>
                    <w:spacing w:line="290" w:lineRule="exact"/>
                    <w:rPr>
                      <w:color w:val="auto"/>
                    </w:rPr>
                  </w:pPr>
                  <w:r>
                    <w:rPr>
                      <w:color w:val="auto"/>
                    </w:rPr>
                    <w:t>垃圾</w:t>
                  </w:r>
                </w:p>
              </w:tc>
              <w:tc>
                <w:tcPr>
                  <w:tcW w:w="319" w:type="pct"/>
                  <w:vAlign w:val="center"/>
                </w:tcPr>
                <w:p w14:paraId="5540DA27">
                  <w:pPr>
                    <w:pStyle w:val="96"/>
                    <w:spacing w:line="290" w:lineRule="exact"/>
                    <w:rPr>
                      <w:color w:val="auto"/>
                    </w:rPr>
                  </w:pPr>
                  <w:r>
                    <w:rPr>
                      <w:color w:val="auto"/>
                    </w:rPr>
                    <w:t>职工生活</w:t>
                  </w:r>
                </w:p>
              </w:tc>
              <w:tc>
                <w:tcPr>
                  <w:tcW w:w="354" w:type="pct"/>
                  <w:vAlign w:val="center"/>
                </w:tcPr>
                <w:p w14:paraId="73AF4C3B">
                  <w:pPr>
                    <w:pStyle w:val="96"/>
                    <w:spacing w:line="290" w:lineRule="exact"/>
                    <w:rPr>
                      <w:color w:val="auto"/>
                    </w:rPr>
                  </w:pPr>
                  <w:r>
                    <w:rPr>
                      <w:color w:val="auto"/>
                    </w:rPr>
                    <w:t>固</w:t>
                  </w:r>
                </w:p>
              </w:tc>
              <w:tc>
                <w:tcPr>
                  <w:tcW w:w="528" w:type="pct"/>
                  <w:vAlign w:val="center"/>
                </w:tcPr>
                <w:p w14:paraId="397B0EC2">
                  <w:pPr>
                    <w:pStyle w:val="96"/>
                    <w:spacing w:line="290" w:lineRule="exact"/>
                    <w:rPr>
                      <w:color w:val="auto"/>
                    </w:rPr>
                  </w:pPr>
                  <w:r>
                    <w:rPr>
                      <w:rFonts w:hint="eastAsia"/>
                      <w:color w:val="auto"/>
                    </w:rPr>
                    <w:t>/</w:t>
                  </w:r>
                </w:p>
              </w:tc>
              <w:tc>
                <w:tcPr>
                  <w:tcW w:w="291" w:type="pct"/>
                  <w:vAlign w:val="center"/>
                </w:tcPr>
                <w:p w14:paraId="5B7B7A5C">
                  <w:pPr>
                    <w:pStyle w:val="96"/>
                    <w:spacing w:line="290" w:lineRule="exact"/>
                    <w:rPr>
                      <w:color w:val="auto"/>
                    </w:rPr>
                  </w:pPr>
                  <w:r>
                    <w:rPr>
                      <w:color w:val="auto"/>
                    </w:rPr>
                    <w:t>/</w:t>
                  </w:r>
                </w:p>
              </w:tc>
              <w:tc>
                <w:tcPr>
                  <w:tcW w:w="382" w:type="pct"/>
                  <w:vAlign w:val="center"/>
                </w:tcPr>
                <w:p w14:paraId="10D33FBD">
                  <w:pPr>
                    <w:pStyle w:val="96"/>
                    <w:spacing w:line="290" w:lineRule="exact"/>
                    <w:rPr>
                      <w:color w:val="auto"/>
                    </w:rPr>
                  </w:pPr>
                  <w:r>
                    <w:rPr>
                      <w:rFonts w:hint="eastAsia"/>
                      <w:color w:val="auto"/>
                    </w:rPr>
                    <w:t>SW64</w:t>
                  </w:r>
                </w:p>
              </w:tc>
              <w:tc>
                <w:tcPr>
                  <w:tcW w:w="669" w:type="pct"/>
                  <w:vAlign w:val="center"/>
                </w:tcPr>
                <w:p w14:paraId="1B2D617E">
                  <w:pPr>
                    <w:pStyle w:val="96"/>
                    <w:spacing w:line="290" w:lineRule="exact"/>
                    <w:rPr>
                      <w:color w:val="auto"/>
                    </w:rPr>
                  </w:pPr>
                  <w:r>
                    <w:rPr>
                      <w:rFonts w:hint="eastAsia"/>
                      <w:color w:val="auto"/>
                    </w:rPr>
                    <w:t>900-099-S64</w:t>
                  </w:r>
                </w:p>
              </w:tc>
              <w:tc>
                <w:tcPr>
                  <w:tcW w:w="437" w:type="pct"/>
                  <w:vAlign w:val="center"/>
                </w:tcPr>
                <w:p w14:paraId="79AA2D04">
                  <w:pPr>
                    <w:pStyle w:val="96"/>
                    <w:spacing w:line="290" w:lineRule="exact"/>
                    <w:rPr>
                      <w:rFonts w:hint="default" w:eastAsia="宋体"/>
                      <w:color w:val="auto"/>
                      <w:lang w:val="en-US" w:eastAsia="zh-CN"/>
                    </w:rPr>
                  </w:pPr>
                  <w:r>
                    <w:rPr>
                      <w:rFonts w:hint="eastAsia"/>
                      <w:color w:val="auto"/>
                      <w:lang w:val="en-US" w:eastAsia="zh-CN"/>
                    </w:rPr>
                    <w:t>10.5</w:t>
                  </w:r>
                </w:p>
              </w:tc>
              <w:tc>
                <w:tcPr>
                  <w:tcW w:w="1251" w:type="pct"/>
                  <w:vAlign w:val="center"/>
                </w:tcPr>
                <w:p w14:paraId="6A200CCF">
                  <w:pPr>
                    <w:pStyle w:val="96"/>
                    <w:spacing w:line="290" w:lineRule="exact"/>
                    <w:rPr>
                      <w:color w:val="auto"/>
                    </w:rPr>
                  </w:pPr>
                  <w:r>
                    <w:rPr>
                      <w:color w:val="auto"/>
                    </w:rPr>
                    <w:t>环卫部门清运</w:t>
                  </w:r>
                </w:p>
              </w:tc>
            </w:tr>
          </w:tbl>
          <w:p w14:paraId="7BE5CE1A">
            <w:pPr>
              <w:pStyle w:val="34"/>
              <w:spacing w:line="500" w:lineRule="exact"/>
              <w:ind w:firstLine="482" w:firstLineChars="200"/>
              <w:rPr>
                <w:rFonts w:ascii="Times New Roman" w:hAnsi="Times New Roman" w:eastAsia="宋体"/>
                <w:b/>
                <w:bCs/>
                <w:color w:val="auto"/>
                <w:szCs w:val="24"/>
              </w:rPr>
            </w:pPr>
            <w:r>
              <w:rPr>
                <w:rFonts w:ascii="Times New Roman" w:hAnsi="Times New Roman" w:eastAsia="宋体"/>
                <w:b/>
                <w:bCs/>
                <w:color w:val="auto"/>
                <w:szCs w:val="24"/>
              </w:rPr>
              <w:t>4.2危险废物贮存、转运、管理要求</w:t>
            </w:r>
          </w:p>
          <w:p w14:paraId="183CA829">
            <w:pPr>
              <w:pStyle w:val="34"/>
              <w:spacing w:line="500" w:lineRule="exact"/>
              <w:ind w:firstLineChars="200"/>
              <w:rPr>
                <w:rFonts w:ascii="Times New Roman" w:hAnsi="Times New Roman" w:eastAsia="宋体"/>
                <w:color w:val="auto"/>
                <w:szCs w:val="24"/>
              </w:rPr>
            </w:pPr>
            <w:r>
              <w:rPr>
                <w:rFonts w:hint="eastAsia" w:ascii="Times New Roman" w:hAnsi="Times New Roman" w:eastAsia="宋体"/>
                <w:color w:val="auto"/>
                <w:szCs w:val="24"/>
              </w:rPr>
              <w:t>（1）</w:t>
            </w:r>
            <w:r>
              <w:rPr>
                <w:rFonts w:ascii="Times New Roman" w:hAnsi="Times New Roman" w:eastAsia="宋体"/>
                <w:color w:val="auto"/>
                <w:szCs w:val="24"/>
              </w:rPr>
              <w:t>危险废物贮存</w:t>
            </w:r>
          </w:p>
          <w:p w14:paraId="26E79490">
            <w:pPr>
              <w:pStyle w:val="34"/>
              <w:spacing w:line="500" w:lineRule="exact"/>
              <w:ind w:firstLineChars="200"/>
              <w:rPr>
                <w:rFonts w:ascii="Times New Roman" w:hAnsi="Times New Roman" w:eastAsia="宋体"/>
                <w:color w:val="auto"/>
                <w:szCs w:val="24"/>
              </w:rPr>
            </w:pPr>
            <w:r>
              <w:rPr>
                <w:rFonts w:ascii="Times New Roman" w:hAnsi="Times New Roman" w:eastAsia="宋体"/>
                <w:color w:val="auto"/>
                <w:szCs w:val="24"/>
              </w:rPr>
              <w:t>针对本项目产生的危险废物，建设单位拟在</w:t>
            </w:r>
            <w:r>
              <w:rPr>
                <w:rFonts w:hint="eastAsia" w:ascii="Times New Roman" w:hAnsi="Times New Roman" w:eastAsia="宋体"/>
                <w:color w:val="auto"/>
                <w:szCs w:val="24"/>
              </w:rPr>
              <w:t>厂区</w:t>
            </w:r>
            <w:r>
              <w:rPr>
                <w:rFonts w:ascii="Times New Roman" w:hAnsi="Times New Roman" w:eastAsia="宋体"/>
                <w:color w:val="auto"/>
                <w:szCs w:val="24"/>
              </w:rPr>
              <w:t>内设置一个</w:t>
            </w:r>
            <w:r>
              <w:rPr>
                <w:rFonts w:hint="eastAsia" w:ascii="Times New Roman" w:hAnsi="Times New Roman" w:eastAsia="宋体"/>
                <w:color w:val="auto"/>
                <w:szCs w:val="24"/>
                <w:lang w:val="en-US" w:eastAsia="zh-CN"/>
              </w:rPr>
              <w:t>50</w:t>
            </w:r>
            <w:r>
              <w:rPr>
                <w:rFonts w:ascii="Times New Roman" w:hAnsi="Times New Roman" w:eastAsia="宋体"/>
                <w:color w:val="auto"/>
                <w:szCs w:val="24"/>
              </w:rPr>
              <w:t>m</w:t>
            </w:r>
            <w:r>
              <w:rPr>
                <w:rFonts w:ascii="Times New Roman" w:hAnsi="Times New Roman" w:eastAsia="宋体"/>
                <w:color w:val="auto"/>
                <w:szCs w:val="24"/>
                <w:vertAlign w:val="superscript"/>
              </w:rPr>
              <w:t>2</w:t>
            </w:r>
            <w:r>
              <w:rPr>
                <w:rFonts w:ascii="Times New Roman" w:hAnsi="Times New Roman" w:eastAsia="宋体"/>
                <w:color w:val="auto"/>
                <w:szCs w:val="24"/>
              </w:rPr>
              <w:t>的危废</w:t>
            </w:r>
            <w:r>
              <w:rPr>
                <w:rFonts w:hint="eastAsia" w:ascii="Times New Roman" w:hAnsi="Times New Roman" w:eastAsia="宋体"/>
                <w:color w:val="auto"/>
                <w:szCs w:val="24"/>
              </w:rPr>
              <w:t>暂</w:t>
            </w:r>
            <w:r>
              <w:rPr>
                <w:rFonts w:ascii="Times New Roman" w:hAnsi="Times New Roman" w:eastAsia="宋体"/>
                <w:color w:val="auto"/>
                <w:szCs w:val="24"/>
              </w:rPr>
              <w:t>存库，危废</w:t>
            </w:r>
            <w:r>
              <w:rPr>
                <w:rFonts w:hint="eastAsia" w:ascii="Times New Roman" w:hAnsi="Times New Roman" w:eastAsia="宋体"/>
                <w:color w:val="auto"/>
                <w:szCs w:val="24"/>
              </w:rPr>
              <w:t>暂</w:t>
            </w:r>
            <w:r>
              <w:rPr>
                <w:rFonts w:ascii="Times New Roman" w:hAnsi="Times New Roman" w:eastAsia="宋体"/>
                <w:color w:val="auto"/>
                <w:szCs w:val="24"/>
              </w:rPr>
              <w:t>存库应做到以下要求：</w:t>
            </w:r>
          </w:p>
          <w:p w14:paraId="6D45817A">
            <w:pPr>
              <w:pStyle w:val="34"/>
              <w:spacing w:line="500" w:lineRule="exact"/>
              <w:ind w:firstLineChars="200"/>
              <w:rPr>
                <w:rFonts w:ascii="Times New Roman" w:hAnsi="Times New Roman" w:eastAsia="宋体"/>
                <w:color w:val="auto"/>
                <w:szCs w:val="24"/>
              </w:rPr>
            </w:pPr>
            <w:r>
              <w:rPr>
                <w:rFonts w:ascii="Times New Roman" w:hAnsi="Times New Roman" w:eastAsia="宋体"/>
                <w:color w:val="auto"/>
                <w:szCs w:val="24"/>
              </w:rPr>
              <w:t>①危废暂存库分为</w:t>
            </w:r>
            <w:r>
              <w:rPr>
                <w:rFonts w:hint="eastAsia" w:ascii="Times New Roman" w:hAnsi="Times New Roman" w:eastAsia="宋体"/>
                <w:color w:val="auto"/>
                <w:szCs w:val="24"/>
              </w:rPr>
              <w:t>废矿物油区、废电瓶区、其他危废区3个区，废矿物油区占地面积</w:t>
            </w:r>
            <w:r>
              <w:rPr>
                <w:rFonts w:hint="eastAsia" w:ascii="Times New Roman" w:hAnsi="Times New Roman" w:eastAsia="宋体"/>
                <w:color w:val="auto"/>
                <w:szCs w:val="24"/>
                <w:lang w:val="en-US" w:eastAsia="zh-CN"/>
              </w:rPr>
              <w:t>20</w:t>
            </w:r>
            <w:r>
              <w:rPr>
                <w:rFonts w:ascii="Times New Roman" w:hAnsi="Times New Roman" w:eastAsia="宋体"/>
                <w:color w:val="auto"/>
                <w:szCs w:val="24"/>
              </w:rPr>
              <w:t>m</w:t>
            </w:r>
            <w:r>
              <w:rPr>
                <w:rFonts w:ascii="Times New Roman" w:hAnsi="Times New Roman" w:eastAsia="宋体"/>
                <w:color w:val="auto"/>
                <w:szCs w:val="24"/>
                <w:vertAlign w:val="superscript"/>
              </w:rPr>
              <w:t>2</w:t>
            </w:r>
            <w:r>
              <w:rPr>
                <w:rFonts w:hint="eastAsia" w:ascii="Times New Roman" w:hAnsi="Times New Roman" w:eastAsia="宋体"/>
                <w:color w:val="auto"/>
                <w:szCs w:val="24"/>
              </w:rPr>
              <w:t>，最大暂存量</w:t>
            </w:r>
            <w:r>
              <w:rPr>
                <w:rFonts w:hint="eastAsia" w:ascii="Times New Roman" w:hAnsi="Times New Roman" w:eastAsia="宋体"/>
                <w:color w:val="auto"/>
                <w:szCs w:val="24"/>
                <w:lang w:val="en-US" w:eastAsia="zh-CN"/>
              </w:rPr>
              <w:t>0.8</w:t>
            </w:r>
            <w:r>
              <w:rPr>
                <w:rFonts w:hint="eastAsia" w:ascii="Times New Roman" w:hAnsi="Times New Roman" w:eastAsia="宋体"/>
                <w:color w:val="auto"/>
                <w:szCs w:val="24"/>
              </w:rPr>
              <w:t>t，存放周期3个月；废电瓶区占地面积</w:t>
            </w:r>
            <w:r>
              <w:rPr>
                <w:rFonts w:hint="eastAsia" w:ascii="Times New Roman" w:hAnsi="Times New Roman" w:eastAsia="宋体"/>
                <w:color w:val="auto"/>
                <w:szCs w:val="24"/>
                <w:lang w:val="en-US" w:eastAsia="zh-CN"/>
              </w:rPr>
              <w:t>15</w:t>
            </w:r>
            <w:r>
              <w:rPr>
                <w:rFonts w:hint="eastAsia" w:ascii="Times New Roman" w:hAnsi="Times New Roman" w:eastAsia="宋体"/>
                <w:color w:val="auto"/>
                <w:szCs w:val="24"/>
              </w:rPr>
              <w:t>m</w:t>
            </w:r>
            <w:r>
              <w:rPr>
                <w:rFonts w:hint="eastAsia" w:ascii="Times New Roman" w:hAnsi="Times New Roman" w:eastAsia="宋体"/>
                <w:color w:val="auto"/>
                <w:szCs w:val="24"/>
                <w:vertAlign w:val="superscript"/>
              </w:rPr>
              <w:t>2</w:t>
            </w:r>
            <w:r>
              <w:rPr>
                <w:rFonts w:hint="eastAsia" w:ascii="Times New Roman" w:hAnsi="Times New Roman" w:eastAsia="宋体"/>
                <w:color w:val="auto"/>
                <w:szCs w:val="24"/>
              </w:rPr>
              <w:t>，最大暂存量</w:t>
            </w:r>
            <w:r>
              <w:rPr>
                <w:rFonts w:hint="eastAsia" w:ascii="Times New Roman" w:hAnsi="Times New Roman" w:eastAsia="宋体"/>
                <w:color w:val="auto"/>
                <w:szCs w:val="24"/>
                <w:lang w:val="en-US" w:eastAsia="zh-CN"/>
              </w:rPr>
              <w:t>0.4</w:t>
            </w:r>
            <w:r>
              <w:rPr>
                <w:rFonts w:hint="eastAsia" w:ascii="Times New Roman" w:hAnsi="Times New Roman" w:eastAsia="宋体"/>
                <w:color w:val="auto"/>
                <w:szCs w:val="24"/>
              </w:rPr>
              <w:t>t，存放周期3个月，废铅蓄电池应存放于耐腐蚀、具有防渗漏措施的托盘，并设有防渗塑料桶用来盛装电解液；其他危废区占地面积</w:t>
            </w:r>
            <w:r>
              <w:rPr>
                <w:rFonts w:hint="eastAsia" w:ascii="Times New Roman" w:hAnsi="Times New Roman" w:eastAsia="宋体"/>
                <w:color w:val="auto"/>
                <w:szCs w:val="24"/>
                <w:lang w:val="en-US" w:eastAsia="zh-CN"/>
              </w:rPr>
              <w:t>15</w:t>
            </w:r>
            <w:r>
              <w:rPr>
                <w:rFonts w:ascii="Times New Roman" w:hAnsi="Times New Roman" w:eastAsia="宋体"/>
                <w:color w:val="auto"/>
                <w:szCs w:val="24"/>
              </w:rPr>
              <w:t>m</w:t>
            </w:r>
            <w:r>
              <w:rPr>
                <w:rFonts w:ascii="Times New Roman" w:hAnsi="Times New Roman" w:eastAsia="宋体"/>
                <w:color w:val="auto"/>
                <w:szCs w:val="24"/>
                <w:vertAlign w:val="superscript"/>
              </w:rPr>
              <w:t>2</w:t>
            </w:r>
            <w:r>
              <w:rPr>
                <w:rFonts w:hint="eastAsia" w:ascii="Times New Roman" w:hAnsi="Times New Roman" w:eastAsia="宋体"/>
                <w:color w:val="auto"/>
                <w:szCs w:val="24"/>
              </w:rPr>
              <w:t>，中间设置隔断将废机滤和污泥分开，废机滤最大暂存量</w:t>
            </w:r>
            <w:r>
              <w:rPr>
                <w:rFonts w:hint="eastAsia" w:ascii="Times New Roman" w:hAnsi="Times New Roman" w:eastAsia="宋体"/>
                <w:color w:val="auto"/>
                <w:szCs w:val="24"/>
                <w:lang w:val="en-US" w:eastAsia="zh-CN"/>
              </w:rPr>
              <w:t>0.3</w:t>
            </w:r>
            <w:r>
              <w:rPr>
                <w:rFonts w:hint="eastAsia" w:ascii="Times New Roman" w:hAnsi="Times New Roman" w:eastAsia="宋体"/>
                <w:color w:val="auto"/>
                <w:szCs w:val="24"/>
              </w:rPr>
              <w:t>t、污泥最大暂存量</w:t>
            </w:r>
            <w:r>
              <w:rPr>
                <w:rFonts w:hint="eastAsia" w:ascii="Times New Roman" w:hAnsi="Times New Roman" w:eastAsia="宋体"/>
                <w:color w:val="auto"/>
                <w:szCs w:val="24"/>
                <w:lang w:val="en-US" w:eastAsia="zh-CN"/>
              </w:rPr>
              <w:t>2</w:t>
            </w:r>
            <w:r>
              <w:rPr>
                <w:rFonts w:hint="eastAsia" w:ascii="Times New Roman" w:hAnsi="Times New Roman" w:eastAsia="宋体"/>
                <w:color w:val="auto"/>
                <w:szCs w:val="24"/>
              </w:rPr>
              <w:t>t，存放周期均为6个月。</w:t>
            </w:r>
          </w:p>
          <w:p w14:paraId="13EB3BB9">
            <w:pPr>
              <w:pStyle w:val="34"/>
              <w:spacing w:line="500" w:lineRule="exact"/>
              <w:ind w:firstLineChars="200"/>
              <w:rPr>
                <w:rFonts w:ascii="Times New Roman" w:hAnsi="Times New Roman" w:eastAsia="宋体"/>
                <w:color w:val="auto"/>
                <w:szCs w:val="24"/>
              </w:rPr>
            </w:pPr>
            <w:r>
              <w:rPr>
                <w:rFonts w:ascii="Times New Roman" w:hAnsi="Times New Roman" w:eastAsia="宋体"/>
                <w:color w:val="auto"/>
                <w:szCs w:val="24"/>
              </w:rPr>
              <w:t>②库内</w:t>
            </w:r>
            <w:r>
              <w:rPr>
                <w:rFonts w:hint="eastAsia" w:ascii="Times New Roman" w:hAnsi="Times New Roman" w:eastAsia="宋体"/>
                <w:color w:val="auto"/>
                <w:szCs w:val="24"/>
              </w:rPr>
              <w:t>废矿物油区</w:t>
            </w:r>
            <w:r>
              <w:rPr>
                <w:rFonts w:ascii="Times New Roman" w:hAnsi="Times New Roman" w:eastAsia="宋体"/>
                <w:color w:val="auto"/>
                <w:szCs w:val="24"/>
              </w:rPr>
              <w:t>设置导流槽和集液池，导流槽沿内墙墙壁布置，</w:t>
            </w:r>
            <w:r>
              <w:rPr>
                <w:rFonts w:hint="eastAsia" w:ascii="Times New Roman" w:hAnsi="Times New Roman" w:eastAsia="宋体"/>
                <w:color w:val="auto"/>
                <w:szCs w:val="24"/>
              </w:rPr>
              <w:t>导流槽长32m、</w:t>
            </w:r>
            <w:r>
              <w:rPr>
                <w:rFonts w:ascii="Times New Roman" w:hAnsi="Times New Roman" w:eastAsia="宋体"/>
                <w:color w:val="auto"/>
                <w:szCs w:val="24"/>
              </w:rPr>
              <w:t>宽0.3m、深0.1m</w:t>
            </w:r>
            <w:r>
              <w:rPr>
                <w:rFonts w:hint="eastAsia" w:ascii="Times New Roman" w:hAnsi="Times New Roman" w:eastAsia="宋体"/>
                <w:color w:val="auto"/>
                <w:szCs w:val="24"/>
              </w:rPr>
              <w:t>，</w:t>
            </w:r>
            <w:r>
              <w:rPr>
                <w:rFonts w:ascii="Times New Roman" w:hAnsi="Times New Roman" w:eastAsia="宋体"/>
                <w:color w:val="auto"/>
                <w:szCs w:val="24"/>
              </w:rPr>
              <w:t>集液池容积为</w:t>
            </w:r>
            <w:r>
              <w:rPr>
                <w:rFonts w:hint="eastAsia" w:ascii="Times New Roman" w:hAnsi="Times New Roman" w:eastAsia="宋体"/>
                <w:color w:val="auto"/>
                <w:szCs w:val="24"/>
              </w:rPr>
              <w:t>5</w:t>
            </w:r>
            <w:r>
              <w:rPr>
                <w:rFonts w:ascii="Times New Roman" w:hAnsi="Times New Roman" w:eastAsia="宋体"/>
                <w:color w:val="auto"/>
                <w:szCs w:val="24"/>
              </w:rPr>
              <w:t>m</w:t>
            </w:r>
            <w:r>
              <w:rPr>
                <w:rFonts w:ascii="Times New Roman" w:hAnsi="Times New Roman" w:eastAsia="宋体"/>
                <w:color w:val="auto"/>
                <w:szCs w:val="24"/>
                <w:vertAlign w:val="superscript"/>
              </w:rPr>
              <w:t>3</w:t>
            </w:r>
            <w:r>
              <w:rPr>
                <w:rFonts w:ascii="Times New Roman" w:hAnsi="Times New Roman" w:eastAsia="宋体"/>
                <w:color w:val="auto"/>
                <w:szCs w:val="24"/>
              </w:rPr>
              <w:t>，与集液池连通</w:t>
            </w:r>
            <w:r>
              <w:rPr>
                <w:rFonts w:hint="eastAsia" w:ascii="Times New Roman" w:hAnsi="Times New Roman" w:eastAsia="宋体"/>
                <w:color w:val="auto"/>
                <w:szCs w:val="24"/>
              </w:rPr>
              <w:t>，</w:t>
            </w:r>
            <w:r>
              <w:rPr>
                <w:rFonts w:ascii="Times New Roman" w:hAnsi="Times New Roman" w:eastAsia="宋体"/>
                <w:color w:val="auto"/>
                <w:szCs w:val="24"/>
              </w:rPr>
              <w:t>收集事故情况下泄漏的</w:t>
            </w:r>
            <w:r>
              <w:rPr>
                <w:rFonts w:hint="eastAsia" w:ascii="Times New Roman" w:hAnsi="Times New Roman" w:eastAsia="宋体"/>
                <w:color w:val="auto"/>
                <w:szCs w:val="24"/>
              </w:rPr>
              <w:t>废油</w:t>
            </w:r>
            <w:r>
              <w:rPr>
                <w:rFonts w:ascii="Times New Roman" w:hAnsi="Times New Roman" w:eastAsia="宋体"/>
                <w:color w:val="auto"/>
                <w:szCs w:val="24"/>
              </w:rPr>
              <w:t>。</w:t>
            </w:r>
          </w:p>
          <w:p w14:paraId="7B04C82D">
            <w:pPr>
              <w:pStyle w:val="52"/>
              <w:spacing w:beforeLines="0" w:afterLines="0" w:line="500" w:lineRule="exact"/>
              <w:ind w:firstLine="480" w:firstLineChars="200"/>
              <w:jc w:val="both"/>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③本项目危废暂存库按照《危险废物贮存污染控制标准》（GB18597-2023）相关内容进行防渗：</w:t>
            </w:r>
            <w:r>
              <w:rPr>
                <w:rFonts w:ascii="Times New Roman" w:hAnsi="Times New Roman" w:eastAsia="宋体" w:cs="Times New Roman"/>
                <w:bCs/>
                <w:color w:val="auto"/>
                <w:sz w:val="24"/>
                <w:szCs w:val="24"/>
              </w:rPr>
              <w:t>地面由下至上依次为天然基础层+300mm土夯实+2mmHDPE土工膜+200mmC30混凝土地面+4mm环氧地坪，渗透系数满足≤10</w:t>
            </w:r>
            <w:r>
              <w:rPr>
                <w:rFonts w:ascii="Times New Roman" w:hAnsi="Times New Roman" w:eastAsia="宋体" w:cs="Times New Roman"/>
                <w:bCs/>
                <w:color w:val="auto"/>
                <w:sz w:val="24"/>
                <w:szCs w:val="24"/>
                <w:vertAlign w:val="superscript"/>
              </w:rPr>
              <w:t>-10</w:t>
            </w:r>
            <w:r>
              <w:rPr>
                <w:rFonts w:ascii="Times New Roman" w:hAnsi="Times New Roman" w:eastAsia="宋体" w:cs="Times New Roman"/>
                <w:bCs/>
                <w:color w:val="auto"/>
                <w:sz w:val="24"/>
                <w:szCs w:val="24"/>
              </w:rPr>
              <w:t>cm/s的要求，裙脚采用2mm厚高密度聚乙烯（HDPE）防渗膜渗透系数≤10</w:t>
            </w:r>
            <w:r>
              <w:rPr>
                <w:rFonts w:ascii="Times New Roman" w:hAnsi="Times New Roman" w:eastAsia="宋体" w:cs="Times New Roman"/>
                <w:bCs/>
                <w:color w:val="auto"/>
                <w:sz w:val="24"/>
                <w:szCs w:val="24"/>
                <w:vertAlign w:val="superscript"/>
              </w:rPr>
              <w:t>-10</w:t>
            </w:r>
            <w:r>
              <w:rPr>
                <w:rFonts w:ascii="Times New Roman" w:hAnsi="Times New Roman" w:eastAsia="宋体" w:cs="Times New Roman"/>
                <w:bCs/>
                <w:color w:val="auto"/>
                <w:sz w:val="24"/>
                <w:szCs w:val="24"/>
              </w:rPr>
              <w:t>cm/s，建筑材料与危险废物相容</w:t>
            </w:r>
            <w:r>
              <w:rPr>
                <w:rFonts w:ascii="Times New Roman" w:hAnsi="Times New Roman" w:eastAsia="宋体" w:cs="Times New Roman"/>
                <w:color w:val="auto"/>
                <w:sz w:val="24"/>
                <w:szCs w:val="24"/>
              </w:rPr>
              <w:t>。库内设20cm高墙裙作为围堰，裙脚防渗与地面相同，地面与墙裙自流平，地面预留伸缩缝。</w:t>
            </w:r>
            <w:r>
              <w:rPr>
                <w:rFonts w:ascii="Times New Roman" w:hAnsi="Times New Roman" w:eastAsia="宋体" w:cs="Times New Roman"/>
                <w:bCs/>
                <w:color w:val="auto"/>
                <w:sz w:val="24"/>
                <w:szCs w:val="24"/>
              </w:rPr>
              <w:t>保证构筑物渗透系数不大于1.0×10</w:t>
            </w:r>
            <w:r>
              <w:rPr>
                <w:rFonts w:ascii="Times New Roman" w:hAnsi="Times New Roman" w:eastAsia="宋体" w:cs="Times New Roman"/>
                <w:bCs/>
                <w:color w:val="auto"/>
                <w:sz w:val="24"/>
                <w:szCs w:val="24"/>
                <w:vertAlign w:val="superscript"/>
              </w:rPr>
              <w:t>-10</w:t>
            </w:r>
            <w:r>
              <w:rPr>
                <w:rFonts w:ascii="Times New Roman" w:hAnsi="Times New Roman" w:eastAsia="宋体" w:cs="Times New Roman"/>
                <w:bCs/>
                <w:color w:val="auto"/>
                <w:sz w:val="24"/>
                <w:szCs w:val="24"/>
              </w:rPr>
              <w:t>cm/s</w:t>
            </w:r>
            <w:r>
              <w:rPr>
                <w:rFonts w:ascii="Times New Roman" w:hAnsi="Times New Roman" w:eastAsia="宋体" w:cs="Times New Roman"/>
                <w:color w:val="auto"/>
                <w:sz w:val="24"/>
                <w:szCs w:val="24"/>
              </w:rPr>
              <w:t>。</w:t>
            </w:r>
          </w:p>
          <w:p w14:paraId="61F5EB69">
            <w:pPr>
              <w:pStyle w:val="34"/>
              <w:spacing w:line="500" w:lineRule="exact"/>
              <w:ind w:firstLineChars="200"/>
              <w:rPr>
                <w:rFonts w:ascii="Times New Roman" w:hAnsi="Times New Roman" w:eastAsia="宋体"/>
                <w:color w:val="auto"/>
                <w:szCs w:val="24"/>
              </w:rPr>
            </w:pPr>
            <w:r>
              <w:rPr>
                <w:rFonts w:ascii="Times New Roman" w:hAnsi="Times New Roman" w:eastAsia="宋体"/>
                <w:color w:val="auto"/>
                <w:szCs w:val="24"/>
              </w:rPr>
              <w:t>②危险废物转运</w:t>
            </w:r>
          </w:p>
          <w:p w14:paraId="088E8840">
            <w:pPr>
              <w:pStyle w:val="34"/>
              <w:spacing w:line="480" w:lineRule="exact"/>
              <w:ind w:firstLineChars="200"/>
              <w:rPr>
                <w:rFonts w:ascii="Times New Roman" w:hAnsi="Times New Roman" w:eastAsia="宋体"/>
                <w:color w:val="auto"/>
                <w:szCs w:val="24"/>
              </w:rPr>
            </w:pPr>
            <w:r>
              <w:rPr>
                <w:rFonts w:ascii="Times New Roman" w:hAnsi="Times New Roman" w:eastAsia="宋体"/>
                <w:color w:val="auto"/>
                <w:szCs w:val="24"/>
              </w:rPr>
              <w:t>根据《危险废物收集、贮存、运输技术规范》（HJ2025-2012）、《危险废物贮存污染控制标准》（GB18597-2023）、《危险废物转移管理办法》（生态环境部、公安部、交通运输部令第23号）的要求，对危险废物的收集、处置提出如下要求：</w:t>
            </w:r>
          </w:p>
          <w:p w14:paraId="3F4C9D01">
            <w:pPr>
              <w:pStyle w:val="34"/>
              <w:spacing w:line="500" w:lineRule="exact"/>
              <w:ind w:firstLineChars="200"/>
              <w:rPr>
                <w:rFonts w:ascii="Times New Roman" w:hAnsi="Times New Roman" w:eastAsia="宋体"/>
                <w:color w:val="auto"/>
                <w:szCs w:val="24"/>
              </w:rPr>
            </w:pPr>
            <w:r>
              <w:rPr>
                <w:rFonts w:ascii="Times New Roman" w:hAnsi="Times New Roman" w:eastAsia="宋体"/>
                <w:color w:val="auto"/>
                <w:szCs w:val="24"/>
              </w:rPr>
              <w:t>危险废物收集时应根据危废种类、数量、危险特性、物理形态、运输要求等要素确定包装形式，具体包装应符合如下要求：</w:t>
            </w:r>
          </w:p>
          <w:p w14:paraId="7B04276F">
            <w:pPr>
              <w:pStyle w:val="34"/>
              <w:spacing w:line="500" w:lineRule="exact"/>
              <w:ind w:firstLineChars="200"/>
              <w:rPr>
                <w:rFonts w:ascii="Times New Roman" w:hAnsi="Times New Roman" w:eastAsia="宋体"/>
                <w:color w:val="auto"/>
                <w:szCs w:val="24"/>
              </w:rPr>
            </w:pPr>
            <w:r>
              <w:rPr>
                <w:rFonts w:ascii="Times New Roman" w:hAnsi="Times New Roman" w:eastAsia="宋体"/>
                <w:color w:val="auto"/>
                <w:szCs w:val="24"/>
              </w:rPr>
              <w:t>1）包装材质要与危险废物相容，可根据废物特性选择钢、铝、塑料等材质：</w:t>
            </w:r>
          </w:p>
          <w:p w14:paraId="71FFF9EF">
            <w:pPr>
              <w:pStyle w:val="34"/>
              <w:spacing w:line="500" w:lineRule="exact"/>
              <w:ind w:firstLineChars="200"/>
              <w:rPr>
                <w:rFonts w:ascii="Times New Roman" w:hAnsi="Times New Roman" w:eastAsia="宋体"/>
                <w:color w:val="auto"/>
                <w:szCs w:val="24"/>
              </w:rPr>
            </w:pPr>
            <w:r>
              <w:rPr>
                <w:rFonts w:ascii="Times New Roman" w:hAnsi="Times New Roman" w:eastAsia="宋体"/>
                <w:color w:val="auto"/>
                <w:szCs w:val="24"/>
              </w:rPr>
              <w:t>2）性质类似的废物可收集到同一容器中，性质不相容的危险废物不得混合包装；</w:t>
            </w:r>
          </w:p>
          <w:p w14:paraId="75418337">
            <w:pPr>
              <w:pStyle w:val="34"/>
              <w:spacing w:line="500" w:lineRule="exact"/>
              <w:ind w:firstLineChars="200"/>
              <w:rPr>
                <w:rFonts w:ascii="Times New Roman" w:hAnsi="Times New Roman" w:eastAsia="宋体"/>
                <w:color w:val="auto"/>
                <w:szCs w:val="24"/>
              </w:rPr>
            </w:pPr>
            <w:r>
              <w:rPr>
                <w:rFonts w:ascii="Times New Roman" w:hAnsi="Times New Roman" w:eastAsia="宋体"/>
                <w:color w:val="auto"/>
                <w:szCs w:val="24"/>
              </w:rPr>
              <w:t>3）危险废物包装应能有效隔断危险废物迁移扩散途径，并达到防渗、防漏要求：</w:t>
            </w:r>
          </w:p>
          <w:p w14:paraId="73D8AE00">
            <w:pPr>
              <w:pStyle w:val="34"/>
              <w:spacing w:line="500" w:lineRule="exact"/>
              <w:ind w:firstLineChars="200"/>
              <w:rPr>
                <w:rFonts w:ascii="Times New Roman" w:hAnsi="Times New Roman" w:eastAsia="宋体"/>
                <w:color w:val="auto"/>
                <w:szCs w:val="24"/>
              </w:rPr>
            </w:pPr>
            <w:r>
              <w:rPr>
                <w:rFonts w:ascii="Times New Roman" w:hAnsi="Times New Roman" w:eastAsia="宋体"/>
                <w:color w:val="auto"/>
                <w:szCs w:val="24"/>
              </w:rPr>
              <w:t>4）包装好的危险废物应设置相应的标签，标签信息应填写完整、详实；</w:t>
            </w:r>
          </w:p>
          <w:p w14:paraId="3DA37B0B">
            <w:pPr>
              <w:pStyle w:val="34"/>
              <w:spacing w:line="500" w:lineRule="exact"/>
              <w:ind w:firstLineChars="200"/>
              <w:rPr>
                <w:rFonts w:ascii="Times New Roman" w:hAnsi="Times New Roman" w:eastAsia="宋体"/>
                <w:color w:val="auto"/>
                <w:szCs w:val="24"/>
              </w:rPr>
            </w:pPr>
            <w:r>
              <w:rPr>
                <w:rFonts w:ascii="Times New Roman" w:hAnsi="Times New Roman" w:eastAsia="宋体"/>
                <w:color w:val="auto"/>
                <w:szCs w:val="24"/>
              </w:rPr>
              <w:t>5）盛装过危险废物的包装袋或包装容器破损后应按危险废物进行管理和处置：</w:t>
            </w:r>
          </w:p>
          <w:p w14:paraId="72B9D5FC">
            <w:pPr>
              <w:pStyle w:val="34"/>
              <w:spacing w:line="500" w:lineRule="exact"/>
              <w:ind w:firstLineChars="200"/>
              <w:rPr>
                <w:rFonts w:ascii="Times New Roman" w:hAnsi="Times New Roman" w:eastAsia="宋体"/>
                <w:color w:val="auto"/>
                <w:szCs w:val="24"/>
              </w:rPr>
            </w:pPr>
            <w:r>
              <w:rPr>
                <w:rFonts w:ascii="Times New Roman" w:hAnsi="Times New Roman" w:eastAsia="宋体"/>
                <w:color w:val="auto"/>
                <w:szCs w:val="24"/>
              </w:rPr>
              <w:t>6）危险废物还应根据GB12463的有关要求进行运输包装。</w:t>
            </w:r>
          </w:p>
          <w:p w14:paraId="2A6CA288">
            <w:pPr>
              <w:pStyle w:val="34"/>
              <w:spacing w:line="500" w:lineRule="exact"/>
              <w:ind w:firstLineChars="200"/>
              <w:rPr>
                <w:rFonts w:ascii="Times New Roman" w:hAnsi="Times New Roman" w:eastAsia="宋体"/>
                <w:color w:val="auto"/>
                <w:szCs w:val="24"/>
              </w:rPr>
            </w:pPr>
            <w:r>
              <w:rPr>
                <w:rFonts w:ascii="Times New Roman" w:hAnsi="Times New Roman" w:eastAsia="宋体"/>
                <w:color w:val="auto"/>
                <w:szCs w:val="24"/>
              </w:rPr>
              <w:t>③危险废物管理</w:t>
            </w:r>
          </w:p>
          <w:p w14:paraId="568B6622">
            <w:pPr>
              <w:pStyle w:val="34"/>
              <w:spacing w:line="500" w:lineRule="exact"/>
              <w:ind w:firstLineChars="200"/>
              <w:rPr>
                <w:rFonts w:ascii="Times New Roman" w:hAnsi="Times New Roman" w:eastAsia="宋体"/>
                <w:color w:val="auto"/>
                <w:szCs w:val="24"/>
              </w:rPr>
            </w:pPr>
            <w:r>
              <w:rPr>
                <w:rFonts w:ascii="Times New Roman" w:hAnsi="Times New Roman" w:eastAsia="宋体"/>
                <w:color w:val="auto"/>
                <w:szCs w:val="24"/>
              </w:rPr>
              <w:t>必须做好危险废物记录，记录上须注明危险废物名称、类别、代码和包装容器的类别、入库日期、存放库位、废物出库日期及接收单位名称；危险废物的记录保存时间原则上应存档5年以上。</w:t>
            </w:r>
          </w:p>
          <w:p w14:paraId="74C35F24">
            <w:pPr>
              <w:pStyle w:val="34"/>
              <w:spacing w:line="500" w:lineRule="exact"/>
              <w:ind w:firstLineChars="200"/>
              <w:rPr>
                <w:rFonts w:ascii="Times New Roman" w:hAnsi="Times New Roman" w:eastAsia="宋体"/>
                <w:color w:val="auto"/>
                <w:szCs w:val="24"/>
              </w:rPr>
            </w:pPr>
            <w:r>
              <w:rPr>
                <w:rFonts w:ascii="Times New Roman" w:hAnsi="Times New Roman" w:eastAsia="宋体"/>
                <w:color w:val="auto"/>
                <w:szCs w:val="24"/>
              </w:rPr>
              <w:t>在转移危险废物前，应当通过国家危险废物信息管理系统填写、运行危险废物电子转移联单，并依照国家有关规定公开危险废物转移相关污染环境防治信息。危险废物电子转移联单数据应当在信息系统中至少保存十年。</w:t>
            </w:r>
          </w:p>
          <w:p w14:paraId="19BB78C5">
            <w:pPr>
              <w:pStyle w:val="34"/>
              <w:spacing w:line="480" w:lineRule="exact"/>
              <w:ind w:firstLineChars="200"/>
              <w:rPr>
                <w:rFonts w:ascii="Times New Roman" w:hAnsi="Times New Roman" w:eastAsia="宋体"/>
                <w:color w:val="auto"/>
                <w:szCs w:val="24"/>
              </w:rPr>
            </w:pPr>
            <w:r>
              <w:rPr>
                <w:rFonts w:ascii="Times New Roman" w:hAnsi="Times New Roman" w:eastAsia="宋体"/>
                <w:color w:val="auto"/>
                <w:szCs w:val="24"/>
              </w:rPr>
              <w:t>因此，项目固废全部得到妥善处置，处理措施可行，不会对周围环境产生明显影响。</w:t>
            </w:r>
          </w:p>
          <w:p w14:paraId="764CF195">
            <w:pPr>
              <w:tabs>
                <w:tab w:val="left" w:pos="0"/>
              </w:tabs>
              <w:spacing w:line="480" w:lineRule="exact"/>
              <w:ind w:firstLine="482" w:firstLineChars="200"/>
              <w:outlineLvl w:val="0"/>
              <w:rPr>
                <w:b/>
                <w:bCs/>
                <w:color w:val="auto"/>
              </w:rPr>
            </w:pPr>
            <w:r>
              <w:rPr>
                <w:rFonts w:hint="eastAsia"/>
                <w:b/>
                <w:bCs/>
                <w:color w:val="auto"/>
              </w:rPr>
              <w:t>5、地下水、土壤环境影响分析</w:t>
            </w:r>
          </w:p>
          <w:p w14:paraId="70C8390F">
            <w:pPr>
              <w:spacing w:line="480" w:lineRule="exact"/>
              <w:ind w:firstLine="482" w:firstLineChars="200"/>
              <w:rPr>
                <w:b/>
                <w:bCs/>
                <w:color w:val="auto"/>
              </w:rPr>
            </w:pPr>
            <w:r>
              <w:rPr>
                <w:rFonts w:hint="eastAsia"/>
                <w:b/>
                <w:bCs/>
                <w:color w:val="auto"/>
              </w:rPr>
              <w:t>7.1项目对地下水、土壤的影响分析</w:t>
            </w:r>
          </w:p>
          <w:p w14:paraId="17C64982">
            <w:pPr>
              <w:spacing w:line="500" w:lineRule="exact"/>
              <w:ind w:firstLine="480" w:firstLineChars="200"/>
              <w:rPr>
                <w:color w:val="auto"/>
              </w:rPr>
            </w:pPr>
            <w:r>
              <w:rPr>
                <w:rFonts w:hint="eastAsia"/>
                <w:color w:val="auto"/>
              </w:rPr>
              <w:t>项目建成后，正常情况下，</w:t>
            </w:r>
            <w:r>
              <w:rPr>
                <w:rFonts w:hint="eastAsia"/>
                <w:color w:val="FF0000"/>
              </w:rPr>
              <w:t>清洗废水经一体化污水处理设施处理后</w:t>
            </w:r>
            <w:r>
              <w:rPr>
                <w:rFonts w:hint="eastAsia"/>
                <w:color w:val="FF0000"/>
                <w:lang w:val="en-US" w:eastAsia="zh-CN"/>
              </w:rPr>
              <w:t>回用于厂区绿化、道路洒水</w:t>
            </w:r>
            <w:r>
              <w:rPr>
                <w:rFonts w:hint="eastAsia"/>
                <w:color w:val="auto"/>
                <w:lang w:eastAsia="zh-CN"/>
              </w:rPr>
              <w:t>；</w:t>
            </w:r>
            <w:r>
              <w:rPr>
                <w:rFonts w:hint="eastAsia"/>
                <w:color w:val="auto"/>
              </w:rPr>
              <w:t>生活污水经化粪池处理</w:t>
            </w:r>
            <w:r>
              <w:rPr>
                <w:rFonts w:hint="eastAsia"/>
                <w:color w:val="auto"/>
                <w:lang w:val="en-US" w:eastAsia="zh-CN"/>
              </w:rPr>
              <w:t>后</w:t>
            </w:r>
            <w:r>
              <w:rPr>
                <w:rFonts w:hint="eastAsia"/>
                <w:color w:val="auto"/>
              </w:rPr>
              <w:t>经园区污水管网排入蒙西工业园区污水处理厂，不直接外排。</w:t>
            </w:r>
          </w:p>
          <w:p w14:paraId="2217B7D0">
            <w:pPr>
              <w:spacing w:line="500" w:lineRule="exact"/>
              <w:ind w:firstLine="480" w:firstLineChars="200"/>
              <w:rPr>
                <w:color w:val="auto"/>
              </w:rPr>
            </w:pPr>
            <w:r>
              <w:rPr>
                <w:rFonts w:hint="eastAsia"/>
                <w:color w:val="auto"/>
              </w:rPr>
              <w:t>危废暂存库按相关要求进行建设，</w:t>
            </w:r>
            <w:r>
              <w:rPr>
                <w:color w:val="auto"/>
                <w:szCs w:val="21"/>
              </w:rPr>
              <w:t>库内设</w:t>
            </w:r>
            <w:r>
              <w:rPr>
                <w:rFonts w:hint="eastAsia"/>
                <w:color w:val="auto"/>
                <w:szCs w:val="21"/>
              </w:rPr>
              <w:t>2</w:t>
            </w:r>
            <w:r>
              <w:rPr>
                <w:color w:val="auto"/>
                <w:szCs w:val="21"/>
              </w:rPr>
              <w:t>0cm高墙裙作为围堰，</w:t>
            </w:r>
            <w:r>
              <w:rPr>
                <w:rFonts w:hint="eastAsia"/>
                <w:color w:val="auto"/>
              </w:rPr>
              <w:t>地面、裙脚均进行防渗处理。</w:t>
            </w:r>
          </w:p>
          <w:p w14:paraId="407C1596">
            <w:pPr>
              <w:spacing w:line="500" w:lineRule="exact"/>
              <w:ind w:firstLine="480" w:firstLineChars="200"/>
              <w:rPr>
                <w:color w:val="auto"/>
              </w:rPr>
            </w:pPr>
            <w:r>
              <w:rPr>
                <w:rFonts w:hint="eastAsia"/>
                <w:color w:val="auto"/>
              </w:rPr>
              <w:t>依据工程设计，在危废暂存库、维修车间、污水处理设施、化粪池等区域均进行防渗处理。因此，正常生产条件下，本工程废水不会对地下水产生影响。</w:t>
            </w:r>
          </w:p>
          <w:p w14:paraId="45D217DD">
            <w:pPr>
              <w:spacing w:line="500" w:lineRule="exact"/>
              <w:ind w:left="-12" w:leftChars="-5" w:firstLine="482" w:firstLineChars="200"/>
              <w:rPr>
                <w:b/>
                <w:bCs/>
                <w:color w:val="auto"/>
              </w:rPr>
            </w:pPr>
            <w:r>
              <w:rPr>
                <w:rFonts w:hint="eastAsia"/>
                <w:b/>
                <w:bCs/>
                <w:color w:val="auto"/>
              </w:rPr>
              <w:t>7.2分区防渗措施</w:t>
            </w:r>
          </w:p>
          <w:p w14:paraId="4F39E72D">
            <w:pPr>
              <w:spacing w:line="500" w:lineRule="exact"/>
              <w:ind w:left="-12" w:leftChars="-5" w:firstLine="480" w:firstLineChars="200"/>
              <w:rPr>
                <w:color w:val="auto"/>
              </w:rPr>
            </w:pPr>
            <w:r>
              <w:rPr>
                <w:color w:val="auto"/>
              </w:rPr>
              <w:t>①生产设备做好质量检查、验收工作，有质量问题的及时更换，阀门采用优质产品，防止设备破损</w:t>
            </w:r>
            <w:r>
              <w:rPr>
                <w:rFonts w:hint="eastAsia"/>
                <w:color w:val="auto"/>
              </w:rPr>
              <w:t>导致机油</w:t>
            </w:r>
            <w:r>
              <w:rPr>
                <w:color w:val="auto"/>
              </w:rPr>
              <w:t>“跑、冒、滴</w:t>
            </w:r>
            <w:r>
              <w:rPr>
                <w:rFonts w:hint="eastAsia"/>
                <w:color w:val="auto"/>
              </w:rPr>
              <w:t>、漏</w:t>
            </w:r>
            <w:r>
              <w:rPr>
                <w:color w:val="auto"/>
              </w:rPr>
              <w:t>”现象</w:t>
            </w:r>
            <w:r>
              <w:rPr>
                <w:rFonts w:hint="eastAsia"/>
                <w:color w:val="auto"/>
              </w:rPr>
              <w:t>发生</w:t>
            </w:r>
            <w:r>
              <w:rPr>
                <w:color w:val="auto"/>
              </w:rPr>
              <w:t>。</w:t>
            </w:r>
          </w:p>
          <w:p w14:paraId="3B280A85">
            <w:pPr>
              <w:spacing w:line="500" w:lineRule="exact"/>
              <w:ind w:left="-12" w:leftChars="-5" w:firstLine="480" w:firstLineChars="200"/>
              <w:rPr>
                <w:color w:val="auto"/>
              </w:rPr>
            </w:pPr>
            <w:r>
              <w:rPr>
                <w:rFonts w:hint="eastAsia"/>
                <w:color w:val="auto"/>
              </w:rPr>
              <w:t>②</w:t>
            </w:r>
            <w:r>
              <w:rPr>
                <w:color w:val="auto"/>
              </w:rPr>
              <w:t>定期对</w:t>
            </w:r>
            <w:r>
              <w:rPr>
                <w:rFonts w:hint="eastAsia"/>
                <w:color w:val="auto"/>
              </w:rPr>
              <w:t>危废暂存库</w:t>
            </w:r>
            <w:r>
              <w:rPr>
                <w:color w:val="auto"/>
              </w:rPr>
              <w:t>等设施的渗漏性进行检查，即注满水后观察是否有渗水、漏水现象，发现问题及时解决。</w:t>
            </w:r>
          </w:p>
          <w:p w14:paraId="388B1275">
            <w:pPr>
              <w:spacing w:line="500" w:lineRule="exact"/>
              <w:ind w:left="-12" w:leftChars="-5" w:firstLine="480" w:firstLineChars="200"/>
              <w:rPr>
                <w:color w:val="auto"/>
              </w:rPr>
            </w:pPr>
            <w:r>
              <w:rPr>
                <w:rFonts w:hint="eastAsia"/>
                <w:color w:val="auto"/>
              </w:rPr>
              <w:t>③</w:t>
            </w:r>
            <w:r>
              <w:rPr>
                <w:color w:val="auto"/>
              </w:rPr>
              <w:t>厂区分区防渗：</w:t>
            </w:r>
            <w:r>
              <w:rPr>
                <w:rFonts w:hint="eastAsia"/>
                <w:color w:val="auto"/>
              </w:rPr>
              <w:t>根据《地下水污染源防渗技术指南(试行)》和《危险废物贮存污染控制标准》(GB18597-2023)要求，厂区分区防渗</w:t>
            </w:r>
            <w:r>
              <w:rPr>
                <w:color w:val="auto"/>
              </w:rPr>
              <w:t>。主要场地分区防渗情况见表</w:t>
            </w:r>
            <w:r>
              <w:rPr>
                <w:rFonts w:hint="eastAsia"/>
                <w:color w:val="auto"/>
              </w:rPr>
              <w:t>4-</w:t>
            </w:r>
            <w:r>
              <w:rPr>
                <w:rFonts w:hint="eastAsia"/>
                <w:color w:val="auto"/>
                <w:lang w:val="en-US" w:eastAsia="zh-CN"/>
              </w:rPr>
              <w:t>13</w:t>
            </w:r>
            <w:r>
              <w:rPr>
                <w:color w:val="auto"/>
              </w:rPr>
              <w:t>。</w:t>
            </w:r>
          </w:p>
          <w:p w14:paraId="77C92B55">
            <w:pPr>
              <w:tabs>
                <w:tab w:val="left" w:pos="1021"/>
              </w:tabs>
              <w:adjustRightInd w:val="0"/>
              <w:snapToGrid w:val="0"/>
              <w:spacing w:line="500" w:lineRule="exact"/>
              <w:jc w:val="center"/>
              <w:rPr>
                <w:b/>
                <w:color w:val="auto"/>
                <w:kern w:val="24"/>
              </w:rPr>
            </w:pPr>
            <w:r>
              <w:rPr>
                <w:b/>
                <w:color w:val="auto"/>
                <w:kern w:val="24"/>
              </w:rPr>
              <w:t>表</w:t>
            </w:r>
            <w:r>
              <w:rPr>
                <w:rFonts w:hint="eastAsia"/>
                <w:b/>
                <w:color w:val="auto"/>
                <w:kern w:val="24"/>
              </w:rPr>
              <w:t>4-1</w:t>
            </w:r>
            <w:r>
              <w:rPr>
                <w:rFonts w:hint="eastAsia"/>
                <w:b/>
                <w:color w:val="auto"/>
                <w:kern w:val="24"/>
                <w:lang w:val="en-US" w:eastAsia="zh-CN"/>
              </w:rPr>
              <w:t>3</w:t>
            </w:r>
            <w:r>
              <w:rPr>
                <w:b/>
                <w:color w:val="auto"/>
                <w:kern w:val="24"/>
              </w:rPr>
              <w:t xml:space="preserve">   厂区分区防渗一览表</w:t>
            </w:r>
          </w:p>
          <w:tbl>
            <w:tblPr>
              <w:tblStyle w:val="25"/>
              <w:tblW w:w="4949" w:type="pct"/>
              <w:tblInd w:w="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85"/>
              <w:gridCol w:w="1642"/>
              <w:gridCol w:w="4988"/>
              <w:gridCol w:w="1064"/>
            </w:tblGrid>
            <w:tr w14:paraId="4ED28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3" w:type="pct"/>
                  <w:tcBorders>
                    <w:tl2br w:val="nil"/>
                    <w:tr2bl w:val="nil"/>
                  </w:tcBorders>
                  <w:vAlign w:val="center"/>
                </w:tcPr>
                <w:p w14:paraId="1D8EECDE">
                  <w:pPr>
                    <w:adjustRightInd w:val="0"/>
                    <w:snapToGrid w:val="0"/>
                    <w:spacing w:line="320" w:lineRule="exact"/>
                    <w:ind w:left="-120" w:leftChars="-50" w:right="-120" w:rightChars="-50"/>
                    <w:jc w:val="center"/>
                    <w:rPr>
                      <w:b/>
                      <w:bCs/>
                      <w:color w:val="auto"/>
                      <w:sz w:val="21"/>
                      <w:szCs w:val="21"/>
                    </w:rPr>
                  </w:pPr>
                  <w:r>
                    <w:rPr>
                      <w:b/>
                      <w:bCs/>
                      <w:color w:val="auto"/>
                      <w:sz w:val="21"/>
                      <w:szCs w:val="21"/>
                    </w:rPr>
                    <w:t>序号</w:t>
                  </w:r>
                </w:p>
              </w:tc>
              <w:tc>
                <w:tcPr>
                  <w:tcW w:w="991" w:type="pct"/>
                  <w:tcBorders>
                    <w:tl2br w:val="nil"/>
                    <w:tr2bl w:val="nil"/>
                  </w:tcBorders>
                  <w:vAlign w:val="center"/>
                </w:tcPr>
                <w:p w14:paraId="774C7524">
                  <w:pPr>
                    <w:adjustRightInd w:val="0"/>
                    <w:snapToGrid w:val="0"/>
                    <w:spacing w:line="320" w:lineRule="exact"/>
                    <w:jc w:val="center"/>
                    <w:rPr>
                      <w:b/>
                      <w:bCs/>
                      <w:color w:val="auto"/>
                      <w:sz w:val="21"/>
                      <w:szCs w:val="21"/>
                    </w:rPr>
                  </w:pPr>
                  <w:r>
                    <w:rPr>
                      <w:b/>
                      <w:bCs/>
                      <w:color w:val="auto"/>
                      <w:sz w:val="21"/>
                      <w:szCs w:val="21"/>
                    </w:rPr>
                    <w:t>场地</w:t>
                  </w:r>
                </w:p>
              </w:tc>
              <w:tc>
                <w:tcPr>
                  <w:tcW w:w="3011" w:type="pct"/>
                  <w:tcBorders>
                    <w:tl2br w:val="nil"/>
                    <w:tr2bl w:val="nil"/>
                  </w:tcBorders>
                  <w:vAlign w:val="center"/>
                </w:tcPr>
                <w:p w14:paraId="4F33A53B">
                  <w:pPr>
                    <w:adjustRightInd w:val="0"/>
                    <w:snapToGrid w:val="0"/>
                    <w:spacing w:line="320" w:lineRule="exact"/>
                    <w:jc w:val="center"/>
                    <w:rPr>
                      <w:b/>
                      <w:bCs/>
                      <w:color w:val="auto"/>
                      <w:sz w:val="21"/>
                      <w:szCs w:val="21"/>
                    </w:rPr>
                  </w:pPr>
                  <w:r>
                    <w:rPr>
                      <w:b/>
                      <w:bCs/>
                      <w:color w:val="auto"/>
                      <w:sz w:val="21"/>
                      <w:szCs w:val="21"/>
                    </w:rPr>
                    <w:t>防渗措施</w:t>
                  </w:r>
                </w:p>
              </w:tc>
              <w:tc>
                <w:tcPr>
                  <w:tcW w:w="642" w:type="pct"/>
                  <w:tcBorders>
                    <w:tl2br w:val="nil"/>
                    <w:tr2bl w:val="nil"/>
                  </w:tcBorders>
                  <w:vAlign w:val="center"/>
                </w:tcPr>
                <w:p w14:paraId="5981B97E">
                  <w:pPr>
                    <w:adjustRightInd w:val="0"/>
                    <w:snapToGrid w:val="0"/>
                    <w:spacing w:line="320" w:lineRule="exact"/>
                    <w:jc w:val="center"/>
                    <w:rPr>
                      <w:b/>
                      <w:bCs/>
                      <w:color w:val="auto"/>
                      <w:sz w:val="21"/>
                      <w:szCs w:val="21"/>
                    </w:rPr>
                  </w:pPr>
                  <w:r>
                    <w:rPr>
                      <w:b/>
                      <w:bCs/>
                      <w:color w:val="auto"/>
                      <w:sz w:val="21"/>
                      <w:szCs w:val="21"/>
                    </w:rPr>
                    <w:t>防渗分区</w:t>
                  </w:r>
                </w:p>
              </w:tc>
            </w:tr>
            <w:tr w14:paraId="6467CB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3" w:type="pct"/>
                  <w:tcBorders>
                    <w:tl2br w:val="nil"/>
                    <w:tr2bl w:val="nil"/>
                  </w:tcBorders>
                  <w:vAlign w:val="center"/>
                </w:tcPr>
                <w:p w14:paraId="71014492">
                  <w:pPr>
                    <w:adjustRightInd w:val="0"/>
                    <w:snapToGrid w:val="0"/>
                    <w:spacing w:line="320" w:lineRule="exact"/>
                    <w:jc w:val="center"/>
                    <w:rPr>
                      <w:color w:val="auto"/>
                      <w:sz w:val="21"/>
                      <w:szCs w:val="21"/>
                    </w:rPr>
                  </w:pPr>
                  <w:r>
                    <w:rPr>
                      <w:color w:val="auto"/>
                      <w:sz w:val="21"/>
                      <w:szCs w:val="21"/>
                    </w:rPr>
                    <w:t>1</w:t>
                  </w:r>
                </w:p>
              </w:tc>
              <w:tc>
                <w:tcPr>
                  <w:tcW w:w="991" w:type="pct"/>
                  <w:tcBorders>
                    <w:tl2br w:val="nil"/>
                    <w:tr2bl w:val="nil"/>
                  </w:tcBorders>
                  <w:vAlign w:val="center"/>
                </w:tcPr>
                <w:p w14:paraId="2BBAE599">
                  <w:pPr>
                    <w:adjustRightInd w:val="0"/>
                    <w:snapToGrid w:val="0"/>
                    <w:spacing w:line="320" w:lineRule="exact"/>
                    <w:jc w:val="center"/>
                    <w:rPr>
                      <w:color w:val="auto"/>
                      <w:sz w:val="21"/>
                      <w:szCs w:val="21"/>
                    </w:rPr>
                  </w:pPr>
                  <w:r>
                    <w:rPr>
                      <w:color w:val="auto"/>
                      <w:sz w:val="21"/>
                      <w:szCs w:val="21"/>
                    </w:rPr>
                    <w:t>危废</w:t>
                  </w:r>
                  <w:r>
                    <w:rPr>
                      <w:rFonts w:hint="eastAsia"/>
                      <w:color w:val="auto"/>
                      <w:sz w:val="21"/>
                      <w:szCs w:val="21"/>
                    </w:rPr>
                    <w:t>暂存库</w:t>
                  </w:r>
                </w:p>
              </w:tc>
              <w:tc>
                <w:tcPr>
                  <w:tcW w:w="3011" w:type="pct"/>
                  <w:tcBorders>
                    <w:tl2br w:val="nil"/>
                    <w:tr2bl w:val="nil"/>
                  </w:tcBorders>
                  <w:vAlign w:val="center"/>
                </w:tcPr>
                <w:p w14:paraId="5D0CE34C">
                  <w:pPr>
                    <w:adjustRightInd w:val="0"/>
                    <w:snapToGrid w:val="0"/>
                    <w:spacing w:line="320" w:lineRule="exact"/>
                    <w:jc w:val="center"/>
                    <w:rPr>
                      <w:color w:val="auto"/>
                      <w:sz w:val="21"/>
                      <w:szCs w:val="21"/>
                    </w:rPr>
                  </w:pPr>
                  <w:r>
                    <w:rPr>
                      <w:color w:val="auto"/>
                      <w:sz w:val="21"/>
                      <w:szCs w:val="21"/>
                    </w:rPr>
                    <w:t>按照《危险废物贮存污染控制标准》（GB18597-2023）相关内容进行防渗：</w:t>
                  </w:r>
                  <w:r>
                    <w:rPr>
                      <w:bCs/>
                      <w:color w:val="auto"/>
                      <w:sz w:val="21"/>
                      <w:szCs w:val="21"/>
                    </w:rPr>
                    <w:t>地面由下至上依次为天然基础层+300mm</w:t>
                  </w:r>
                  <w:r>
                    <w:rPr>
                      <w:rFonts w:hint="eastAsia"/>
                      <w:bCs/>
                      <w:color w:val="auto"/>
                      <w:sz w:val="21"/>
                      <w:szCs w:val="21"/>
                    </w:rPr>
                    <w:t>土夯实</w:t>
                  </w:r>
                  <w:r>
                    <w:rPr>
                      <w:bCs/>
                      <w:color w:val="auto"/>
                      <w:sz w:val="21"/>
                      <w:szCs w:val="21"/>
                    </w:rPr>
                    <w:t>+2mmHDPE土工膜+200mmC30混凝土地面+4mm环氧地坪，渗透系数满足≤10</w:t>
                  </w:r>
                  <w:r>
                    <w:rPr>
                      <w:bCs/>
                      <w:color w:val="auto"/>
                      <w:sz w:val="21"/>
                      <w:szCs w:val="21"/>
                      <w:vertAlign w:val="superscript"/>
                    </w:rPr>
                    <w:t>-10</w:t>
                  </w:r>
                  <w:r>
                    <w:rPr>
                      <w:bCs/>
                      <w:color w:val="auto"/>
                      <w:sz w:val="21"/>
                      <w:szCs w:val="21"/>
                    </w:rPr>
                    <w:t>cm/s的要求，裙脚采用2mm厚高密度聚乙烯（HDPE）防渗膜渗透系数≤10</w:t>
                  </w:r>
                  <w:r>
                    <w:rPr>
                      <w:bCs/>
                      <w:color w:val="auto"/>
                      <w:sz w:val="21"/>
                      <w:szCs w:val="21"/>
                      <w:vertAlign w:val="superscript"/>
                    </w:rPr>
                    <w:t>-10</w:t>
                  </w:r>
                  <w:r>
                    <w:rPr>
                      <w:bCs/>
                      <w:color w:val="auto"/>
                      <w:sz w:val="21"/>
                      <w:szCs w:val="21"/>
                    </w:rPr>
                    <w:t>cm/s，建筑材料与危险废物相容</w:t>
                  </w:r>
                  <w:r>
                    <w:rPr>
                      <w:color w:val="auto"/>
                      <w:sz w:val="21"/>
                      <w:szCs w:val="21"/>
                    </w:rPr>
                    <w:t>。</w:t>
                  </w:r>
                </w:p>
              </w:tc>
              <w:tc>
                <w:tcPr>
                  <w:tcW w:w="642" w:type="pct"/>
                  <w:vMerge w:val="restart"/>
                  <w:tcBorders>
                    <w:tl2br w:val="nil"/>
                    <w:tr2bl w:val="nil"/>
                  </w:tcBorders>
                  <w:vAlign w:val="center"/>
                </w:tcPr>
                <w:p w14:paraId="5E9CD844">
                  <w:pPr>
                    <w:adjustRightInd w:val="0"/>
                    <w:snapToGrid w:val="0"/>
                    <w:spacing w:line="320" w:lineRule="exact"/>
                    <w:jc w:val="center"/>
                    <w:rPr>
                      <w:color w:val="auto"/>
                      <w:sz w:val="21"/>
                      <w:szCs w:val="21"/>
                    </w:rPr>
                  </w:pPr>
                  <w:r>
                    <w:rPr>
                      <w:color w:val="auto"/>
                      <w:sz w:val="21"/>
                      <w:szCs w:val="21"/>
                    </w:rPr>
                    <w:t>重点</w:t>
                  </w:r>
                </w:p>
                <w:p w14:paraId="76DFA5E7">
                  <w:pPr>
                    <w:adjustRightInd w:val="0"/>
                    <w:snapToGrid w:val="0"/>
                    <w:spacing w:line="320" w:lineRule="exact"/>
                    <w:jc w:val="center"/>
                    <w:rPr>
                      <w:color w:val="auto"/>
                      <w:sz w:val="21"/>
                      <w:szCs w:val="21"/>
                    </w:rPr>
                  </w:pPr>
                  <w:r>
                    <w:rPr>
                      <w:color w:val="auto"/>
                      <w:sz w:val="21"/>
                      <w:szCs w:val="21"/>
                    </w:rPr>
                    <w:t>防渗区</w:t>
                  </w:r>
                </w:p>
              </w:tc>
            </w:tr>
            <w:tr w14:paraId="0F068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3" w:type="pct"/>
                  <w:tcBorders>
                    <w:tl2br w:val="nil"/>
                    <w:tr2bl w:val="nil"/>
                  </w:tcBorders>
                  <w:vAlign w:val="center"/>
                </w:tcPr>
                <w:p w14:paraId="18D6B239">
                  <w:pPr>
                    <w:adjustRightInd w:val="0"/>
                    <w:snapToGrid w:val="0"/>
                    <w:spacing w:line="320" w:lineRule="exact"/>
                    <w:jc w:val="center"/>
                    <w:rPr>
                      <w:color w:val="auto"/>
                      <w:sz w:val="21"/>
                      <w:szCs w:val="21"/>
                    </w:rPr>
                  </w:pPr>
                  <w:r>
                    <w:rPr>
                      <w:rFonts w:hint="eastAsia"/>
                      <w:color w:val="auto"/>
                      <w:sz w:val="21"/>
                      <w:szCs w:val="21"/>
                    </w:rPr>
                    <w:t>2</w:t>
                  </w:r>
                </w:p>
              </w:tc>
              <w:tc>
                <w:tcPr>
                  <w:tcW w:w="991" w:type="pct"/>
                  <w:tcBorders>
                    <w:tl2br w:val="nil"/>
                    <w:tr2bl w:val="nil"/>
                  </w:tcBorders>
                  <w:vAlign w:val="center"/>
                </w:tcPr>
                <w:p w14:paraId="0565A6DF">
                  <w:pPr>
                    <w:adjustRightInd w:val="0"/>
                    <w:snapToGrid w:val="0"/>
                    <w:spacing w:line="320" w:lineRule="exact"/>
                    <w:jc w:val="center"/>
                    <w:rPr>
                      <w:color w:val="auto"/>
                      <w:sz w:val="21"/>
                      <w:szCs w:val="21"/>
                    </w:rPr>
                  </w:pPr>
                  <w:r>
                    <w:rPr>
                      <w:rFonts w:hint="eastAsia"/>
                      <w:color w:val="auto"/>
                      <w:sz w:val="21"/>
                      <w:szCs w:val="21"/>
                    </w:rPr>
                    <w:t>维修车间、污水处理设施、初期雨水池、事故水池、</w:t>
                  </w:r>
                </w:p>
              </w:tc>
              <w:tc>
                <w:tcPr>
                  <w:tcW w:w="3011" w:type="pct"/>
                  <w:tcBorders>
                    <w:tl2br w:val="nil"/>
                    <w:tr2bl w:val="nil"/>
                  </w:tcBorders>
                  <w:vAlign w:val="center"/>
                </w:tcPr>
                <w:p w14:paraId="022D5ED8">
                  <w:pPr>
                    <w:adjustRightInd w:val="0"/>
                    <w:snapToGrid w:val="0"/>
                    <w:spacing w:line="320" w:lineRule="exact"/>
                    <w:jc w:val="center"/>
                    <w:rPr>
                      <w:color w:val="auto"/>
                      <w:sz w:val="21"/>
                      <w:szCs w:val="21"/>
                    </w:rPr>
                  </w:pPr>
                  <w:r>
                    <w:rPr>
                      <w:rFonts w:hint="eastAsia"/>
                      <w:color w:val="auto"/>
                      <w:sz w:val="21"/>
                      <w:szCs w:val="21"/>
                    </w:rPr>
                    <w:t>采用在防渗钢筋混凝土表面刷涂刷水泥基渗透结晶型防渗涂料等构成防渗层进行防渗，等效黏土防渗层Mb≥6.0m，K≤1×10-7cm/s</w:t>
                  </w:r>
                </w:p>
              </w:tc>
              <w:tc>
                <w:tcPr>
                  <w:tcW w:w="642" w:type="pct"/>
                  <w:vMerge w:val="continue"/>
                  <w:tcBorders>
                    <w:tl2br w:val="nil"/>
                    <w:tr2bl w:val="nil"/>
                  </w:tcBorders>
                  <w:vAlign w:val="center"/>
                </w:tcPr>
                <w:p w14:paraId="022887B3">
                  <w:pPr>
                    <w:adjustRightInd w:val="0"/>
                    <w:snapToGrid w:val="0"/>
                    <w:spacing w:line="320" w:lineRule="exact"/>
                    <w:jc w:val="center"/>
                    <w:rPr>
                      <w:color w:val="auto"/>
                      <w:sz w:val="21"/>
                      <w:szCs w:val="21"/>
                    </w:rPr>
                  </w:pPr>
                </w:p>
              </w:tc>
            </w:tr>
            <w:tr w14:paraId="12F0D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3" w:type="pct"/>
                  <w:tcBorders>
                    <w:tl2br w:val="nil"/>
                    <w:tr2bl w:val="nil"/>
                  </w:tcBorders>
                  <w:vAlign w:val="center"/>
                </w:tcPr>
                <w:p w14:paraId="01F832D5">
                  <w:pPr>
                    <w:adjustRightInd w:val="0"/>
                    <w:snapToGrid w:val="0"/>
                    <w:spacing w:line="320" w:lineRule="exact"/>
                    <w:jc w:val="center"/>
                    <w:rPr>
                      <w:color w:val="auto"/>
                      <w:sz w:val="21"/>
                      <w:szCs w:val="21"/>
                    </w:rPr>
                  </w:pPr>
                  <w:r>
                    <w:rPr>
                      <w:rFonts w:hint="eastAsia"/>
                      <w:color w:val="auto"/>
                      <w:sz w:val="21"/>
                      <w:szCs w:val="21"/>
                    </w:rPr>
                    <w:t>3</w:t>
                  </w:r>
                </w:p>
              </w:tc>
              <w:tc>
                <w:tcPr>
                  <w:tcW w:w="991" w:type="pct"/>
                  <w:tcBorders>
                    <w:tl2br w:val="nil"/>
                    <w:tr2bl w:val="nil"/>
                  </w:tcBorders>
                  <w:vAlign w:val="center"/>
                </w:tcPr>
                <w:p w14:paraId="41942A7D">
                  <w:pPr>
                    <w:adjustRightInd w:val="0"/>
                    <w:snapToGrid w:val="0"/>
                    <w:spacing w:line="320" w:lineRule="exact"/>
                    <w:jc w:val="center"/>
                    <w:rPr>
                      <w:color w:val="auto"/>
                      <w:sz w:val="21"/>
                      <w:szCs w:val="21"/>
                    </w:rPr>
                  </w:pPr>
                  <w:r>
                    <w:rPr>
                      <w:rFonts w:hint="eastAsia"/>
                      <w:color w:val="auto"/>
                      <w:sz w:val="21"/>
                      <w:szCs w:val="21"/>
                    </w:rPr>
                    <w:t>化粪池、破碎车间、废钢储存库</w:t>
                  </w:r>
                </w:p>
              </w:tc>
              <w:tc>
                <w:tcPr>
                  <w:tcW w:w="3011" w:type="pct"/>
                  <w:tcBorders>
                    <w:tl2br w:val="nil"/>
                    <w:tr2bl w:val="nil"/>
                  </w:tcBorders>
                  <w:vAlign w:val="center"/>
                </w:tcPr>
                <w:p w14:paraId="2FB2566F">
                  <w:pPr>
                    <w:adjustRightInd w:val="0"/>
                    <w:snapToGrid w:val="0"/>
                    <w:spacing w:line="320" w:lineRule="exact"/>
                    <w:jc w:val="center"/>
                    <w:rPr>
                      <w:color w:val="auto"/>
                      <w:sz w:val="21"/>
                      <w:szCs w:val="21"/>
                    </w:rPr>
                  </w:pPr>
                  <w:r>
                    <w:rPr>
                      <w:rFonts w:hint="eastAsia"/>
                      <w:color w:val="auto"/>
                      <w:sz w:val="21"/>
                      <w:szCs w:val="21"/>
                    </w:rPr>
                    <w:t xml:space="preserve">采用C30、P6级防渗混凝土，环评要求等效黏土防渗层满足Mb≥1.5m，渗透系数满足K≤10×10 </w:t>
                  </w:r>
                  <w:r>
                    <w:rPr>
                      <w:rFonts w:hint="eastAsia"/>
                      <w:color w:val="auto"/>
                      <w:sz w:val="21"/>
                      <w:szCs w:val="21"/>
                      <w:vertAlign w:val="superscript"/>
                    </w:rPr>
                    <w:t>-7</w:t>
                  </w:r>
                  <w:r>
                    <w:rPr>
                      <w:rFonts w:hint="eastAsia"/>
                      <w:color w:val="auto"/>
                      <w:sz w:val="21"/>
                      <w:szCs w:val="21"/>
                    </w:rPr>
                    <w:t>cm/s</w:t>
                  </w:r>
                </w:p>
              </w:tc>
              <w:tc>
                <w:tcPr>
                  <w:tcW w:w="642" w:type="pct"/>
                  <w:tcBorders>
                    <w:tl2br w:val="nil"/>
                    <w:tr2bl w:val="nil"/>
                  </w:tcBorders>
                  <w:vAlign w:val="center"/>
                </w:tcPr>
                <w:p w14:paraId="71554C25">
                  <w:pPr>
                    <w:adjustRightInd w:val="0"/>
                    <w:snapToGrid w:val="0"/>
                    <w:spacing w:line="320" w:lineRule="exact"/>
                    <w:jc w:val="center"/>
                    <w:rPr>
                      <w:color w:val="auto"/>
                      <w:sz w:val="21"/>
                      <w:szCs w:val="21"/>
                    </w:rPr>
                  </w:pPr>
                  <w:r>
                    <w:rPr>
                      <w:color w:val="auto"/>
                      <w:sz w:val="21"/>
                      <w:szCs w:val="21"/>
                    </w:rPr>
                    <w:t>一般</w:t>
                  </w:r>
                </w:p>
                <w:p w14:paraId="26EA208D">
                  <w:pPr>
                    <w:adjustRightInd w:val="0"/>
                    <w:snapToGrid w:val="0"/>
                    <w:spacing w:line="320" w:lineRule="exact"/>
                    <w:jc w:val="center"/>
                    <w:rPr>
                      <w:color w:val="auto"/>
                      <w:sz w:val="21"/>
                      <w:szCs w:val="21"/>
                    </w:rPr>
                  </w:pPr>
                  <w:r>
                    <w:rPr>
                      <w:color w:val="auto"/>
                      <w:sz w:val="21"/>
                      <w:szCs w:val="21"/>
                    </w:rPr>
                    <w:t>防渗区</w:t>
                  </w:r>
                </w:p>
              </w:tc>
            </w:tr>
            <w:tr w14:paraId="45D67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353" w:type="pct"/>
                  <w:tcBorders>
                    <w:tl2br w:val="nil"/>
                    <w:tr2bl w:val="nil"/>
                  </w:tcBorders>
                  <w:vAlign w:val="center"/>
                </w:tcPr>
                <w:p w14:paraId="273E7F23">
                  <w:pPr>
                    <w:adjustRightInd w:val="0"/>
                    <w:snapToGrid w:val="0"/>
                    <w:spacing w:line="320" w:lineRule="exact"/>
                    <w:jc w:val="center"/>
                    <w:rPr>
                      <w:color w:val="auto"/>
                      <w:sz w:val="21"/>
                      <w:szCs w:val="21"/>
                    </w:rPr>
                  </w:pPr>
                  <w:r>
                    <w:rPr>
                      <w:rFonts w:hint="eastAsia"/>
                      <w:color w:val="auto"/>
                      <w:sz w:val="21"/>
                      <w:szCs w:val="21"/>
                    </w:rPr>
                    <w:t>4</w:t>
                  </w:r>
                </w:p>
              </w:tc>
              <w:tc>
                <w:tcPr>
                  <w:tcW w:w="991" w:type="pct"/>
                  <w:tcBorders>
                    <w:tl2br w:val="nil"/>
                    <w:tr2bl w:val="nil"/>
                  </w:tcBorders>
                  <w:vAlign w:val="center"/>
                </w:tcPr>
                <w:p w14:paraId="0D8B7C81">
                  <w:pPr>
                    <w:adjustRightInd w:val="0"/>
                    <w:snapToGrid w:val="0"/>
                    <w:spacing w:line="320" w:lineRule="exact"/>
                    <w:jc w:val="center"/>
                    <w:rPr>
                      <w:color w:val="auto"/>
                      <w:sz w:val="21"/>
                      <w:szCs w:val="21"/>
                    </w:rPr>
                  </w:pPr>
                  <w:r>
                    <w:rPr>
                      <w:rFonts w:hint="eastAsia"/>
                      <w:color w:val="auto"/>
                      <w:sz w:val="21"/>
                      <w:szCs w:val="21"/>
                    </w:rPr>
                    <w:t>办公生活区及厂区空地</w:t>
                  </w:r>
                </w:p>
              </w:tc>
              <w:tc>
                <w:tcPr>
                  <w:tcW w:w="3011" w:type="pct"/>
                  <w:tcBorders>
                    <w:tl2br w:val="nil"/>
                    <w:tr2bl w:val="nil"/>
                  </w:tcBorders>
                  <w:vAlign w:val="center"/>
                </w:tcPr>
                <w:p w14:paraId="777BCAC1">
                  <w:pPr>
                    <w:adjustRightInd w:val="0"/>
                    <w:snapToGrid w:val="0"/>
                    <w:spacing w:line="320" w:lineRule="exact"/>
                    <w:jc w:val="center"/>
                    <w:rPr>
                      <w:color w:val="auto"/>
                      <w:sz w:val="21"/>
                      <w:szCs w:val="21"/>
                    </w:rPr>
                  </w:pPr>
                  <w:r>
                    <w:rPr>
                      <w:rFonts w:hint="eastAsia"/>
                      <w:color w:val="auto"/>
                      <w:sz w:val="21"/>
                      <w:szCs w:val="21"/>
                    </w:rPr>
                    <w:t>一般水泥硬化</w:t>
                  </w:r>
                </w:p>
              </w:tc>
              <w:tc>
                <w:tcPr>
                  <w:tcW w:w="642" w:type="pct"/>
                  <w:tcBorders>
                    <w:tl2br w:val="nil"/>
                    <w:tr2bl w:val="nil"/>
                  </w:tcBorders>
                  <w:vAlign w:val="center"/>
                </w:tcPr>
                <w:p w14:paraId="56D6B05E">
                  <w:pPr>
                    <w:adjustRightInd w:val="0"/>
                    <w:snapToGrid w:val="0"/>
                    <w:spacing w:line="320" w:lineRule="exact"/>
                    <w:jc w:val="center"/>
                    <w:rPr>
                      <w:color w:val="auto"/>
                      <w:sz w:val="21"/>
                      <w:szCs w:val="21"/>
                    </w:rPr>
                  </w:pPr>
                  <w:r>
                    <w:rPr>
                      <w:rFonts w:hint="eastAsia"/>
                      <w:color w:val="auto"/>
                      <w:sz w:val="21"/>
                      <w:szCs w:val="21"/>
                    </w:rPr>
                    <w:t>简单</w:t>
                  </w:r>
                </w:p>
                <w:p w14:paraId="78B80978">
                  <w:pPr>
                    <w:adjustRightInd w:val="0"/>
                    <w:snapToGrid w:val="0"/>
                    <w:spacing w:line="320" w:lineRule="exact"/>
                    <w:jc w:val="center"/>
                    <w:rPr>
                      <w:color w:val="auto"/>
                      <w:sz w:val="21"/>
                      <w:szCs w:val="21"/>
                    </w:rPr>
                  </w:pPr>
                  <w:r>
                    <w:rPr>
                      <w:rFonts w:hint="eastAsia"/>
                      <w:color w:val="auto"/>
                      <w:sz w:val="21"/>
                      <w:szCs w:val="21"/>
                    </w:rPr>
                    <w:t>防渗区</w:t>
                  </w:r>
                </w:p>
              </w:tc>
            </w:tr>
          </w:tbl>
          <w:p w14:paraId="7F1A005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color w:val="auto"/>
              </w:rPr>
            </w:pPr>
            <w:r>
              <w:rPr>
                <w:rFonts w:hint="eastAsia"/>
                <w:color w:val="auto"/>
              </w:rPr>
              <w:t>为了确保防渗措施的防渗效果，运行期需加强防渗措施的日常维护，使防渗措施达到应有的防渗效果。同时应加强生产设施的环保设施的管理，避免废水的跑冒滴漏。</w:t>
            </w:r>
          </w:p>
          <w:p w14:paraId="0F34425B">
            <w:pPr>
              <w:keepNext w:val="0"/>
              <w:keepLines w:val="0"/>
              <w:pageBreakBefore w:val="0"/>
              <w:widowControl w:val="0"/>
              <w:kinsoku/>
              <w:wordWrap/>
              <w:overflowPunct/>
              <w:topLinePunct w:val="0"/>
              <w:autoSpaceDE/>
              <w:autoSpaceDN/>
              <w:bidi w:val="0"/>
              <w:adjustRightInd/>
              <w:snapToGrid/>
              <w:spacing w:line="520" w:lineRule="exact"/>
              <w:ind w:left="-12" w:leftChars="-5" w:firstLine="482" w:firstLineChars="200"/>
              <w:textAlignment w:val="auto"/>
              <w:rPr>
                <w:b/>
                <w:bCs/>
                <w:color w:val="auto"/>
              </w:rPr>
            </w:pPr>
            <w:r>
              <w:rPr>
                <w:rFonts w:hint="eastAsia"/>
                <w:b/>
                <w:bCs/>
                <w:color w:val="auto"/>
              </w:rPr>
              <w:t>7.3污染监控</w:t>
            </w:r>
          </w:p>
          <w:p w14:paraId="4B188881">
            <w:pPr>
              <w:keepNext w:val="0"/>
              <w:keepLines w:val="0"/>
              <w:pageBreakBefore w:val="0"/>
              <w:widowControl w:val="0"/>
              <w:kinsoku/>
              <w:wordWrap/>
              <w:overflowPunct/>
              <w:topLinePunct w:val="0"/>
              <w:autoSpaceDE/>
              <w:autoSpaceDN/>
              <w:bidi w:val="0"/>
              <w:adjustRightInd/>
              <w:snapToGrid/>
              <w:spacing w:line="520" w:lineRule="exact"/>
              <w:ind w:firstLine="482"/>
              <w:textAlignment w:val="auto"/>
              <w:rPr>
                <w:color w:val="auto"/>
              </w:rPr>
            </w:pPr>
            <w:r>
              <w:rPr>
                <w:color w:val="auto"/>
              </w:rPr>
              <w:t>根据本项目工程特点、厂址区域环境特点，结合《排污单位自行监测技术指南 总则》（HJ819-2017）</w:t>
            </w:r>
            <w:r>
              <w:rPr>
                <w:rFonts w:hint="eastAsia"/>
                <w:color w:val="auto"/>
              </w:rPr>
              <w:t>，</w:t>
            </w:r>
            <w:r>
              <w:rPr>
                <w:color w:val="auto"/>
              </w:rPr>
              <w:t>并参照《环境影响评价技术导则 地下水环境（HJ 610-2016）》规定，项目运营期地下水</w:t>
            </w:r>
            <w:r>
              <w:rPr>
                <w:rFonts w:hint="eastAsia"/>
                <w:color w:val="auto"/>
              </w:rPr>
              <w:t>和土壤</w:t>
            </w:r>
            <w:r>
              <w:rPr>
                <w:color w:val="auto"/>
              </w:rPr>
              <w:t>跟踪监测计划见下表。</w:t>
            </w:r>
          </w:p>
          <w:p w14:paraId="354EC4AF">
            <w:pPr>
              <w:spacing w:line="500" w:lineRule="exact"/>
              <w:ind w:firstLine="996" w:firstLineChars="400"/>
              <w:rPr>
                <w:b/>
                <w:color w:val="auto"/>
                <w:spacing w:val="4"/>
                <w:kern w:val="0"/>
              </w:rPr>
            </w:pPr>
            <w:r>
              <w:rPr>
                <w:b/>
                <w:color w:val="auto"/>
                <w:spacing w:val="4"/>
                <w:kern w:val="0"/>
              </w:rPr>
              <w:t>表</w:t>
            </w:r>
            <w:r>
              <w:rPr>
                <w:rFonts w:hint="eastAsia"/>
                <w:b/>
                <w:color w:val="auto"/>
                <w:spacing w:val="4"/>
                <w:kern w:val="0"/>
              </w:rPr>
              <w:t>4-1</w:t>
            </w:r>
            <w:r>
              <w:rPr>
                <w:rFonts w:hint="eastAsia"/>
                <w:b/>
                <w:color w:val="auto"/>
                <w:spacing w:val="4"/>
                <w:kern w:val="0"/>
                <w:lang w:val="en-US" w:eastAsia="zh-CN"/>
              </w:rPr>
              <w:t>4</w:t>
            </w:r>
            <w:r>
              <w:rPr>
                <w:b/>
                <w:color w:val="auto"/>
                <w:spacing w:val="4"/>
                <w:kern w:val="0"/>
              </w:rPr>
              <w:t xml:space="preserve">    地下水</w:t>
            </w:r>
            <w:r>
              <w:rPr>
                <w:rFonts w:hint="eastAsia"/>
                <w:b/>
                <w:color w:val="auto"/>
                <w:spacing w:val="4"/>
                <w:kern w:val="0"/>
              </w:rPr>
              <w:t>和土壤</w:t>
            </w:r>
            <w:r>
              <w:rPr>
                <w:b/>
                <w:color w:val="auto"/>
                <w:spacing w:val="4"/>
                <w:kern w:val="0"/>
              </w:rPr>
              <w:t>环境</w:t>
            </w:r>
            <w:r>
              <w:rPr>
                <w:rFonts w:hint="eastAsia"/>
                <w:b/>
                <w:color w:val="auto"/>
                <w:spacing w:val="4"/>
                <w:kern w:val="0"/>
              </w:rPr>
              <w:t>监测计划</w:t>
            </w:r>
            <w:r>
              <w:rPr>
                <w:b/>
                <w:color w:val="auto"/>
                <w:spacing w:val="4"/>
                <w:kern w:val="0"/>
              </w:rPr>
              <w:t>表</w:t>
            </w:r>
          </w:p>
          <w:tbl>
            <w:tblPr>
              <w:tblStyle w:val="26"/>
              <w:tblW w:w="8390" w:type="dxa"/>
              <w:tblInd w:w="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33"/>
              <w:gridCol w:w="723"/>
              <w:gridCol w:w="1427"/>
              <w:gridCol w:w="2998"/>
              <w:gridCol w:w="750"/>
              <w:gridCol w:w="2059"/>
            </w:tblGrid>
            <w:tr w14:paraId="55B97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258" w:type="pct"/>
                  <w:tcBorders>
                    <w:tl2br w:val="nil"/>
                    <w:tr2bl w:val="nil"/>
                  </w:tcBorders>
                  <w:vAlign w:val="center"/>
                </w:tcPr>
                <w:p w14:paraId="6AB279EF">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color w:val="auto"/>
                      <w:spacing w:val="-6"/>
                    </w:rPr>
                  </w:pPr>
                  <w:r>
                    <w:rPr>
                      <w:color w:val="auto"/>
                      <w:spacing w:val="-6"/>
                    </w:rPr>
                    <w:t>要素</w:t>
                  </w:r>
                </w:p>
              </w:tc>
              <w:tc>
                <w:tcPr>
                  <w:tcW w:w="430" w:type="pct"/>
                  <w:tcBorders>
                    <w:tl2br w:val="nil"/>
                    <w:tr2bl w:val="nil"/>
                  </w:tcBorders>
                  <w:vAlign w:val="center"/>
                </w:tcPr>
                <w:p w14:paraId="686737DD">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color w:val="auto"/>
                      <w:spacing w:val="-6"/>
                    </w:rPr>
                  </w:pPr>
                  <w:r>
                    <w:rPr>
                      <w:color w:val="auto"/>
                      <w:spacing w:val="-6"/>
                    </w:rPr>
                    <w:t>监测</w:t>
                  </w:r>
                </w:p>
                <w:p w14:paraId="0D6E7FD3">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color w:val="auto"/>
                      <w:spacing w:val="-6"/>
                    </w:rPr>
                  </w:pPr>
                  <w:r>
                    <w:rPr>
                      <w:color w:val="auto"/>
                      <w:spacing w:val="-6"/>
                    </w:rPr>
                    <w:t>点位</w:t>
                  </w:r>
                </w:p>
              </w:tc>
              <w:tc>
                <w:tcPr>
                  <w:tcW w:w="850" w:type="pct"/>
                  <w:tcBorders>
                    <w:tl2br w:val="nil"/>
                    <w:tr2bl w:val="nil"/>
                  </w:tcBorders>
                  <w:vAlign w:val="center"/>
                </w:tcPr>
                <w:p w14:paraId="09A5A8F8">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rFonts w:hint="default" w:eastAsia="宋体"/>
                      <w:color w:val="auto"/>
                      <w:spacing w:val="-6"/>
                      <w:lang w:val="en-US" w:eastAsia="zh-CN"/>
                    </w:rPr>
                  </w:pPr>
                  <w:r>
                    <w:rPr>
                      <w:rFonts w:hint="eastAsia"/>
                      <w:color w:val="auto"/>
                      <w:spacing w:val="-6"/>
                      <w:lang w:val="en-US" w:eastAsia="zh-CN"/>
                    </w:rPr>
                    <w:t>坐标</w:t>
                  </w:r>
                </w:p>
              </w:tc>
              <w:tc>
                <w:tcPr>
                  <w:tcW w:w="1786" w:type="pct"/>
                  <w:tcBorders>
                    <w:tl2br w:val="nil"/>
                    <w:tr2bl w:val="nil"/>
                  </w:tcBorders>
                  <w:vAlign w:val="center"/>
                </w:tcPr>
                <w:p w14:paraId="41BFFB0D">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color w:val="auto"/>
                      <w:spacing w:val="-6"/>
                    </w:rPr>
                  </w:pPr>
                  <w:r>
                    <w:rPr>
                      <w:color w:val="auto"/>
                      <w:spacing w:val="-6"/>
                    </w:rPr>
                    <w:t>监测因子</w:t>
                  </w:r>
                </w:p>
              </w:tc>
              <w:tc>
                <w:tcPr>
                  <w:tcW w:w="446" w:type="pct"/>
                  <w:tcBorders>
                    <w:tl2br w:val="nil"/>
                    <w:tr2bl w:val="nil"/>
                  </w:tcBorders>
                  <w:vAlign w:val="center"/>
                </w:tcPr>
                <w:p w14:paraId="37720C40">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color w:val="auto"/>
                      <w:spacing w:val="-6"/>
                    </w:rPr>
                  </w:pPr>
                  <w:commentRangeStart w:id="38"/>
                  <w:commentRangeStart w:id="39"/>
                  <w:r>
                    <w:rPr>
                      <w:color w:val="auto"/>
                      <w:spacing w:val="-6"/>
                    </w:rPr>
                    <w:t>监测频率</w:t>
                  </w:r>
                  <w:commentRangeEnd w:id="38"/>
                  <w:r>
                    <w:rPr>
                      <w:color w:val="auto"/>
                    </w:rPr>
                    <w:commentReference w:id="38"/>
                  </w:r>
                  <w:commentRangeEnd w:id="39"/>
                  <w:r>
                    <w:commentReference w:id="39"/>
                  </w:r>
                </w:p>
              </w:tc>
              <w:tc>
                <w:tcPr>
                  <w:tcW w:w="1227" w:type="pct"/>
                  <w:tcBorders>
                    <w:tl2br w:val="nil"/>
                    <w:tr2bl w:val="nil"/>
                  </w:tcBorders>
                  <w:vAlign w:val="center"/>
                </w:tcPr>
                <w:p w14:paraId="5926BDE5">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color w:val="auto"/>
                      <w:spacing w:val="-6"/>
                    </w:rPr>
                  </w:pPr>
                  <w:r>
                    <w:rPr>
                      <w:color w:val="auto"/>
                      <w:spacing w:val="-6"/>
                    </w:rPr>
                    <w:t>执行标准</w:t>
                  </w:r>
                </w:p>
              </w:tc>
            </w:tr>
            <w:tr w14:paraId="588769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258" w:type="pct"/>
                  <w:tcBorders>
                    <w:tl2br w:val="nil"/>
                    <w:tr2bl w:val="nil"/>
                  </w:tcBorders>
                  <w:vAlign w:val="center"/>
                </w:tcPr>
                <w:p w14:paraId="2F0C2129">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color w:val="auto"/>
                      <w:spacing w:val="-6"/>
                    </w:rPr>
                  </w:pPr>
                  <w:r>
                    <w:rPr>
                      <w:color w:val="auto"/>
                      <w:spacing w:val="-6"/>
                    </w:rPr>
                    <w:t>地下水</w:t>
                  </w:r>
                </w:p>
              </w:tc>
              <w:tc>
                <w:tcPr>
                  <w:tcW w:w="430" w:type="pct"/>
                  <w:tcBorders>
                    <w:tl2br w:val="nil"/>
                    <w:tr2bl w:val="nil"/>
                  </w:tcBorders>
                  <w:vAlign w:val="center"/>
                </w:tcPr>
                <w:p w14:paraId="18DC25B9">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rFonts w:hint="default" w:eastAsia="宋体"/>
                      <w:color w:val="auto"/>
                      <w:spacing w:val="-6"/>
                      <w:lang w:val="en-US" w:eastAsia="zh-CN"/>
                    </w:rPr>
                  </w:pPr>
                  <w:r>
                    <w:rPr>
                      <w:rFonts w:hint="eastAsia" w:cs="Times New Roman"/>
                      <w:snapToGrid w:val="0"/>
                      <w:color w:val="auto"/>
                      <w:spacing w:val="-6"/>
                      <w:lang w:val="en-US" w:eastAsia="zh-CN"/>
                    </w:rPr>
                    <w:t>维修车间西5m处</w:t>
                  </w:r>
                </w:p>
              </w:tc>
              <w:tc>
                <w:tcPr>
                  <w:tcW w:w="850" w:type="pct"/>
                  <w:tcBorders>
                    <w:tl2br w:val="nil"/>
                    <w:tr2bl w:val="nil"/>
                  </w:tcBorders>
                  <w:vAlign w:val="center"/>
                </w:tcPr>
                <w:p w14:paraId="218B1B60">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rFonts w:hint="eastAsia" w:eastAsia="宋体" w:cs="Times New Roman"/>
                      <w:snapToGrid w:val="0"/>
                      <w:color w:val="auto"/>
                      <w:spacing w:val="-6"/>
                      <w:lang w:val="en-US" w:eastAsia="zh-CN"/>
                    </w:rPr>
                  </w:pPr>
                  <w:r>
                    <w:rPr>
                      <w:rFonts w:hint="eastAsia" w:eastAsia="宋体"/>
                      <w:bCs/>
                      <w:color w:val="auto"/>
                      <w:spacing w:val="-6"/>
                      <w:sz w:val="21"/>
                      <w:szCs w:val="21"/>
                      <w:lang w:val="en-US" w:eastAsia="zh-CN"/>
                    </w:rPr>
                    <w:t>39</w:t>
                  </w:r>
                  <w:r>
                    <w:rPr>
                      <w:rFonts w:eastAsia="Times New Roman"/>
                      <w:bCs/>
                      <w:color w:val="auto"/>
                      <w:spacing w:val="-6"/>
                      <w:sz w:val="21"/>
                      <w:szCs w:val="21"/>
                    </w:rPr>
                    <w:t>°</w:t>
                  </w:r>
                  <w:r>
                    <w:rPr>
                      <w:rFonts w:hint="eastAsia" w:eastAsia="宋体"/>
                      <w:bCs/>
                      <w:color w:val="auto"/>
                      <w:spacing w:val="-6"/>
                      <w:sz w:val="21"/>
                      <w:szCs w:val="21"/>
                      <w:lang w:val="en-US" w:eastAsia="zh-CN"/>
                    </w:rPr>
                    <w:t>52</w:t>
                  </w:r>
                  <w:r>
                    <w:rPr>
                      <w:rFonts w:eastAsia="Times New Roman"/>
                      <w:bCs/>
                      <w:color w:val="auto"/>
                      <w:spacing w:val="-6"/>
                      <w:sz w:val="21"/>
                      <w:szCs w:val="21"/>
                    </w:rPr>
                    <w:t>′</w:t>
                  </w:r>
                  <w:r>
                    <w:rPr>
                      <w:rFonts w:hint="eastAsia" w:eastAsia="宋体"/>
                      <w:bCs/>
                      <w:color w:val="auto"/>
                      <w:spacing w:val="-6"/>
                      <w:sz w:val="21"/>
                      <w:szCs w:val="21"/>
                      <w:lang w:val="en-US" w:eastAsia="zh-CN"/>
                    </w:rPr>
                    <w:t>59.90</w:t>
                  </w:r>
                  <w:r>
                    <w:rPr>
                      <w:rFonts w:eastAsia="Times New Roman"/>
                      <w:bCs/>
                      <w:color w:val="auto"/>
                      <w:spacing w:val="-6"/>
                      <w:sz w:val="21"/>
                      <w:szCs w:val="21"/>
                    </w:rPr>
                    <w:t>″</w:t>
                  </w:r>
                  <w:r>
                    <w:rPr>
                      <w:rFonts w:hint="eastAsia" w:eastAsia="宋体"/>
                      <w:bCs/>
                      <w:color w:val="auto"/>
                      <w:spacing w:val="-6"/>
                      <w:sz w:val="21"/>
                      <w:szCs w:val="21"/>
                      <w:lang w:eastAsia="zh-CN"/>
                    </w:rPr>
                    <w:t>、</w:t>
                  </w:r>
                  <w:r>
                    <w:rPr>
                      <w:rFonts w:hint="eastAsia" w:eastAsia="Times New Roman"/>
                      <w:bCs/>
                      <w:color w:val="auto"/>
                      <w:spacing w:val="-6"/>
                      <w:sz w:val="21"/>
                      <w:szCs w:val="21"/>
                    </w:rPr>
                    <w:t>106</w:t>
                  </w:r>
                  <w:r>
                    <w:rPr>
                      <w:rFonts w:eastAsia="Times New Roman"/>
                      <w:bCs/>
                      <w:color w:val="auto"/>
                      <w:spacing w:val="-6"/>
                      <w:sz w:val="21"/>
                      <w:szCs w:val="21"/>
                    </w:rPr>
                    <w:t>°</w:t>
                  </w:r>
                  <w:r>
                    <w:rPr>
                      <w:rFonts w:hint="eastAsia" w:eastAsia="Times New Roman"/>
                      <w:bCs/>
                      <w:color w:val="auto"/>
                      <w:spacing w:val="-6"/>
                      <w:sz w:val="21"/>
                      <w:szCs w:val="21"/>
                    </w:rPr>
                    <w:t>45</w:t>
                  </w:r>
                  <w:r>
                    <w:rPr>
                      <w:rFonts w:eastAsia="Times New Roman"/>
                      <w:bCs/>
                      <w:color w:val="auto"/>
                      <w:spacing w:val="-6"/>
                      <w:sz w:val="21"/>
                      <w:szCs w:val="21"/>
                    </w:rPr>
                    <w:t>′</w:t>
                  </w:r>
                  <w:r>
                    <w:rPr>
                      <w:rFonts w:hint="eastAsia" w:eastAsia="宋体"/>
                      <w:bCs/>
                      <w:color w:val="auto"/>
                      <w:spacing w:val="-6"/>
                      <w:sz w:val="21"/>
                      <w:szCs w:val="21"/>
                      <w:lang w:val="en-US" w:eastAsia="zh-CN"/>
                    </w:rPr>
                    <w:t>51.73</w:t>
                  </w:r>
                  <w:r>
                    <w:rPr>
                      <w:rFonts w:eastAsia="Times New Roman"/>
                      <w:bCs/>
                      <w:color w:val="auto"/>
                      <w:spacing w:val="-6"/>
                      <w:sz w:val="21"/>
                      <w:szCs w:val="21"/>
                    </w:rPr>
                    <w:t>″</w:t>
                  </w:r>
                </w:p>
              </w:tc>
              <w:tc>
                <w:tcPr>
                  <w:tcW w:w="1786" w:type="pct"/>
                  <w:tcBorders>
                    <w:tl2br w:val="nil"/>
                    <w:tr2bl w:val="nil"/>
                  </w:tcBorders>
                  <w:vAlign w:val="center"/>
                </w:tcPr>
                <w:p w14:paraId="500D0104">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color w:val="auto"/>
                      <w:spacing w:val="-6"/>
                    </w:rPr>
                  </w:pPr>
                  <w:r>
                    <w:rPr>
                      <w:color w:val="auto"/>
                      <w:spacing w:val="-6"/>
                    </w:rPr>
                    <w:t>pH、氨氮、硝酸盐、亚硝酸盐、挥发性酚类、氰化物、砷、汞、铬（六价）、总硬度、铅、氟、镉、铁、锰、溶解性总固体、高锰酸盐指数、硫酸盐、氯化物、总大肠杆菌、菌落总数</w:t>
                  </w:r>
                  <w:r>
                    <w:rPr>
                      <w:rFonts w:hint="eastAsia"/>
                      <w:color w:val="auto"/>
                      <w:spacing w:val="-6"/>
                    </w:rPr>
                    <w:t>、石油类</w:t>
                  </w:r>
                  <w:r>
                    <w:rPr>
                      <w:color w:val="auto"/>
                      <w:spacing w:val="-6"/>
                    </w:rPr>
                    <w:t>共计</w:t>
                  </w:r>
                  <w:r>
                    <w:rPr>
                      <w:rFonts w:hint="eastAsia"/>
                      <w:color w:val="auto"/>
                      <w:spacing w:val="-6"/>
                    </w:rPr>
                    <w:t>22</w:t>
                  </w:r>
                  <w:r>
                    <w:rPr>
                      <w:color w:val="auto"/>
                      <w:spacing w:val="-6"/>
                    </w:rPr>
                    <w:t>项</w:t>
                  </w:r>
                </w:p>
              </w:tc>
              <w:tc>
                <w:tcPr>
                  <w:tcW w:w="446" w:type="pct"/>
                  <w:tcBorders>
                    <w:tl2br w:val="nil"/>
                    <w:tr2bl w:val="nil"/>
                  </w:tcBorders>
                  <w:vAlign w:val="center"/>
                </w:tcPr>
                <w:p w14:paraId="59572A39">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color w:val="auto"/>
                      <w:spacing w:val="-6"/>
                    </w:rPr>
                  </w:pPr>
                  <w:r>
                    <w:rPr>
                      <w:rFonts w:hint="eastAsia"/>
                      <w:color w:val="auto"/>
                      <w:spacing w:val="-6"/>
                    </w:rPr>
                    <w:t>1次/年</w:t>
                  </w:r>
                </w:p>
              </w:tc>
              <w:tc>
                <w:tcPr>
                  <w:tcW w:w="1227" w:type="pct"/>
                  <w:tcBorders>
                    <w:tl2br w:val="nil"/>
                    <w:tr2bl w:val="nil"/>
                  </w:tcBorders>
                  <w:vAlign w:val="center"/>
                </w:tcPr>
                <w:p w14:paraId="33A3AE5C">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color w:val="auto"/>
                      <w:spacing w:val="-6"/>
                    </w:rPr>
                  </w:pPr>
                  <w:r>
                    <w:rPr>
                      <w:color w:val="auto"/>
                      <w:spacing w:val="-6"/>
                    </w:rPr>
                    <w:t>《地下水质量标准》（GB/T14848-2017）中Ⅲ类水质限值</w:t>
                  </w:r>
                </w:p>
              </w:tc>
            </w:tr>
            <w:tr w14:paraId="5495D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258" w:type="pct"/>
                  <w:tcBorders>
                    <w:tl2br w:val="nil"/>
                    <w:tr2bl w:val="nil"/>
                  </w:tcBorders>
                  <w:vAlign w:val="center"/>
                </w:tcPr>
                <w:p w14:paraId="5C6A40CA">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color w:val="auto"/>
                      <w:spacing w:val="-6"/>
                    </w:rPr>
                  </w:pPr>
                  <w:r>
                    <w:rPr>
                      <w:rFonts w:hint="eastAsia"/>
                      <w:color w:val="auto"/>
                      <w:spacing w:val="-6"/>
                    </w:rPr>
                    <w:t>土壤</w:t>
                  </w:r>
                </w:p>
              </w:tc>
              <w:tc>
                <w:tcPr>
                  <w:tcW w:w="430" w:type="pct"/>
                  <w:tcBorders>
                    <w:tl2br w:val="nil"/>
                    <w:tr2bl w:val="nil"/>
                  </w:tcBorders>
                  <w:vAlign w:val="center"/>
                </w:tcPr>
                <w:p w14:paraId="24F75AFE">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rFonts w:hint="default" w:eastAsia="宋体" w:cs="Times New Roman"/>
                      <w:snapToGrid w:val="0"/>
                      <w:color w:val="auto"/>
                      <w:spacing w:val="-6"/>
                      <w:lang w:val="en-US" w:eastAsia="zh-CN"/>
                    </w:rPr>
                  </w:pPr>
                  <w:r>
                    <w:rPr>
                      <w:rFonts w:hint="eastAsia" w:cs="Times New Roman"/>
                      <w:snapToGrid w:val="0"/>
                      <w:color w:val="auto"/>
                      <w:spacing w:val="-6"/>
                    </w:rPr>
                    <w:t>危废暂存库西</w:t>
                  </w:r>
                  <w:r>
                    <w:rPr>
                      <w:rFonts w:hint="eastAsia" w:cs="Times New Roman"/>
                      <w:snapToGrid w:val="0"/>
                      <w:color w:val="auto"/>
                      <w:spacing w:val="-6"/>
                      <w:lang w:val="en-US" w:eastAsia="zh-CN"/>
                    </w:rPr>
                    <w:t>1m处</w:t>
                  </w:r>
                </w:p>
              </w:tc>
              <w:tc>
                <w:tcPr>
                  <w:tcW w:w="850" w:type="pct"/>
                  <w:tcBorders>
                    <w:tl2br w:val="nil"/>
                    <w:tr2bl w:val="nil"/>
                  </w:tcBorders>
                  <w:vAlign w:val="center"/>
                </w:tcPr>
                <w:p w14:paraId="17EBBCD8">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rFonts w:hint="eastAsia" w:cs="Times New Roman"/>
                      <w:snapToGrid w:val="0"/>
                      <w:color w:val="auto"/>
                      <w:spacing w:val="-6"/>
                    </w:rPr>
                  </w:pPr>
                  <w:r>
                    <w:rPr>
                      <w:rFonts w:hint="eastAsia" w:eastAsia="宋体"/>
                      <w:bCs/>
                      <w:color w:val="auto"/>
                      <w:spacing w:val="-6"/>
                      <w:sz w:val="21"/>
                      <w:szCs w:val="21"/>
                      <w:lang w:val="en-US" w:eastAsia="zh-CN"/>
                    </w:rPr>
                    <w:t>39</w:t>
                  </w:r>
                  <w:r>
                    <w:rPr>
                      <w:rFonts w:eastAsia="Times New Roman"/>
                      <w:bCs/>
                      <w:color w:val="auto"/>
                      <w:spacing w:val="-6"/>
                      <w:sz w:val="21"/>
                      <w:szCs w:val="21"/>
                    </w:rPr>
                    <w:t>°</w:t>
                  </w:r>
                  <w:r>
                    <w:rPr>
                      <w:rFonts w:hint="eastAsia" w:eastAsia="宋体"/>
                      <w:bCs/>
                      <w:color w:val="auto"/>
                      <w:spacing w:val="-6"/>
                      <w:sz w:val="21"/>
                      <w:szCs w:val="21"/>
                      <w:lang w:val="en-US" w:eastAsia="zh-CN"/>
                    </w:rPr>
                    <w:t>5</w:t>
                  </w:r>
                  <w:r>
                    <w:rPr>
                      <w:rFonts w:hint="eastAsia"/>
                      <w:bCs/>
                      <w:color w:val="auto"/>
                      <w:spacing w:val="-6"/>
                      <w:sz w:val="21"/>
                      <w:szCs w:val="21"/>
                      <w:lang w:val="en-US" w:eastAsia="zh-CN"/>
                    </w:rPr>
                    <w:t>3</w:t>
                  </w:r>
                  <w:r>
                    <w:rPr>
                      <w:rFonts w:eastAsia="Times New Roman"/>
                      <w:bCs/>
                      <w:color w:val="auto"/>
                      <w:spacing w:val="-6"/>
                      <w:sz w:val="21"/>
                      <w:szCs w:val="21"/>
                    </w:rPr>
                    <w:t>′</w:t>
                  </w:r>
                  <w:r>
                    <w:rPr>
                      <w:rFonts w:hint="eastAsia"/>
                      <w:bCs/>
                      <w:color w:val="auto"/>
                      <w:spacing w:val="-6"/>
                      <w:sz w:val="21"/>
                      <w:szCs w:val="21"/>
                      <w:lang w:val="en-US" w:eastAsia="zh-CN"/>
                    </w:rPr>
                    <w:t>3.29</w:t>
                  </w:r>
                  <w:r>
                    <w:rPr>
                      <w:rFonts w:eastAsia="Times New Roman"/>
                      <w:bCs/>
                      <w:color w:val="auto"/>
                      <w:spacing w:val="-6"/>
                      <w:sz w:val="21"/>
                      <w:szCs w:val="21"/>
                    </w:rPr>
                    <w:t>″</w:t>
                  </w:r>
                  <w:r>
                    <w:rPr>
                      <w:rFonts w:hint="eastAsia" w:eastAsia="宋体"/>
                      <w:bCs/>
                      <w:color w:val="auto"/>
                      <w:spacing w:val="-6"/>
                      <w:sz w:val="21"/>
                      <w:szCs w:val="21"/>
                      <w:lang w:eastAsia="zh-CN"/>
                    </w:rPr>
                    <w:t>、</w:t>
                  </w:r>
                  <w:r>
                    <w:rPr>
                      <w:rFonts w:hint="eastAsia" w:eastAsia="Times New Roman"/>
                      <w:bCs/>
                      <w:color w:val="auto"/>
                      <w:spacing w:val="-6"/>
                      <w:sz w:val="21"/>
                      <w:szCs w:val="21"/>
                    </w:rPr>
                    <w:t>106</w:t>
                  </w:r>
                  <w:r>
                    <w:rPr>
                      <w:rFonts w:eastAsia="Times New Roman"/>
                      <w:bCs/>
                      <w:color w:val="auto"/>
                      <w:spacing w:val="-6"/>
                      <w:sz w:val="21"/>
                      <w:szCs w:val="21"/>
                    </w:rPr>
                    <w:t>°</w:t>
                  </w:r>
                  <w:r>
                    <w:rPr>
                      <w:rFonts w:hint="eastAsia" w:eastAsia="Times New Roman"/>
                      <w:bCs/>
                      <w:color w:val="auto"/>
                      <w:spacing w:val="-6"/>
                      <w:sz w:val="21"/>
                      <w:szCs w:val="21"/>
                    </w:rPr>
                    <w:t>45</w:t>
                  </w:r>
                  <w:r>
                    <w:rPr>
                      <w:rFonts w:eastAsia="Times New Roman"/>
                      <w:bCs/>
                      <w:color w:val="auto"/>
                      <w:spacing w:val="-6"/>
                      <w:sz w:val="21"/>
                      <w:szCs w:val="21"/>
                    </w:rPr>
                    <w:t>′</w:t>
                  </w:r>
                  <w:r>
                    <w:rPr>
                      <w:rFonts w:hint="eastAsia"/>
                      <w:bCs/>
                      <w:color w:val="auto"/>
                      <w:spacing w:val="-6"/>
                      <w:sz w:val="21"/>
                      <w:szCs w:val="21"/>
                      <w:lang w:val="en-US" w:eastAsia="zh-CN"/>
                    </w:rPr>
                    <w:t>53.18</w:t>
                  </w:r>
                  <w:r>
                    <w:rPr>
                      <w:rFonts w:eastAsia="Times New Roman"/>
                      <w:bCs/>
                      <w:color w:val="auto"/>
                      <w:spacing w:val="-6"/>
                      <w:sz w:val="21"/>
                      <w:szCs w:val="21"/>
                    </w:rPr>
                    <w:t>″</w:t>
                  </w:r>
                </w:p>
              </w:tc>
              <w:tc>
                <w:tcPr>
                  <w:tcW w:w="1786" w:type="pct"/>
                  <w:tcBorders>
                    <w:tl2br w:val="nil"/>
                    <w:tr2bl w:val="nil"/>
                  </w:tcBorders>
                  <w:vAlign w:val="center"/>
                </w:tcPr>
                <w:p w14:paraId="449847A2">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color w:val="auto"/>
                      <w:spacing w:val="-6"/>
                    </w:rPr>
                  </w:pPr>
                  <w:r>
                    <w:rPr>
                      <w:color w:val="auto"/>
                      <w:spacing w:val="-6"/>
                    </w:rPr>
                    <w:t>pH、</w:t>
                  </w:r>
                  <w:r>
                    <w:rPr>
                      <w:rFonts w:hint="eastAsia"/>
                      <w:color w:val="auto"/>
                      <w:spacing w:val="-6"/>
                    </w:rPr>
                    <w:t>镉、汞、砷、铅、铜、镍、六价铬、石油烃</w:t>
                  </w:r>
                </w:p>
              </w:tc>
              <w:tc>
                <w:tcPr>
                  <w:tcW w:w="446" w:type="pct"/>
                  <w:tcBorders>
                    <w:tl2br w:val="nil"/>
                    <w:tr2bl w:val="nil"/>
                  </w:tcBorders>
                  <w:vAlign w:val="center"/>
                </w:tcPr>
                <w:p w14:paraId="36AC1FB5">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color w:val="auto"/>
                      <w:spacing w:val="-6"/>
                    </w:rPr>
                  </w:pPr>
                  <w:r>
                    <w:rPr>
                      <w:rFonts w:hint="eastAsia"/>
                      <w:color w:val="auto"/>
                      <w:spacing w:val="-6"/>
                    </w:rPr>
                    <w:t>1次/</w:t>
                  </w:r>
                  <w:r>
                    <w:rPr>
                      <w:rFonts w:hint="eastAsia"/>
                      <w:color w:val="auto"/>
                      <w:spacing w:val="-6"/>
                      <w:lang w:val="en-US" w:eastAsia="zh-CN"/>
                    </w:rPr>
                    <w:t>5</w:t>
                  </w:r>
                  <w:r>
                    <w:rPr>
                      <w:rFonts w:hint="eastAsia"/>
                      <w:color w:val="auto"/>
                      <w:spacing w:val="-6"/>
                    </w:rPr>
                    <w:t>年</w:t>
                  </w:r>
                </w:p>
              </w:tc>
              <w:tc>
                <w:tcPr>
                  <w:tcW w:w="1227" w:type="pct"/>
                  <w:tcBorders>
                    <w:tl2br w:val="nil"/>
                    <w:tr2bl w:val="nil"/>
                  </w:tcBorders>
                  <w:vAlign w:val="center"/>
                </w:tcPr>
                <w:p w14:paraId="4B01B6A9">
                  <w:pPr>
                    <w:pStyle w:val="96"/>
                    <w:keepNext w:val="0"/>
                    <w:keepLines w:val="0"/>
                    <w:pageBreakBefore w:val="0"/>
                    <w:widowControl w:val="0"/>
                    <w:kinsoku/>
                    <w:wordWrap/>
                    <w:overflowPunct/>
                    <w:topLinePunct w:val="0"/>
                    <w:autoSpaceDE/>
                    <w:autoSpaceDN/>
                    <w:bidi w:val="0"/>
                    <w:adjustRightInd w:val="0"/>
                    <w:snapToGrid w:val="0"/>
                    <w:spacing w:line="300" w:lineRule="exact"/>
                    <w:ind w:left="-48" w:leftChars="-20" w:right="-48" w:rightChars="-20"/>
                    <w:textAlignment w:val="auto"/>
                    <w:rPr>
                      <w:color w:val="auto"/>
                      <w:spacing w:val="-6"/>
                    </w:rPr>
                  </w:pPr>
                  <w:r>
                    <w:rPr>
                      <w:rFonts w:hint="eastAsia"/>
                      <w:color w:val="auto"/>
                      <w:spacing w:val="-6"/>
                    </w:rPr>
                    <w:t>《土壤质量标准 建设用地土壤污染风险管控标准（试行）》（GB36600-2018）第二类用地的风险筛选值</w:t>
                  </w:r>
                </w:p>
              </w:tc>
            </w:tr>
          </w:tbl>
          <w:p w14:paraId="3DEA2F44">
            <w:pPr>
              <w:spacing w:line="480" w:lineRule="exact"/>
              <w:ind w:firstLine="480" w:firstLineChars="200"/>
              <w:rPr>
                <w:color w:val="auto"/>
              </w:rPr>
            </w:pPr>
            <w:r>
              <w:rPr>
                <w:rFonts w:hint="eastAsia"/>
                <w:color w:val="auto"/>
              </w:rPr>
              <w:t>在采取以上防控措施后，可有效切断污染途径，使本项目不存在污染土壤和地下水的可能。</w:t>
            </w:r>
          </w:p>
          <w:p w14:paraId="3C01CC43">
            <w:pPr>
              <w:tabs>
                <w:tab w:val="left" w:pos="0"/>
              </w:tabs>
              <w:spacing w:line="500" w:lineRule="exact"/>
              <w:ind w:firstLine="482" w:firstLineChars="200"/>
              <w:outlineLvl w:val="0"/>
              <w:rPr>
                <w:b/>
                <w:bCs/>
                <w:color w:val="auto"/>
              </w:rPr>
            </w:pPr>
            <w:r>
              <w:rPr>
                <w:rFonts w:hint="eastAsia"/>
                <w:b/>
                <w:bCs/>
                <w:color w:val="auto"/>
              </w:rPr>
              <w:t>6、环境风险分析</w:t>
            </w:r>
          </w:p>
          <w:p w14:paraId="38F7073F">
            <w:pPr>
              <w:spacing w:line="500" w:lineRule="exact"/>
              <w:ind w:firstLine="480" w:firstLineChars="200"/>
              <w:rPr>
                <w:color w:val="auto"/>
              </w:rPr>
            </w:pPr>
            <w:r>
              <w:rPr>
                <w:color w:val="auto"/>
              </w:rPr>
              <w:t>本工程投入使用后，其本身不会对环境产生明显的风险影响，风险</w:t>
            </w:r>
            <w:r>
              <w:rPr>
                <w:rFonts w:hint="eastAsia"/>
                <w:color w:val="auto"/>
              </w:rPr>
              <w:t>物质</w:t>
            </w:r>
            <w:r>
              <w:rPr>
                <w:color w:val="auto"/>
              </w:rPr>
              <w:t>主要是废矿物油</w:t>
            </w:r>
            <w:r>
              <w:rPr>
                <w:rFonts w:hint="eastAsia"/>
                <w:color w:val="auto"/>
              </w:rPr>
              <w:t>、废铅酸蓄电池及盐酸</w:t>
            </w:r>
            <w:r>
              <w:rPr>
                <w:color w:val="auto"/>
              </w:rPr>
              <w:t>。</w:t>
            </w:r>
          </w:p>
          <w:p w14:paraId="3D58F921">
            <w:pPr>
              <w:adjustRightInd w:val="0"/>
              <w:snapToGrid w:val="0"/>
              <w:spacing w:line="500" w:lineRule="exact"/>
              <w:ind w:firstLine="480" w:firstLineChars="200"/>
              <w:rPr>
                <w:color w:val="auto"/>
              </w:rPr>
            </w:pPr>
            <w:r>
              <w:rPr>
                <w:color w:val="auto"/>
              </w:rPr>
              <w:t>（1）风险物质识别</w:t>
            </w:r>
          </w:p>
          <w:p w14:paraId="3A0EDECC">
            <w:pPr>
              <w:adjustRightInd w:val="0"/>
              <w:snapToGrid w:val="0"/>
              <w:spacing w:line="500" w:lineRule="exact"/>
              <w:ind w:firstLine="480" w:firstLineChars="200"/>
              <w:rPr>
                <w:color w:val="auto"/>
              </w:rPr>
            </w:pPr>
            <w:r>
              <w:rPr>
                <w:color w:val="auto"/>
              </w:rPr>
              <w:t>本项目涉及的危险物质主要为</w:t>
            </w:r>
            <w:r>
              <w:rPr>
                <w:rFonts w:hint="eastAsia"/>
                <w:color w:val="auto"/>
              </w:rPr>
              <w:t>废矿物油、废铅酸蓄电池和盐酸，</w:t>
            </w:r>
            <w:r>
              <w:rPr>
                <w:color w:val="auto"/>
              </w:rPr>
              <w:t>最大储存量</w:t>
            </w:r>
            <w:r>
              <w:rPr>
                <w:rFonts w:hint="eastAsia"/>
                <w:color w:val="auto"/>
              </w:rPr>
              <w:t>分别为</w:t>
            </w:r>
            <w:r>
              <w:rPr>
                <w:rFonts w:hint="eastAsia"/>
                <w:color w:val="auto"/>
                <w:lang w:val="en-US" w:eastAsia="zh-CN"/>
              </w:rPr>
              <w:t>0.8</w:t>
            </w:r>
            <w:r>
              <w:rPr>
                <w:rFonts w:hint="eastAsia"/>
                <w:color w:val="auto"/>
              </w:rPr>
              <w:t>t、</w:t>
            </w:r>
            <w:r>
              <w:rPr>
                <w:rFonts w:hint="eastAsia"/>
                <w:color w:val="auto"/>
                <w:lang w:val="en-US" w:eastAsia="zh-CN"/>
              </w:rPr>
              <w:t>0.4</w:t>
            </w:r>
            <w:r>
              <w:rPr>
                <w:rFonts w:hint="eastAsia"/>
                <w:color w:val="auto"/>
              </w:rPr>
              <w:t>t、0.025t/a。废铅蓄电池中电解液占电池总重量的15%，电解液中硫酸浓度为40%，则硫酸含量为0.</w:t>
            </w:r>
            <w:r>
              <w:rPr>
                <w:rFonts w:hint="eastAsia"/>
                <w:color w:val="auto"/>
                <w:lang w:val="en-US" w:eastAsia="zh-CN"/>
              </w:rPr>
              <w:t>024</w:t>
            </w:r>
            <w:r>
              <w:rPr>
                <w:rFonts w:hint="eastAsia"/>
                <w:color w:val="auto"/>
              </w:rPr>
              <w:t>t；废铅蓄电池含铅物质占75%，则铅及其氧化物含量为</w:t>
            </w:r>
            <w:r>
              <w:rPr>
                <w:rFonts w:hint="eastAsia"/>
                <w:color w:val="auto"/>
                <w:lang w:val="en-US" w:eastAsia="zh-CN"/>
              </w:rPr>
              <w:t>0.3</w:t>
            </w:r>
            <w:r>
              <w:rPr>
                <w:rFonts w:hint="eastAsia"/>
                <w:color w:val="auto"/>
              </w:rPr>
              <w:t>t。15%盐酸折算为37%盐酸后量为0.01t。</w:t>
            </w:r>
          </w:p>
          <w:p w14:paraId="4A4F8F48">
            <w:pPr>
              <w:adjustRightInd w:val="0"/>
              <w:snapToGrid w:val="0"/>
              <w:spacing w:line="500" w:lineRule="exact"/>
              <w:ind w:firstLine="480" w:firstLineChars="200"/>
              <w:rPr>
                <w:color w:val="auto"/>
              </w:rPr>
            </w:pPr>
            <w:r>
              <w:rPr>
                <w:color w:val="auto"/>
              </w:rPr>
              <w:t>厂区危险物质储存量与其临界量比值（Q）按下式计算：</w:t>
            </w:r>
          </w:p>
          <w:p w14:paraId="55169CDC">
            <w:pPr>
              <w:jc w:val="center"/>
              <w:rPr>
                <w:color w:val="auto"/>
              </w:rPr>
            </w:pPr>
            <w:r>
              <w:rPr>
                <w:color w:val="auto"/>
                <w:position w:val="-30"/>
              </w:rPr>
              <w:object>
                <v:shape id="_x0000_i1025" o:spt="75" type="#_x0000_t75" style="height:30pt;width:86.15pt;" o:ole="t" filled="f" coordsize="21600,21600">
                  <v:path/>
                  <v:fill on="f" focussize="0,0"/>
                  <v:stroke/>
                  <v:imagedata r:id="rId22" o:title=""/>
                  <o:lock v:ext="edit" aspectratio="t"/>
                  <w10:wrap type="none"/>
                  <w10:anchorlock/>
                </v:shape>
                <o:OLEObject Type="Embed" ProgID="Equation.3" ShapeID="_x0000_i1025" DrawAspect="Content" ObjectID="_1468075728" r:id="rId21">
                  <o:LockedField>false</o:LockedField>
                </o:OLEObject>
              </w:object>
            </w:r>
          </w:p>
          <w:p w14:paraId="2960434F">
            <w:pPr>
              <w:adjustRightInd w:val="0"/>
              <w:snapToGrid w:val="0"/>
              <w:spacing w:line="500" w:lineRule="exact"/>
              <w:ind w:firstLine="1928" w:firstLineChars="800"/>
              <w:rPr>
                <w:b/>
                <w:bCs/>
                <w:color w:val="auto"/>
              </w:rPr>
            </w:pPr>
            <w:r>
              <w:rPr>
                <w:rFonts w:hint="eastAsia"/>
                <w:b/>
                <w:bCs/>
                <w:color w:val="auto"/>
              </w:rPr>
              <w:t>表4-1</w:t>
            </w:r>
            <w:r>
              <w:rPr>
                <w:rFonts w:hint="eastAsia"/>
                <w:b/>
                <w:bCs/>
                <w:color w:val="auto"/>
                <w:lang w:val="en-US" w:eastAsia="zh-CN"/>
              </w:rPr>
              <w:t>4</w:t>
            </w:r>
            <w:r>
              <w:rPr>
                <w:rFonts w:hint="eastAsia"/>
                <w:b/>
                <w:bCs/>
                <w:color w:val="auto"/>
              </w:rPr>
              <w:t xml:space="preserve">     本项目Q值确定表</w:t>
            </w:r>
          </w:p>
          <w:tbl>
            <w:tblPr>
              <w:tblStyle w:val="26"/>
              <w:tblW w:w="8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1489"/>
              <w:gridCol w:w="1863"/>
              <w:gridCol w:w="1676"/>
              <w:gridCol w:w="1676"/>
            </w:tblGrid>
            <w:tr w14:paraId="481C0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6" w:type="dxa"/>
                  <w:vAlign w:val="center"/>
                </w:tcPr>
                <w:p w14:paraId="72E17462">
                  <w:pPr>
                    <w:adjustRightInd w:val="0"/>
                    <w:snapToGrid w:val="0"/>
                    <w:spacing w:line="360" w:lineRule="exact"/>
                    <w:jc w:val="center"/>
                    <w:rPr>
                      <w:color w:val="auto"/>
                      <w:sz w:val="21"/>
                      <w:szCs w:val="21"/>
                    </w:rPr>
                  </w:pPr>
                  <w:r>
                    <w:rPr>
                      <w:rFonts w:hint="eastAsia"/>
                      <w:color w:val="auto"/>
                      <w:sz w:val="21"/>
                      <w:szCs w:val="21"/>
                    </w:rPr>
                    <w:t>单元名称</w:t>
                  </w:r>
                </w:p>
              </w:tc>
              <w:tc>
                <w:tcPr>
                  <w:tcW w:w="1489" w:type="dxa"/>
                  <w:vAlign w:val="center"/>
                </w:tcPr>
                <w:p w14:paraId="6853E712">
                  <w:pPr>
                    <w:adjustRightInd w:val="0"/>
                    <w:snapToGrid w:val="0"/>
                    <w:spacing w:line="360" w:lineRule="exact"/>
                    <w:jc w:val="center"/>
                    <w:rPr>
                      <w:color w:val="auto"/>
                      <w:sz w:val="21"/>
                      <w:szCs w:val="21"/>
                    </w:rPr>
                  </w:pPr>
                  <w:r>
                    <w:rPr>
                      <w:rFonts w:hint="eastAsia"/>
                      <w:color w:val="auto"/>
                      <w:sz w:val="21"/>
                      <w:szCs w:val="21"/>
                    </w:rPr>
                    <w:t>危险物质</w:t>
                  </w:r>
                </w:p>
              </w:tc>
              <w:tc>
                <w:tcPr>
                  <w:tcW w:w="1863" w:type="dxa"/>
                  <w:vAlign w:val="center"/>
                </w:tcPr>
                <w:p w14:paraId="406B2FD5">
                  <w:pPr>
                    <w:adjustRightInd w:val="0"/>
                    <w:snapToGrid w:val="0"/>
                    <w:spacing w:line="360" w:lineRule="exact"/>
                    <w:jc w:val="center"/>
                    <w:rPr>
                      <w:color w:val="auto"/>
                      <w:sz w:val="21"/>
                      <w:szCs w:val="21"/>
                    </w:rPr>
                  </w:pPr>
                  <w:r>
                    <w:rPr>
                      <w:rFonts w:hint="eastAsia"/>
                      <w:color w:val="auto"/>
                      <w:sz w:val="21"/>
                      <w:szCs w:val="21"/>
                    </w:rPr>
                    <w:t>最大贮存量（t）</w:t>
                  </w:r>
                </w:p>
              </w:tc>
              <w:tc>
                <w:tcPr>
                  <w:tcW w:w="1676" w:type="dxa"/>
                  <w:vAlign w:val="center"/>
                </w:tcPr>
                <w:p w14:paraId="7DE95E71">
                  <w:pPr>
                    <w:adjustRightInd w:val="0"/>
                    <w:snapToGrid w:val="0"/>
                    <w:spacing w:line="360" w:lineRule="exact"/>
                    <w:jc w:val="center"/>
                    <w:rPr>
                      <w:color w:val="auto"/>
                      <w:sz w:val="21"/>
                      <w:szCs w:val="21"/>
                    </w:rPr>
                  </w:pPr>
                  <w:r>
                    <w:rPr>
                      <w:rFonts w:hint="eastAsia"/>
                      <w:color w:val="auto"/>
                      <w:sz w:val="21"/>
                      <w:szCs w:val="21"/>
                    </w:rPr>
                    <w:t>临界量（t）</w:t>
                  </w:r>
                </w:p>
              </w:tc>
              <w:tc>
                <w:tcPr>
                  <w:tcW w:w="1676" w:type="dxa"/>
                  <w:vAlign w:val="center"/>
                </w:tcPr>
                <w:p w14:paraId="6EBF0379">
                  <w:pPr>
                    <w:adjustRightInd w:val="0"/>
                    <w:snapToGrid w:val="0"/>
                    <w:spacing w:line="360" w:lineRule="exact"/>
                    <w:jc w:val="center"/>
                    <w:rPr>
                      <w:color w:val="auto"/>
                      <w:sz w:val="21"/>
                      <w:szCs w:val="21"/>
                    </w:rPr>
                  </w:pPr>
                  <w:r>
                    <w:rPr>
                      <w:rFonts w:hint="eastAsia"/>
                      <w:color w:val="auto"/>
                      <w:sz w:val="21"/>
                      <w:szCs w:val="21"/>
                    </w:rPr>
                    <w:t>q</w:t>
                  </w:r>
                  <w:r>
                    <w:rPr>
                      <w:rFonts w:hint="eastAsia"/>
                      <w:color w:val="auto"/>
                      <w:sz w:val="21"/>
                      <w:szCs w:val="21"/>
                      <w:vertAlign w:val="subscript"/>
                    </w:rPr>
                    <w:t>n</w:t>
                  </w:r>
                  <w:r>
                    <w:rPr>
                      <w:rFonts w:hint="eastAsia"/>
                      <w:color w:val="auto"/>
                      <w:sz w:val="21"/>
                      <w:szCs w:val="21"/>
                    </w:rPr>
                    <w:t>/Q</w:t>
                  </w:r>
                  <w:r>
                    <w:rPr>
                      <w:rFonts w:hint="eastAsia"/>
                      <w:color w:val="auto"/>
                      <w:sz w:val="21"/>
                      <w:szCs w:val="21"/>
                      <w:vertAlign w:val="subscript"/>
                    </w:rPr>
                    <w:t>n</w:t>
                  </w:r>
                </w:p>
              </w:tc>
            </w:tr>
            <w:tr w14:paraId="3F16A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6" w:type="dxa"/>
                  <w:vMerge w:val="restart"/>
                  <w:vAlign w:val="center"/>
                </w:tcPr>
                <w:p w14:paraId="0B745632">
                  <w:pPr>
                    <w:adjustRightInd w:val="0"/>
                    <w:snapToGrid w:val="0"/>
                    <w:spacing w:line="360" w:lineRule="exact"/>
                    <w:jc w:val="center"/>
                    <w:rPr>
                      <w:color w:val="auto"/>
                      <w:sz w:val="21"/>
                      <w:szCs w:val="21"/>
                    </w:rPr>
                  </w:pPr>
                  <w:r>
                    <w:rPr>
                      <w:rFonts w:hint="eastAsia"/>
                      <w:color w:val="auto"/>
                      <w:sz w:val="21"/>
                      <w:szCs w:val="21"/>
                    </w:rPr>
                    <w:t>危废暂存库</w:t>
                  </w:r>
                </w:p>
              </w:tc>
              <w:tc>
                <w:tcPr>
                  <w:tcW w:w="1489" w:type="dxa"/>
                  <w:vAlign w:val="center"/>
                </w:tcPr>
                <w:p w14:paraId="0129E603">
                  <w:pPr>
                    <w:adjustRightInd w:val="0"/>
                    <w:snapToGrid w:val="0"/>
                    <w:spacing w:line="360" w:lineRule="exact"/>
                    <w:jc w:val="center"/>
                    <w:rPr>
                      <w:color w:val="auto"/>
                      <w:sz w:val="21"/>
                      <w:szCs w:val="21"/>
                    </w:rPr>
                  </w:pPr>
                  <w:r>
                    <w:rPr>
                      <w:rFonts w:hint="eastAsia"/>
                      <w:color w:val="auto"/>
                      <w:sz w:val="21"/>
                      <w:szCs w:val="21"/>
                    </w:rPr>
                    <w:t>废矿物油</w:t>
                  </w:r>
                </w:p>
              </w:tc>
              <w:tc>
                <w:tcPr>
                  <w:tcW w:w="1863" w:type="dxa"/>
                  <w:vAlign w:val="center"/>
                </w:tcPr>
                <w:p w14:paraId="35579A58">
                  <w:pPr>
                    <w:adjustRightInd w:val="0"/>
                    <w:snapToGrid w:val="0"/>
                    <w:spacing w:line="360" w:lineRule="exact"/>
                    <w:jc w:val="center"/>
                    <w:rPr>
                      <w:rFonts w:hint="default" w:eastAsia="宋体"/>
                      <w:color w:val="auto"/>
                      <w:sz w:val="21"/>
                      <w:szCs w:val="21"/>
                      <w:lang w:val="en-US" w:eastAsia="zh-CN"/>
                    </w:rPr>
                  </w:pPr>
                  <w:r>
                    <w:rPr>
                      <w:rFonts w:hint="eastAsia"/>
                      <w:color w:val="auto"/>
                      <w:sz w:val="21"/>
                      <w:szCs w:val="21"/>
                      <w:lang w:val="en-US" w:eastAsia="zh-CN"/>
                    </w:rPr>
                    <w:t>0.8</w:t>
                  </w:r>
                </w:p>
              </w:tc>
              <w:tc>
                <w:tcPr>
                  <w:tcW w:w="1676" w:type="dxa"/>
                  <w:vAlign w:val="center"/>
                </w:tcPr>
                <w:p w14:paraId="215791A2">
                  <w:pPr>
                    <w:adjustRightInd w:val="0"/>
                    <w:snapToGrid w:val="0"/>
                    <w:spacing w:line="360" w:lineRule="exact"/>
                    <w:jc w:val="center"/>
                    <w:rPr>
                      <w:color w:val="auto"/>
                      <w:sz w:val="21"/>
                      <w:szCs w:val="21"/>
                    </w:rPr>
                  </w:pPr>
                  <w:r>
                    <w:rPr>
                      <w:rFonts w:hint="eastAsia"/>
                      <w:color w:val="auto"/>
                      <w:sz w:val="21"/>
                      <w:szCs w:val="21"/>
                    </w:rPr>
                    <w:t>2500</w:t>
                  </w:r>
                </w:p>
              </w:tc>
              <w:tc>
                <w:tcPr>
                  <w:tcW w:w="1676" w:type="dxa"/>
                  <w:vAlign w:val="center"/>
                </w:tcPr>
                <w:p w14:paraId="15BD6634">
                  <w:pPr>
                    <w:adjustRightInd w:val="0"/>
                    <w:snapToGrid w:val="0"/>
                    <w:spacing w:line="360" w:lineRule="exact"/>
                    <w:jc w:val="center"/>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0.000</w:t>
                  </w:r>
                  <w:r>
                    <w:rPr>
                      <w:rFonts w:hint="eastAsia" w:ascii="Times New Roman" w:hAnsi="Times New Roman" w:eastAsia="宋体" w:cs="Times New Roman"/>
                      <w:color w:val="auto"/>
                      <w:sz w:val="21"/>
                      <w:szCs w:val="21"/>
                      <w:lang w:val="en-US" w:eastAsia="zh-CN"/>
                    </w:rPr>
                    <w:t>3</w:t>
                  </w:r>
                </w:p>
              </w:tc>
            </w:tr>
            <w:tr w14:paraId="24EA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6" w:type="dxa"/>
                  <w:vMerge w:val="continue"/>
                  <w:vAlign w:val="center"/>
                </w:tcPr>
                <w:p w14:paraId="200AAD7C">
                  <w:pPr>
                    <w:adjustRightInd w:val="0"/>
                    <w:snapToGrid w:val="0"/>
                    <w:spacing w:line="360" w:lineRule="exact"/>
                    <w:jc w:val="center"/>
                    <w:rPr>
                      <w:color w:val="auto"/>
                      <w:sz w:val="21"/>
                      <w:szCs w:val="21"/>
                    </w:rPr>
                  </w:pPr>
                </w:p>
              </w:tc>
              <w:tc>
                <w:tcPr>
                  <w:tcW w:w="1489" w:type="dxa"/>
                  <w:vAlign w:val="center"/>
                </w:tcPr>
                <w:p w14:paraId="09E55BCC">
                  <w:pPr>
                    <w:adjustRightInd w:val="0"/>
                    <w:snapToGrid w:val="0"/>
                    <w:spacing w:line="360" w:lineRule="exact"/>
                    <w:jc w:val="center"/>
                    <w:rPr>
                      <w:color w:val="auto"/>
                      <w:sz w:val="21"/>
                      <w:szCs w:val="21"/>
                    </w:rPr>
                  </w:pPr>
                  <w:r>
                    <w:rPr>
                      <w:rFonts w:hint="eastAsia"/>
                      <w:color w:val="auto"/>
                      <w:sz w:val="21"/>
                      <w:szCs w:val="21"/>
                    </w:rPr>
                    <w:t>铅</w:t>
                  </w:r>
                </w:p>
              </w:tc>
              <w:tc>
                <w:tcPr>
                  <w:tcW w:w="1863" w:type="dxa"/>
                  <w:vAlign w:val="center"/>
                </w:tcPr>
                <w:p w14:paraId="39C7D581">
                  <w:pPr>
                    <w:adjustRightInd w:val="0"/>
                    <w:snapToGrid w:val="0"/>
                    <w:spacing w:line="360" w:lineRule="exact"/>
                    <w:jc w:val="center"/>
                    <w:rPr>
                      <w:rFonts w:hint="default" w:eastAsia="宋体"/>
                      <w:color w:val="auto"/>
                      <w:sz w:val="21"/>
                      <w:szCs w:val="21"/>
                      <w:lang w:val="en-US" w:eastAsia="zh-CN"/>
                    </w:rPr>
                  </w:pPr>
                  <w:r>
                    <w:rPr>
                      <w:rFonts w:hint="eastAsia"/>
                      <w:color w:val="auto"/>
                      <w:sz w:val="21"/>
                      <w:szCs w:val="21"/>
                      <w:lang w:val="en-US" w:eastAsia="zh-CN"/>
                    </w:rPr>
                    <w:t>0.3</w:t>
                  </w:r>
                </w:p>
              </w:tc>
              <w:tc>
                <w:tcPr>
                  <w:tcW w:w="1676" w:type="dxa"/>
                  <w:vAlign w:val="center"/>
                </w:tcPr>
                <w:p w14:paraId="43207FA6">
                  <w:pPr>
                    <w:adjustRightInd w:val="0"/>
                    <w:snapToGrid w:val="0"/>
                    <w:spacing w:line="360" w:lineRule="exact"/>
                    <w:jc w:val="center"/>
                    <w:rPr>
                      <w:color w:val="auto"/>
                      <w:sz w:val="21"/>
                      <w:szCs w:val="21"/>
                    </w:rPr>
                  </w:pPr>
                  <w:r>
                    <w:rPr>
                      <w:rFonts w:hint="eastAsia"/>
                      <w:color w:val="auto"/>
                      <w:sz w:val="21"/>
                      <w:szCs w:val="21"/>
                    </w:rPr>
                    <w:t>50</w:t>
                  </w:r>
                </w:p>
              </w:tc>
              <w:tc>
                <w:tcPr>
                  <w:tcW w:w="1676" w:type="dxa"/>
                  <w:vAlign w:val="center"/>
                </w:tcPr>
                <w:p w14:paraId="612BC360">
                  <w:pPr>
                    <w:adjustRightInd w:val="0"/>
                    <w:snapToGrid w:val="0"/>
                    <w:spacing w:line="360" w:lineRule="exact"/>
                    <w:jc w:val="center"/>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 xml:space="preserve">0.0060 </w:t>
                  </w:r>
                </w:p>
              </w:tc>
            </w:tr>
            <w:tr w14:paraId="1036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6" w:type="dxa"/>
                  <w:vMerge w:val="continue"/>
                  <w:vAlign w:val="center"/>
                </w:tcPr>
                <w:p w14:paraId="70B8AE05">
                  <w:pPr>
                    <w:adjustRightInd w:val="0"/>
                    <w:snapToGrid w:val="0"/>
                    <w:spacing w:line="360" w:lineRule="exact"/>
                    <w:jc w:val="center"/>
                    <w:rPr>
                      <w:color w:val="auto"/>
                      <w:sz w:val="21"/>
                      <w:szCs w:val="21"/>
                    </w:rPr>
                  </w:pPr>
                </w:p>
              </w:tc>
              <w:tc>
                <w:tcPr>
                  <w:tcW w:w="1489" w:type="dxa"/>
                  <w:vAlign w:val="center"/>
                </w:tcPr>
                <w:p w14:paraId="29128045">
                  <w:pPr>
                    <w:adjustRightInd w:val="0"/>
                    <w:snapToGrid w:val="0"/>
                    <w:spacing w:line="360" w:lineRule="exact"/>
                    <w:jc w:val="center"/>
                    <w:rPr>
                      <w:color w:val="auto"/>
                      <w:sz w:val="21"/>
                      <w:szCs w:val="21"/>
                    </w:rPr>
                  </w:pPr>
                  <w:r>
                    <w:rPr>
                      <w:rFonts w:hint="eastAsia"/>
                      <w:color w:val="auto"/>
                      <w:sz w:val="21"/>
                      <w:szCs w:val="21"/>
                    </w:rPr>
                    <w:t>硫酸</w:t>
                  </w:r>
                </w:p>
              </w:tc>
              <w:tc>
                <w:tcPr>
                  <w:tcW w:w="1863" w:type="dxa"/>
                  <w:vAlign w:val="center"/>
                </w:tcPr>
                <w:p w14:paraId="4AE14B96">
                  <w:pPr>
                    <w:adjustRightInd w:val="0"/>
                    <w:snapToGrid w:val="0"/>
                    <w:spacing w:line="360" w:lineRule="exact"/>
                    <w:jc w:val="center"/>
                    <w:rPr>
                      <w:rFonts w:hint="default" w:eastAsia="宋体"/>
                      <w:color w:val="auto"/>
                      <w:sz w:val="21"/>
                      <w:szCs w:val="21"/>
                      <w:lang w:val="en-US" w:eastAsia="zh-CN"/>
                    </w:rPr>
                  </w:pPr>
                  <w:r>
                    <w:rPr>
                      <w:rFonts w:hint="eastAsia"/>
                      <w:color w:val="auto"/>
                      <w:sz w:val="21"/>
                      <w:szCs w:val="21"/>
                    </w:rPr>
                    <w:t>0.</w:t>
                  </w:r>
                  <w:r>
                    <w:rPr>
                      <w:rFonts w:hint="eastAsia"/>
                      <w:color w:val="auto"/>
                      <w:sz w:val="21"/>
                      <w:szCs w:val="21"/>
                      <w:lang w:val="en-US" w:eastAsia="zh-CN"/>
                    </w:rPr>
                    <w:t>024</w:t>
                  </w:r>
                </w:p>
              </w:tc>
              <w:tc>
                <w:tcPr>
                  <w:tcW w:w="1676" w:type="dxa"/>
                  <w:vAlign w:val="center"/>
                </w:tcPr>
                <w:p w14:paraId="7D218A21">
                  <w:pPr>
                    <w:adjustRightInd w:val="0"/>
                    <w:snapToGrid w:val="0"/>
                    <w:spacing w:line="360" w:lineRule="exact"/>
                    <w:jc w:val="center"/>
                    <w:rPr>
                      <w:color w:val="auto"/>
                      <w:sz w:val="21"/>
                      <w:szCs w:val="21"/>
                    </w:rPr>
                  </w:pPr>
                  <w:r>
                    <w:rPr>
                      <w:rFonts w:hint="eastAsia"/>
                      <w:color w:val="auto"/>
                      <w:sz w:val="21"/>
                      <w:szCs w:val="21"/>
                    </w:rPr>
                    <w:t>10</w:t>
                  </w:r>
                </w:p>
              </w:tc>
              <w:tc>
                <w:tcPr>
                  <w:tcW w:w="1676" w:type="dxa"/>
                  <w:vAlign w:val="center"/>
                </w:tcPr>
                <w:p w14:paraId="76B31691">
                  <w:pPr>
                    <w:adjustRightInd w:val="0"/>
                    <w:snapToGrid w:val="0"/>
                    <w:spacing w:line="360" w:lineRule="exact"/>
                    <w:jc w:val="center"/>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 xml:space="preserve">0.0024 </w:t>
                  </w:r>
                </w:p>
              </w:tc>
            </w:tr>
            <w:tr w14:paraId="6100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6" w:type="dxa"/>
                  <w:vMerge w:val="continue"/>
                  <w:vAlign w:val="center"/>
                </w:tcPr>
                <w:p w14:paraId="35B2A324">
                  <w:pPr>
                    <w:adjustRightInd w:val="0"/>
                    <w:snapToGrid w:val="0"/>
                    <w:spacing w:line="360" w:lineRule="exact"/>
                    <w:jc w:val="center"/>
                    <w:rPr>
                      <w:color w:val="auto"/>
                      <w:sz w:val="21"/>
                      <w:szCs w:val="21"/>
                    </w:rPr>
                  </w:pPr>
                </w:p>
              </w:tc>
              <w:tc>
                <w:tcPr>
                  <w:tcW w:w="1489" w:type="dxa"/>
                  <w:vAlign w:val="center"/>
                </w:tcPr>
                <w:p w14:paraId="4F7E2ACD">
                  <w:pPr>
                    <w:adjustRightInd w:val="0"/>
                    <w:snapToGrid w:val="0"/>
                    <w:spacing w:line="360" w:lineRule="exact"/>
                    <w:jc w:val="center"/>
                    <w:rPr>
                      <w:color w:val="auto"/>
                      <w:sz w:val="21"/>
                      <w:szCs w:val="21"/>
                    </w:rPr>
                  </w:pPr>
                  <w:r>
                    <w:rPr>
                      <w:rFonts w:hint="eastAsia"/>
                      <w:color w:val="auto"/>
                      <w:sz w:val="21"/>
                      <w:szCs w:val="21"/>
                    </w:rPr>
                    <w:t>盐酸</w:t>
                  </w:r>
                </w:p>
              </w:tc>
              <w:tc>
                <w:tcPr>
                  <w:tcW w:w="1863" w:type="dxa"/>
                  <w:vAlign w:val="center"/>
                </w:tcPr>
                <w:p w14:paraId="6D960AA0">
                  <w:pPr>
                    <w:adjustRightInd w:val="0"/>
                    <w:snapToGrid w:val="0"/>
                    <w:spacing w:line="360" w:lineRule="exact"/>
                    <w:jc w:val="center"/>
                    <w:rPr>
                      <w:color w:val="auto"/>
                      <w:sz w:val="21"/>
                      <w:szCs w:val="21"/>
                    </w:rPr>
                  </w:pPr>
                  <w:r>
                    <w:rPr>
                      <w:rFonts w:hint="eastAsia"/>
                      <w:color w:val="auto"/>
                      <w:sz w:val="21"/>
                      <w:szCs w:val="21"/>
                    </w:rPr>
                    <w:t>0.01</w:t>
                  </w:r>
                </w:p>
              </w:tc>
              <w:tc>
                <w:tcPr>
                  <w:tcW w:w="1676" w:type="dxa"/>
                  <w:vAlign w:val="center"/>
                </w:tcPr>
                <w:p w14:paraId="4624A2A2">
                  <w:pPr>
                    <w:adjustRightInd w:val="0"/>
                    <w:snapToGrid w:val="0"/>
                    <w:spacing w:line="360" w:lineRule="exact"/>
                    <w:jc w:val="center"/>
                    <w:rPr>
                      <w:color w:val="auto"/>
                      <w:sz w:val="21"/>
                      <w:szCs w:val="21"/>
                    </w:rPr>
                  </w:pPr>
                  <w:r>
                    <w:rPr>
                      <w:rFonts w:hint="eastAsia"/>
                      <w:color w:val="auto"/>
                      <w:sz w:val="21"/>
                      <w:szCs w:val="21"/>
                    </w:rPr>
                    <w:t>7.5</w:t>
                  </w:r>
                </w:p>
              </w:tc>
              <w:tc>
                <w:tcPr>
                  <w:tcW w:w="1676" w:type="dxa"/>
                  <w:vAlign w:val="center"/>
                </w:tcPr>
                <w:p w14:paraId="1C00AC5A">
                  <w:pPr>
                    <w:adjustRightInd w:val="0"/>
                    <w:snapToGrid w:val="0"/>
                    <w:spacing w:line="360" w:lineRule="exact"/>
                    <w:jc w:val="center"/>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 xml:space="preserve">0.0013 </w:t>
                  </w:r>
                </w:p>
              </w:tc>
            </w:tr>
            <w:tr w14:paraId="03D6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5" w:type="dxa"/>
                  <w:gridSpan w:val="2"/>
                  <w:vAlign w:val="center"/>
                </w:tcPr>
                <w:p w14:paraId="75615F68">
                  <w:pPr>
                    <w:adjustRightInd w:val="0"/>
                    <w:snapToGrid w:val="0"/>
                    <w:spacing w:line="360" w:lineRule="exact"/>
                    <w:jc w:val="center"/>
                    <w:rPr>
                      <w:color w:val="auto"/>
                      <w:sz w:val="21"/>
                      <w:szCs w:val="21"/>
                    </w:rPr>
                  </w:pPr>
                  <w:r>
                    <w:rPr>
                      <w:rFonts w:hint="eastAsia"/>
                      <w:color w:val="auto"/>
                      <w:sz w:val="21"/>
                      <w:szCs w:val="21"/>
                    </w:rPr>
                    <w:t>合计</w:t>
                  </w:r>
                </w:p>
              </w:tc>
              <w:tc>
                <w:tcPr>
                  <w:tcW w:w="1863" w:type="dxa"/>
                  <w:vAlign w:val="center"/>
                </w:tcPr>
                <w:p w14:paraId="4E7299FF">
                  <w:pPr>
                    <w:adjustRightInd w:val="0"/>
                    <w:snapToGrid w:val="0"/>
                    <w:spacing w:line="360" w:lineRule="exact"/>
                    <w:jc w:val="center"/>
                    <w:rPr>
                      <w:color w:val="auto"/>
                      <w:sz w:val="21"/>
                      <w:szCs w:val="21"/>
                    </w:rPr>
                  </w:pPr>
                  <w:r>
                    <w:rPr>
                      <w:rFonts w:hint="eastAsia"/>
                      <w:color w:val="auto"/>
                      <w:sz w:val="21"/>
                      <w:szCs w:val="21"/>
                    </w:rPr>
                    <w:t>/</w:t>
                  </w:r>
                </w:p>
              </w:tc>
              <w:tc>
                <w:tcPr>
                  <w:tcW w:w="1676" w:type="dxa"/>
                  <w:vAlign w:val="center"/>
                </w:tcPr>
                <w:p w14:paraId="79504605">
                  <w:pPr>
                    <w:adjustRightInd w:val="0"/>
                    <w:snapToGrid w:val="0"/>
                    <w:spacing w:line="360" w:lineRule="exact"/>
                    <w:jc w:val="center"/>
                    <w:rPr>
                      <w:color w:val="auto"/>
                      <w:sz w:val="21"/>
                      <w:szCs w:val="21"/>
                    </w:rPr>
                  </w:pPr>
                  <w:r>
                    <w:rPr>
                      <w:rFonts w:hint="eastAsia"/>
                      <w:color w:val="auto"/>
                      <w:sz w:val="21"/>
                      <w:szCs w:val="21"/>
                    </w:rPr>
                    <w:t>/</w:t>
                  </w:r>
                </w:p>
              </w:tc>
              <w:tc>
                <w:tcPr>
                  <w:tcW w:w="1676" w:type="dxa"/>
                  <w:vAlign w:val="center"/>
                </w:tcPr>
                <w:p w14:paraId="02E94C30">
                  <w:pPr>
                    <w:adjustRightInd w:val="0"/>
                    <w:snapToGrid w:val="0"/>
                    <w:spacing w:line="360" w:lineRule="exact"/>
                    <w:jc w:val="center"/>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0.01</w:t>
                  </w:r>
                </w:p>
              </w:tc>
            </w:tr>
          </w:tbl>
          <w:p w14:paraId="00798996">
            <w:pPr>
              <w:adjustRightInd w:val="0"/>
              <w:snapToGrid w:val="0"/>
              <w:spacing w:line="500" w:lineRule="exact"/>
              <w:ind w:firstLine="480" w:firstLineChars="200"/>
              <w:rPr>
                <w:color w:val="auto"/>
              </w:rPr>
            </w:pPr>
            <w:r>
              <w:rPr>
                <w:rFonts w:hint="eastAsia"/>
                <w:color w:val="auto"/>
              </w:rPr>
              <w:t>综上</w:t>
            </w:r>
            <w:r>
              <w:rPr>
                <w:color w:val="auto"/>
              </w:rPr>
              <w:t>，</w:t>
            </w:r>
            <w:r>
              <w:rPr>
                <w:rFonts w:hint="eastAsia"/>
                <w:color w:val="auto"/>
              </w:rPr>
              <w:t>本项目</w:t>
            </w:r>
            <w:r>
              <w:rPr>
                <w:color w:val="auto"/>
              </w:rPr>
              <w:t>Q=0.</w:t>
            </w:r>
            <w:r>
              <w:rPr>
                <w:rFonts w:hint="eastAsia"/>
                <w:color w:val="auto"/>
              </w:rPr>
              <w:t>0</w:t>
            </w:r>
            <w:r>
              <w:rPr>
                <w:rFonts w:hint="eastAsia"/>
                <w:color w:val="auto"/>
                <w:lang w:val="en-US" w:eastAsia="zh-CN"/>
              </w:rPr>
              <w:t>1</w:t>
            </w:r>
            <w:r>
              <w:rPr>
                <w:color w:val="auto"/>
              </w:rPr>
              <w:t>＜1</w:t>
            </w:r>
            <w:r>
              <w:rPr>
                <w:rFonts w:hint="eastAsia"/>
                <w:color w:val="auto"/>
              </w:rPr>
              <w:t>，环</w:t>
            </w:r>
            <w:r>
              <w:rPr>
                <w:color w:val="auto"/>
              </w:rPr>
              <w:t>境风险潜势为</w:t>
            </w:r>
            <w:r>
              <w:rPr>
                <w:color w:val="auto"/>
              </w:rPr>
              <w:fldChar w:fldCharType="begin"/>
            </w:r>
            <w:r>
              <w:rPr>
                <w:color w:val="auto"/>
              </w:rPr>
              <w:instrText xml:space="preserve"> = 1 \* ROMAN </w:instrText>
            </w:r>
            <w:r>
              <w:rPr>
                <w:color w:val="auto"/>
              </w:rPr>
              <w:fldChar w:fldCharType="separate"/>
            </w:r>
            <w:r>
              <w:rPr>
                <w:color w:val="auto"/>
              </w:rPr>
              <w:t>I</w:t>
            </w:r>
            <w:r>
              <w:rPr>
                <w:color w:val="auto"/>
              </w:rPr>
              <w:fldChar w:fldCharType="end"/>
            </w:r>
            <w:r>
              <w:rPr>
                <w:color w:val="auto"/>
              </w:rPr>
              <w:t>，仅进行简单分析。</w:t>
            </w:r>
          </w:p>
          <w:p w14:paraId="0BDB60E3">
            <w:pPr>
              <w:adjustRightInd w:val="0"/>
              <w:snapToGrid w:val="0"/>
              <w:spacing w:line="500" w:lineRule="exact"/>
              <w:ind w:firstLine="480" w:firstLineChars="200"/>
              <w:rPr>
                <w:color w:val="auto"/>
              </w:rPr>
            </w:pPr>
            <w:r>
              <w:rPr>
                <w:color w:val="auto"/>
              </w:rPr>
              <w:t>（2）风险源分布情况及可能影响途径</w:t>
            </w:r>
          </w:p>
          <w:p w14:paraId="30943248">
            <w:pPr>
              <w:adjustRightInd w:val="0"/>
              <w:snapToGrid w:val="0"/>
              <w:spacing w:line="500" w:lineRule="exact"/>
              <w:ind w:firstLine="480" w:firstLineChars="200"/>
              <w:rPr>
                <w:color w:val="auto"/>
              </w:rPr>
            </w:pPr>
            <w:r>
              <w:rPr>
                <w:color w:val="auto"/>
              </w:rPr>
              <w:t>本项目</w:t>
            </w:r>
            <w:r>
              <w:rPr>
                <w:rFonts w:hint="eastAsia"/>
                <w:color w:val="auto"/>
              </w:rPr>
              <w:t>风险源主要为</w:t>
            </w:r>
            <w:r>
              <w:rPr>
                <w:color w:val="auto"/>
              </w:rPr>
              <w:t>危废贮存库废矿物油</w:t>
            </w:r>
            <w:r>
              <w:rPr>
                <w:rFonts w:hint="eastAsia"/>
                <w:color w:val="auto"/>
              </w:rPr>
              <w:t>泄漏</w:t>
            </w:r>
            <w:r>
              <w:rPr>
                <w:color w:val="auto"/>
              </w:rPr>
              <w:t>及遇明火引发火灾、爆炸伴生/次生污染物排放</w:t>
            </w:r>
            <w:r>
              <w:rPr>
                <w:rFonts w:hint="eastAsia"/>
                <w:color w:val="auto"/>
              </w:rPr>
              <w:t>，废铅酸蓄电池中铅下渗对地下水的风险，盐酸泄漏对</w:t>
            </w:r>
            <w:r>
              <w:rPr>
                <w:rFonts w:hint="eastAsia"/>
                <w:color w:val="auto"/>
                <w:lang w:val="en-US" w:eastAsia="zh-CN"/>
              </w:rPr>
              <w:t>大气、</w:t>
            </w:r>
            <w:r>
              <w:rPr>
                <w:rFonts w:hint="eastAsia"/>
                <w:color w:val="auto"/>
              </w:rPr>
              <w:t>地表水</w:t>
            </w:r>
            <w:r>
              <w:rPr>
                <w:rFonts w:hint="eastAsia"/>
                <w:color w:val="auto"/>
                <w:lang w:eastAsia="zh-CN"/>
              </w:rPr>
              <w:t>、</w:t>
            </w:r>
            <w:r>
              <w:rPr>
                <w:rFonts w:hint="eastAsia"/>
                <w:color w:val="auto"/>
                <w:lang w:val="en-US" w:eastAsia="zh-CN"/>
              </w:rPr>
              <w:t>土壤及地下水</w:t>
            </w:r>
            <w:r>
              <w:rPr>
                <w:rFonts w:hint="eastAsia"/>
                <w:color w:val="auto"/>
              </w:rPr>
              <w:t>的风险</w:t>
            </w:r>
            <w:r>
              <w:rPr>
                <w:color w:val="auto"/>
              </w:rPr>
              <w:t>。</w:t>
            </w:r>
          </w:p>
          <w:p w14:paraId="2055D5A2">
            <w:pPr>
              <w:adjustRightInd w:val="0"/>
              <w:snapToGrid w:val="0"/>
              <w:spacing w:line="500" w:lineRule="exact"/>
              <w:ind w:firstLine="480" w:firstLineChars="200"/>
              <w:rPr>
                <w:color w:val="auto"/>
              </w:rPr>
            </w:pPr>
            <w:r>
              <w:rPr>
                <w:color w:val="auto"/>
              </w:rPr>
              <w:t>（3）环境风险防范措施</w:t>
            </w:r>
          </w:p>
          <w:p w14:paraId="3AE1ECD4">
            <w:pPr>
              <w:adjustRightInd w:val="0"/>
              <w:snapToGrid w:val="0"/>
              <w:spacing w:line="500" w:lineRule="exact"/>
              <w:ind w:firstLine="480" w:firstLineChars="200"/>
              <w:rPr>
                <w:color w:val="auto"/>
              </w:rPr>
            </w:pPr>
            <w:r>
              <w:rPr>
                <w:color w:val="auto"/>
              </w:rPr>
              <w:t>①加强安全管理，提高员工的安全管理操作意识；</w:t>
            </w:r>
          </w:p>
          <w:p w14:paraId="7995A227">
            <w:pPr>
              <w:adjustRightInd w:val="0"/>
              <w:snapToGrid w:val="0"/>
              <w:spacing w:line="500" w:lineRule="exact"/>
              <w:ind w:firstLine="480" w:firstLineChars="200"/>
              <w:rPr>
                <w:color w:val="auto"/>
              </w:rPr>
            </w:pPr>
            <w:r>
              <w:rPr>
                <w:color w:val="auto"/>
              </w:rPr>
              <w:t>②严格按照《危险废物贮存污染控制标准》要求建设危废贮存</w:t>
            </w:r>
            <w:r>
              <w:rPr>
                <w:rFonts w:hint="eastAsia"/>
                <w:color w:val="auto"/>
              </w:rPr>
              <w:t>库</w:t>
            </w:r>
            <w:r>
              <w:rPr>
                <w:color w:val="auto"/>
              </w:rPr>
              <w:t>，</w:t>
            </w:r>
            <w:r>
              <w:rPr>
                <w:color w:val="auto"/>
                <w:szCs w:val="21"/>
              </w:rPr>
              <w:t>库内设</w:t>
            </w:r>
            <w:r>
              <w:rPr>
                <w:rFonts w:hint="eastAsia"/>
                <w:color w:val="auto"/>
                <w:szCs w:val="21"/>
              </w:rPr>
              <w:t>2</w:t>
            </w:r>
            <w:r>
              <w:rPr>
                <w:color w:val="auto"/>
                <w:szCs w:val="21"/>
              </w:rPr>
              <w:t>0cm高墙裙作为围堰，</w:t>
            </w:r>
            <w:r>
              <w:rPr>
                <w:color w:val="auto"/>
              </w:rPr>
              <w:t>库内</w:t>
            </w:r>
            <w:r>
              <w:rPr>
                <w:rFonts w:hint="eastAsia"/>
                <w:color w:val="auto"/>
              </w:rPr>
              <w:t>废矿物油区</w:t>
            </w:r>
            <w:r>
              <w:rPr>
                <w:color w:val="auto"/>
              </w:rPr>
              <w:t>设置导流槽和集液池，导流槽沿内墙墙壁布置，</w:t>
            </w:r>
            <w:r>
              <w:rPr>
                <w:rFonts w:hint="eastAsia"/>
                <w:color w:val="auto"/>
              </w:rPr>
              <w:t>导流槽长32m、</w:t>
            </w:r>
            <w:r>
              <w:rPr>
                <w:color w:val="auto"/>
              </w:rPr>
              <w:t>宽0.3m、深0.1m</w:t>
            </w:r>
            <w:r>
              <w:rPr>
                <w:rFonts w:hint="eastAsia"/>
                <w:color w:val="auto"/>
              </w:rPr>
              <w:t>，</w:t>
            </w:r>
            <w:r>
              <w:rPr>
                <w:color w:val="auto"/>
              </w:rPr>
              <w:t>集液池容积为</w:t>
            </w:r>
            <w:r>
              <w:rPr>
                <w:rFonts w:hint="eastAsia"/>
                <w:color w:val="auto"/>
              </w:rPr>
              <w:t>5</w:t>
            </w:r>
            <w:r>
              <w:rPr>
                <w:color w:val="auto"/>
              </w:rPr>
              <w:t>m</w:t>
            </w:r>
            <w:r>
              <w:rPr>
                <w:color w:val="auto"/>
                <w:vertAlign w:val="superscript"/>
              </w:rPr>
              <w:t>3</w:t>
            </w:r>
            <w:r>
              <w:rPr>
                <w:color w:val="auto"/>
              </w:rPr>
              <w:t>，与集液池连通</w:t>
            </w:r>
            <w:r>
              <w:rPr>
                <w:rFonts w:hint="eastAsia"/>
                <w:color w:val="auto"/>
              </w:rPr>
              <w:t>，</w:t>
            </w:r>
            <w:r>
              <w:rPr>
                <w:color w:val="auto"/>
              </w:rPr>
              <w:t>收集事故情况下泄漏的</w:t>
            </w:r>
            <w:r>
              <w:rPr>
                <w:rFonts w:hint="eastAsia"/>
                <w:color w:val="auto"/>
              </w:rPr>
              <w:t>废油</w:t>
            </w:r>
            <w:r>
              <w:rPr>
                <w:color w:val="auto"/>
              </w:rPr>
              <w:t>；</w:t>
            </w:r>
          </w:p>
          <w:p w14:paraId="28AC3AC2">
            <w:pPr>
              <w:adjustRightInd w:val="0"/>
              <w:snapToGrid w:val="0"/>
              <w:spacing w:line="500" w:lineRule="exact"/>
              <w:ind w:firstLine="480" w:firstLineChars="200"/>
              <w:rPr>
                <w:color w:val="auto"/>
              </w:rPr>
            </w:pPr>
            <w:r>
              <w:rPr>
                <w:color w:val="auto"/>
              </w:rPr>
              <w:t>③盛装危险废物的容器材质和衬里要与危险废物相容（不相互反应）；容器外应贴上危险废物标签等警示标志，并对包装容器进行定期检查；</w:t>
            </w:r>
          </w:p>
          <w:p w14:paraId="5B144D72">
            <w:pPr>
              <w:adjustRightInd w:val="0"/>
              <w:snapToGrid w:val="0"/>
              <w:spacing w:line="500" w:lineRule="exact"/>
              <w:ind w:firstLine="480" w:firstLineChars="200"/>
              <w:rPr>
                <w:color w:val="auto"/>
              </w:rPr>
            </w:pPr>
            <w:r>
              <w:rPr>
                <w:rFonts w:hint="eastAsia"/>
                <w:color w:val="auto"/>
              </w:rPr>
              <w:t>④盐酸储存于HDPE桶内</w:t>
            </w:r>
            <w:r>
              <w:rPr>
                <w:rFonts w:hint="eastAsia"/>
                <w:color w:val="auto"/>
                <w:lang w:eastAsia="zh-CN"/>
              </w:rPr>
              <w:t>，</w:t>
            </w:r>
            <w:r>
              <w:rPr>
                <w:rFonts w:hint="eastAsia"/>
                <w:color w:val="auto"/>
                <w:lang w:val="en-US" w:eastAsia="zh-CN"/>
              </w:rPr>
              <w:t>并对储存地面座耐酸碱防渗处理，设置15cm高围堰+30L集液池，用于收集泄漏的盐酸</w:t>
            </w:r>
            <w:r>
              <w:rPr>
                <w:rFonts w:hint="eastAsia"/>
                <w:color w:val="auto"/>
              </w:rPr>
              <w:t>。</w:t>
            </w:r>
          </w:p>
          <w:p w14:paraId="590259C6">
            <w:pPr>
              <w:adjustRightInd w:val="0"/>
              <w:snapToGrid w:val="0"/>
              <w:spacing w:line="500" w:lineRule="exact"/>
              <w:ind w:firstLine="480" w:firstLineChars="200"/>
              <w:rPr>
                <w:color w:val="auto"/>
              </w:rPr>
            </w:pPr>
            <w:r>
              <w:rPr>
                <w:rFonts w:hint="eastAsia"/>
                <w:color w:val="auto"/>
              </w:rPr>
              <w:t>⑤设置1座400m</w:t>
            </w:r>
            <w:r>
              <w:rPr>
                <w:rFonts w:hint="eastAsia"/>
                <w:color w:val="auto"/>
                <w:vertAlign w:val="superscript"/>
              </w:rPr>
              <w:t>3</w:t>
            </w:r>
            <w:r>
              <w:rPr>
                <w:rFonts w:hint="eastAsia"/>
                <w:color w:val="auto"/>
              </w:rPr>
              <w:t>事故水池，用于事故情况下废水收集。</w:t>
            </w:r>
          </w:p>
          <w:p w14:paraId="4D759749">
            <w:pPr>
              <w:adjustRightInd w:val="0"/>
              <w:snapToGrid w:val="0"/>
              <w:spacing w:line="500" w:lineRule="exact"/>
              <w:ind w:firstLine="480" w:firstLineChars="200"/>
              <w:rPr>
                <w:color w:val="auto"/>
              </w:rPr>
            </w:pPr>
            <w:r>
              <w:rPr>
                <w:color w:val="auto"/>
              </w:rPr>
              <w:t>在落实有效的环境风险措施后，本次评价认为项目环境风险可降至可防控水平</w:t>
            </w:r>
            <w:r>
              <w:rPr>
                <w:rFonts w:hint="eastAsia"/>
                <w:color w:val="auto"/>
              </w:rPr>
              <w:t>。</w:t>
            </w:r>
          </w:p>
          <w:p w14:paraId="71107D8C">
            <w:pPr>
              <w:spacing w:line="500" w:lineRule="exact"/>
              <w:jc w:val="center"/>
              <w:rPr>
                <w:b/>
                <w:bCs/>
                <w:color w:val="auto"/>
                <w:kern w:val="0"/>
              </w:rPr>
            </w:pPr>
            <w:r>
              <w:rPr>
                <w:rFonts w:hint="eastAsia"/>
                <w:b/>
                <w:bCs/>
                <w:color w:val="auto"/>
                <w:kern w:val="0"/>
              </w:rPr>
              <w:t>表4-1</w:t>
            </w:r>
            <w:r>
              <w:rPr>
                <w:rFonts w:hint="eastAsia"/>
                <w:b/>
                <w:bCs/>
                <w:color w:val="auto"/>
                <w:kern w:val="0"/>
                <w:lang w:val="en-US" w:eastAsia="zh-CN"/>
              </w:rPr>
              <w:t>5</w:t>
            </w:r>
            <w:r>
              <w:rPr>
                <w:b/>
                <w:bCs/>
                <w:color w:val="auto"/>
                <w:kern w:val="0"/>
              </w:rPr>
              <w:t xml:space="preserve">  </w:t>
            </w:r>
            <w:r>
              <w:rPr>
                <w:rFonts w:hint="eastAsia"/>
                <w:b/>
                <w:bCs/>
                <w:color w:val="auto"/>
                <w:kern w:val="0"/>
              </w:rPr>
              <w:t>建设项目环境风险简单分析内容表</w:t>
            </w:r>
          </w:p>
          <w:tbl>
            <w:tblPr>
              <w:tblStyle w:val="25"/>
              <w:tblW w:w="844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53"/>
              <w:gridCol w:w="1405"/>
              <w:gridCol w:w="1335"/>
              <w:gridCol w:w="435"/>
              <w:gridCol w:w="1050"/>
              <w:gridCol w:w="975"/>
              <w:gridCol w:w="1696"/>
            </w:tblGrid>
            <w:tr w14:paraId="682B6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553" w:type="dxa"/>
                  <w:vAlign w:val="center"/>
                </w:tcPr>
                <w:p w14:paraId="5F0A4EDD">
                  <w:pPr>
                    <w:spacing w:line="300" w:lineRule="exact"/>
                    <w:jc w:val="center"/>
                    <w:rPr>
                      <w:color w:val="auto"/>
                      <w:kern w:val="0"/>
                      <w:sz w:val="21"/>
                      <w:szCs w:val="21"/>
                    </w:rPr>
                  </w:pPr>
                  <w:r>
                    <w:rPr>
                      <w:rFonts w:hint="eastAsia"/>
                      <w:color w:val="auto"/>
                      <w:kern w:val="0"/>
                      <w:sz w:val="21"/>
                      <w:szCs w:val="21"/>
                    </w:rPr>
                    <w:t>建设项目名称</w:t>
                  </w:r>
                </w:p>
              </w:tc>
              <w:tc>
                <w:tcPr>
                  <w:tcW w:w="6896" w:type="dxa"/>
                  <w:gridSpan w:val="6"/>
                  <w:vAlign w:val="center"/>
                </w:tcPr>
                <w:p w14:paraId="35FA5CFC">
                  <w:pPr>
                    <w:spacing w:line="300" w:lineRule="exact"/>
                    <w:jc w:val="center"/>
                    <w:rPr>
                      <w:color w:val="auto"/>
                      <w:kern w:val="0"/>
                      <w:sz w:val="21"/>
                      <w:szCs w:val="21"/>
                    </w:rPr>
                  </w:pPr>
                  <w:r>
                    <w:rPr>
                      <w:rFonts w:hint="eastAsia"/>
                      <w:color w:val="auto"/>
                      <w:kern w:val="0"/>
                      <w:sz w:val="21"/>
                      <w:szCs w:val="21"/>
                    </w:rPr>
                    <w:t>内蒙古华泽装备制造有限公司金属再生资源综合利用项目</w:t>
                  </w:r>
                </w:p>
              </w:tc>
            </w:tr>
            <w:tr w14:paraId="08F38F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553" w:type="dxa"/>
                  <w:vAlign w:val="center"/>
                </w:tcPr>
                <w:p w14:paraId="709E7553">
                  <w:pPr>
                    <w:spacing w:line="300" w:lineRule="exact"/>
                    <w:jc w:val="center"/>
                    <w:rPr>
                      <w:color w:val="auto"/>
                      <w:kern w:val="0"/>
                      <w:sz w:val="21"/>
                      <w:szCs w:val="21"/>
                    </w:rPr>
                  </w:pPr>
                  <w:r>
                    <w:rPr>
                      <w:rFonts w:hint="eastAsia"/>
                      <w:color w:val="auto"/>
                      <w:kern w:val="0"/>
                      <w:sz w:val="21"/>
                      <w:szCs w:val="21"/>
                    </w:rPr>
                    <w:t>建设地点</w:t>
                  </w:r>
                </w:p>
              </w:tc>
              <w:tc>
                <w:tcPr>
                  <w:tcW w:w="1405" w:type="dxa"/>
                  <w:vAlign w:val="center"/>
                </w:tcPr>
                <w:p w14:paraId="71916553">
                  <w:pPr>
                    <w:spacing w:line="300" w:lineRule="exact"/>
                    <w:jc w:val="center"/>
                    <w:rPr>
                      <w:color w:val="auto"/>
                      <w:kern w:val="0"/>
                      <w:sz w:val="21"/>
                      <w:szCs w:val="21"/>
                    </w:rPr>
                  </w:pPr>
                  <w:r>
                    <w:rPr>
                      <w:rFonts w:hint="eastAsia"/>
                      <w:color w:val="auto"/>
                      <w:kern w:val="0"/>
                      <w:sz w:val="21"/>
                      <w:szCs w:val="21"/>
                    </w:rPr>
                    <w:t>（内蒙古）</w:t>
                  </w:r>
                </w:p>
                <w:p w14:paraId="37678644">
                  <w:pPr>
                    <w:spacing w:line="300" w:lineRule="exact"/>
                    <w:jc w:val="center"/>
                    <w:rPr>
                      <w:color w:val="auto"/>
                      <w:kern w:val="0"/>
                      <w:sz w:val="21"/>
                      <w:szCs w:val="21"/>
                    </w:rPr>
                  </w:pPr>
                  <w:r>
                    <w:rPr>
                      <w:rFonts w:hint="eastAsia"/>
                      <w:color w:val="auto"/>
                      <w:kern w:val="0"/>
                      <w:sz w:val="21"/>
                      <w:szCs w:val="21"/>
                    </w:rPr>
                    <w:t>自治区</w:t>
                  </w:r>
                </w:p>
              </w:tc>
              <w:tc>
                <w:tcPr>
                  <w:tcW w:w="1335" w:type="dxa"/>
                  <w:vAlign w:val="center"/>
                </w:tcPr>
                <w:p w14:paraId="4A9C4073">
                  <w:pPr>
                    <w:spacing w:line="300" w:lineRule="exact"/>
                    <w:jc w:val="center"/>
                    <w:rPr>
                      <w:color w:val="auto"/>
                      <w:kern w:val="0"/>
                      <w:sz w:val="21"/>
                      <w:szCs w:val="21"/>
                    </w:rPr>
                  </w:pPr>
                  <w:r>
                    <w:rPr>
                      <w:rFonts w:hint="eastAsia"/>
                      <w:color w:val="auto"/>
                      <w:kern w:val="0"/>
                      <w:sz w:val="21"/>
                      <w:szCs w:val="21"/>
                    </w:rPr>
                    <w:t>（鄂尔多斯）市</w:t>
                  </w:r>
                </w:p>
              </w:tc>
              <w:tc>
                <w:tcPr>
                  <w:tcW w:w="1485" w:type="dxa"/>
                  <w:gridSpan w:val="2"/>
                  <w:vAlign w:val="center"/>
                </w:tcPr>
                <w:p w14:paraId="5F3CBDB4">
                  <w:pPr>
                    <w:spacing w:line="300" w:lineRule="exact"/>
                    <w:jc w:val="center"/>
                    <w:rPr>
                      <w:color w:val="auto"/>
                      <w:kern w:val="0"/>
                      <w:sz w:val="21"/>
                      <w:szCs w:val="21"/>
                    </w:rPr>
                  </w:pPr>
                  <w:r>
                    <w:rPr>
                      <w:rFonts w:hint="eastAsia"/>
                      <w:color w:val="auto"/>
                      <w:kern w:val="0"/>
                      <w:sz w:val="21"/>
                      <w:szCs w:val="21"/>
                    </w:rPr>
                    <w:t>（鄂托克旗）区</w:t>
                  </w:r>
                </w:p>
              </w:tc>
              <w:tc>
                <w:tcPr>
                  <w:tcW w:w="975" w:type="dxa"/>
                  <w:vAlign w:val="center"/>
                </w:tcPr>
                <w:p w14:paraId="132B8A02">
                  <w:pPr>
                    <w:spacing w:line="300" w:lineRule="exact"/>
                    <w:jc w:val="center"/>
                    <w:rPr>
                      <w:color w:val="auto"/>
                      <w:kern w:val="0"/>
                      <w:sz w:val="21"/>
                      <w:szCs w:val="21"/>
                    </w:rPr>
                  </w:pPr>
                  <w:r>
                    <w:rPr>
                      <w:rFonts w:hint="eastAsia"/>
                      <w:color w:val="auto"/>
                      <w:kern w:val="0"/>
                      <w:sz w:val="21"/>
                      <w:szCs w:val="21"/>
                    </w:rPr>
                    <w:t>（蒙西）</w:t>
                  </w:r>
                </w:p>
                <w:p w14:paraId="7A212ABC">
                  <w:pPr>
                    <w:spacing w:line="300" w:lineRule="exact"/>
                    <w:jc w:val="center"/>
                    <w:rPr>
                      <w:color w:val="auto"/>
                      <w:kern w:val="0"/>
                      <w:sz w:val="21"/>
                      <w:szCs w:val="21"/>
                    </w:rPr>
                  </w:pPr>
                  <w:r>
                    <w:rPr>
                      <w:rFonts w:hint="eastAsia"/>
                      <w:color w:val="auto"/>
                      <w:kern w:val="0"/>
                      <w:sz w:val="21"/>
                      <w:szCs w:val="21"/>
                    </w:rPr>
                    <w:t>镇</w:t>
                  </w:r>
                </w:p>
              </w:tc>
              <w:tc>
                <w:tcPr>
                  <w:tcW w:w="1696" w:type="dxa"/>
                  <w:vAlign w:val="center"/>
                </w:tcPr>
                <w:p w14:paraId="2CC9A9D8">
                  <w:pPr>
                    <w:spacing w:line="300" w:lineRule="exact"/>
                    <w:jc w:val="center"/>
                    <w:rPr>
                      <w:color w:val="auto"/>
                      <w:kern w:val="0"/>
                      <w:sz w:val="21"/>
                      <w:szCs w:val="21"/>
                    </w:rPr>
                  </w:pPr>
                  <w:r>
                    <w:rPr>
                      <w:rFonts w:hint="eastAsia"/>
                      <w:color w:val="auto"/>
                      <w:kern w:val="0"/>
                      <w:sz w:val="21"/>
                      <w:szCs w:val="21"/>
                    </w:rPr>
                    <w:t>（蒙西高新技术工业）园区</w:t>
                  </w:r>
                </w:p>
              </w:tc>
            </w:tr>
            <w:tr w14:paraId="4EC8D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553" w:type="dxa"/>
                  <w:vAlign w:val="center"/>
                </w:tcPr>
                <w:p w14:paraId="608F076E">
                  <w:pPr>
                    <w:spacing w:line="300" w:lineRule="exact"/>
                    <w:jc w:val="center"/>
                    <w:rPr>
                      <w:color w:val="auto"/>
                      <w:kern w:val="0"/>
                      <w:sz w:val="21"/>
                      <w:szCs w:val="21"/>
                    </w:rPr>
                  </w:pPr>
                  <w:r>
                    <w:rPr>
                      <w:rFonts w:hint="eastAsia"/>
                      <w:color w:val="auto"/>
                      <w:kern w:val="0"/>
                      <w:sz w:val="21"/>
                      <w:szCs w:val="21"/>
                    </w:rPr>
                    <w:t>地理坐标</w:t>
                  </w:r>
                </w:p>
              </w:tc>
              <w:tc>
                <w:tcPr>
                  <w:tcW w:w="1405" w:type="dxa"/>
                  <w:vAlign w:val="center"/>
                </w:tcPr>
                <w:p w14:paraId="558F42C2">
                  <w:pPr>
                    <w:spacing w:line="300" w:lineRule="exact"/>
                    <w:jc w:val="center"/>
                    <w:rPr>
                      <w:color w:val="auto"/>
                      <w:kern w:val="0"/>
                      <w:sz w:val="21"/>
                      <w:szCs w:val="21"/>
                    </w:rPr>
                  </w:pPr>
                  <w:r>
                    <w:rPr>
                      <w:rFonts w:hint="eastAsia"/>
                      <w:color w:val="auto"/>
                      <w:kern w:val="0"/>
                      <w:sz w:val="21"/>
                      <w:szCs w:val="21"/>
                    </w:rPr>
                    <w:t>经度</w:t>
                  </w:r>
                </w:p>
              </w:tc>
              <w:tc>
                <w:tcPr>
                  <w:tcW w:w="1770" w:type="dxa"/>
                  <w:gridSpan w:val="2"/>
                  <w:vAlign w:val="center"/>
                </w:tcPr>
                <w:p w14:paraId="6BCF550A">
                  <w:pPr>
                    <w:spacing w:line="300" w:lineRule="exact"/>
                    <w:jc w:val="center"/>
                    <w:rPr>
                      <w:color w:val="auto"/>
                      <w:kern w:val="0"/>
                      <w:sz w:val="21"/>
                      <w:szCs w:val="21"/>
                    </w:rPr>
                  </w:pPr>
                  <w:r>
                    <w:rPr>
                      <w:color w:val="auto"/>
                      <w:sz w:val="21"/>
                      <w:szCs w:val="21"/>
                    </w:rPr>
                    <w:t>E1</w:t>
                  </w:r>
                  <w:r>
                    <w:rPr>
                      <w:rFonts w:hint="eastAsia"/>
                      <w:color w:val="auto"/>
                      <w:sz w:val="21"/>
                      <w:szCs w:val="21"/>
                    </w:rPr>
                    <w:t>06</w:t>
                  </w:r>
                  <w:r>
                    <w:rPr>
                      <w:color w:val="auto"/>
                      <w:sz w:val="21"/>
                      <w:szCs w:val="21"/>
                    </w:rPr>
                    <w:t>°</w:t>
                  </w:r>
                  <w:r>
                    <w:rPr>
                      <w:rFonts w:hint="eastAsia"/>
                      <w:color w:val="auto"/>
                      <w:sz w:val="21"/>
                      <w:szCs w:val="21"/>
                    </w:rPr>
                    <w:t>45</w:t>
                  </w:r>
                  <w:r>
                    <w:rPr>
                      <w:color w:val="auto"/>
                      <w:sz w:val="21"/>
                      <w:szCs w:val="21"/>
                    </w:rPr>
                    <w:t>′</w:t>
                  </w:r>
                  <w:r>
                    <w:rPr>
                      <w:rFonts w:hint="eastAsia"/>
                      <w:color w:val="auto"/>
                      <w:sz w:val="21"/>
                      <w:szCs w:val="21"/>
                    </w:rPr>
                    <w:t>59.602</w:t>
                  </w:r>
                  <w:r>
                    <w:rPr>
                      <w:color w:val="auto"/>
                      <w:sz w:val="21"/>
                      <w:szCs w:val="21"/>
                    </w:rPr>
                    <w:t>″</w:t>
                  </w:r>
                </w:p>
              </w:tc>
              <w:tc>
                <w:tcPr>
                  <w:tcW w:w="1050" w:type="dxa"/>
                  <w:vAlign w:val="center"/>
                </w:tcPr>
                <w:p w14:paraId="2704B753">
                  <w:pPr>
                    <w:spacing w:line="300" w:lineRule="exact"/>
                    <w:jc w:val="center"/>
                    <w:rPr>
                      <w:color w:val="auto"/>
                      <w:kern w:val="0"/>
                      <w:sz w:val="21"/>
                      <w:szCs w:val="21"/>
                    </w:rPr>
                  </w:pPr>
                  <w:r>
                    <w:rPr>
                      <w:rFonts w:hint="eastAsia"/>
                      <w:color w:val="auto"/>
                      <w:kern w:val="0"/>
                      <w:sz w:val="21"/>
                      <w:szCs w:val="21"/>
                    </w:rPr>
                    <w:t>纬度</w:t>
                  </w:r>
                </w:p>
              </w:tc>
              <w:tc>
                <w:tcPr>
                  <w:tcW w:w="2671" w:type="dxa"/>
                  <w:gridSpan w:val="2"/>
                  <w:vAlign w:val="center"/>
                </w:tcPr>
                <w:p w14:paraId="643A3344">
                  <w:pPr>
                    <w:spacing w:line="300" w:lineRule="exact"/>
                    <w:jc w:val="center"/>
                    <w:rPr>
                      <w:color w:val="auto"/>
                      <w:kern w:val="0"/>
                      <w:sz w:val="21"/>
                      <w:szCs w:val="21"/>
                    </w:rPr>
                  </w:pPr>
                  <w:r>
                    <w:rPr>
                      <w:color w:val="auto"/>
                      <w:sz w:val="21"/>
                      <w:szCs w:val="21"/>
                    </w:rPr>
                    <w:t>N</w:t>
                  </w:r>
                  <w:r>
                    <w:rPr>
                      <w:rFonts w:hint="eastAsia"/>
                      <w:color w:val="auto"/>
                      <w:sz w:val="21"/>
                      <w:szCs w:val="21"/>
                    </w:rPr>
                    <w:t>39</w:t>
                  </w:r>
                  <w:r>
                    <w:rPr>
                      <w:color w:val="auto"/>
                      <w:sz w:val="21"/>
                      <w:szCs w:val="21"/>
                    </w:rPr>
                    <w:t>°</w:t>
                  </w:r>
                  <w:r>
                    <w:rPr>
                      <w:rFonts w:hint="eastAsia"/>
                      <w:color w:val="auto"/>
                      <w:sz w:val="21"/>
                      <w:szCs w:val="21"/>
                    </w:rPr>
                    <w:t>53</w:t>
                  </w:r>
                  <w:r>
                    <w:rPr>
                      <w:color w:val="auto"/>
                      <w:sz w:val="21"/>
                      <w:szCs w:val="21"/>
                    </w:rPr>
                    <w:t>′</w:t>
                  </w:r>
                  <w:r>
                    <w:rPr>
                      <w:rFonts w:hint="eastAsia"/>
                      <w:color w:val="auto"/>
                      <w:sz w:val="21"/>
                      <w:szCs w:val="21"/>
                    </w:rPr>
                    <w:t>0.744</w:t>
                  </w:r>
                  <w:r>
                    <w:rPr>
                      <w:color w:val="auto"/>
                      <w:sz w:val="21"/>
                      <w:szCs w:val="21"/>
                    </w:rPr>
                    <w:t>″</w:t>
                  </w:r>
                </w:p>
              </w:tc>
            </w:tr>
            <w:tr w14:paraId="4EDFE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553" w:type="dxa"/>
                  <w:vAlign w:val="center"/>
                </w:tcPr>
                <w:p w14:paraId="1A826DE2">
                  <w:pPr>
                    <w:spacing w:line="300" w:lineRule="exact"/>
                    <w:jc w:val="center"/>
                    <w:rPr>
                      <w:color w:val="auto"/>
                      <w:kern w:val="0"/>
                      <w:sz w:val="21"/>
                      <w:szCs w:val="21"/>
                    </w:rPr>
                  </w:pPr>
                  <w:r>
                    <w:rPr>
                      <w:rFonts w:hint="eastAsia"/>
                      <w:color w:val="auto"/>
                      <w:kern w:val="0"/>
                      <w:sz w:val="21"/>
                      <w:szCs w:val="21"/>
                    </w:rPr>
                    <w:t>主要危险物质及分布</w:t>
                  </w:r>
                </w:p>
              </w:tc>
              <w:tc>
                <w:tcPr>
                  <w:tcW w:w="6896" w:type="dxa"/>
                  <w:gridSpan w:val="6"/>
                  <w:vAlign w:val="center"/>
                </w:tcPr>
                <w:p w14:paraId="6E5704B3">
                  <w:pPr>
                    <w:spacing w:line="300" w:lineRule="exact"/>
                    <w:jc w:val="center"/>
                    <w:rPr>
                      <w:rFonts w:hint="default" w:eastAsia="宋体"/>
                      <w:color w:val="auto"/>
                      <w:kern w:val="0"/>
                      <w:sz w:val="21"/>
                      <w:szCs w:val="21"/>
                      <w:lang w:val="en-US" w:eastAsia="zh-CN"/>
                    </w:rPr>
                  </w:pPr>
                  <w:r>
                    <w:rPr>
                      <w:rFonts w:hint="eastAsia"/>
                      <w:color w:val="auto"/>
                      <w:kern w:val="0"/>
                      <w:sz w:val="21"/>
                      <w:szCs w:val="21"/>
                    </w:rPr>
                    <w:t>废机油、废制动液、废铅酸蓄电池</w:t>
                  </w:r>
                  <w:r>
                    <w:rPr>
                      <w:rFonts w:hint="eastAsia"/>
                      <w:color w:val="auto"/>
                      <w:kern w:val="0"/>
                      <w:sz w:val="21"/>
                      <w:szCs w:val="21"/>
                      <w:lang w:eastAsia="zh-CN"/>
                    </w:rPr>
                    <w:t>、</w:t>
                  </w:r>
                  <w:r>
                    <w:rPr>
                      <w:rFonts w:hint="eastAsia"/>
                      <w:color w:val="auto"/>
                      <w:kern w:val="0"/>
                      <w:sz w:val="21"/>
                      <w:szCs w:val="21"/>
                      <w:lang w:val="en-US" w:eastAsia="zh-CN"/>
                    </w:rPr>
                    <w:t>盐酸</w:t>
                  </w:r>
                </w:p>
              </w:tc>
            </w:tr>
            <w:tr w14:paraId="4A889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553" w:type="dxa"/>
                  <w:vAlign w:val="center"/>
                </w:tcPr>
                <w:p w14:paraId="40FEA449">
                  <w:pPr>
                    <w:spacing w:line="300" w:lineRule="exact"/>
                    <w:jc w:val="center"/>
                    <w:rPr>
                      <w:color w:val="auto"/>
                      <w:kern w:val="0"/>
                      <w:sz w:val="21"/>
                      <w:szCs w:val="21"/>
                    </w:rPr>
                  </w:pPr>
                  <w:r>
                    <w:rPr>
                      <w:rFonts w:hint="eastAsia"/>
                      <w:color w:val="auto"/>
                      <w:kern w:val="0"/>
                      <w:sz w:val="21"/>
                      <w:szCs w:val="21"/>
                    </w:rPr>
                    <w:t>环境影响途径及危害后果（大气、地表水、地下水等）</w:t>
                  </w:r>
                </w:p>
              </w:tc>
              <w:tc>
                <w:tcPr>
                  <w:tcW w:w="6896" w:type="dxa"/>
                  <w:gridSpan w:val="6"/>
                  <w:vAlign w:val="center"/>
                </w:tcPr>
                <w:p w14:paraId="7F2EA404">
                  <w:pPr>
                    <w:spacing w:line="300" w:lineRule="exact"/>
                    <w:ind w:firstLine="420" w:firstLineChars="200"/>
                    <w:jc w:val="left"/>
                    <w:rPr>
                      <w:color w:val="auto"/>
                      <w:kern w:val="0"/>
                      <w:sz w:val="21"/>
                      <w:szCs w:val="21"/>
                    </w:rPr>
                  </w:pPr>
                  <w:r>
                    <w:rPr>
                      <w:color w:val="auto"/>
                      <w:kern w:val="0"/>
                      <w:sz w:val="21"/>
                      <w:szCs w:val="21"/>
                    </w:rPr>
                    <w:t>本项目涉及的危险物质存放在危废贮存间中，存在危险因素主要为储存设备腐蚀、老化、员工违章操作等引起危险物质事故泄漏及遇明火引发火灾、爆炸伴生/次生污染物排放。</w:t>
                  </w:r>
                </w:p>
              </w:tc>
            </w:tr>
            <w:tr w14:paraId="22CF2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553" w:type="dxa"/>
                  <w:vAlign w:val="center"/>
                </w:tcPr>
                <w:p w14:paraId="2CD14C55">
                  <w:pPr>
                    <w:spacing w:line="300" w:lineRule="exact"/>
                    <w:jc w:val="center"/>
                    <w:rPr>
                      <w:color w:val="auto"/>
                      <w:kern w:val="0"/>
                      <w:sz w:val="21"/>
                      <w:szCs w:val="21"/>
                    </w:rPr>
                  </w:pPr>
                  <w:r>
                    <w:rPr>
                      <w:rFonts w:hint="eastAsia"/>
                      <w:color w:val="auto"/>
                      <w:kern w:val="0"/>
                      <w:sz w:val="21"/>
                      <w:szCs w:val="21"/>
                    </w:rPr>
                    <w:t>风险防范措施要求</w:t>
                  </w:r>
                </w:p>
              </w:tc>
              <w:tc>
                <w:tcPr>
                  <w:tcW w:w="6896" w:type="dxa"/>
                  <w:gridSpan w:val="6"/>
                  <w:vAlign w:val="center"/>
                </w:tcPr>
                <w:p w14:paraId="7D65D8FC">
                  <w:pPr>
                    <w:spacing w:line="300" w:lineRule="exact"/>
                    <w:jc w:val="left"/>
                    <w:rPr>
                      <w:color w:val="auto"/>
                      <w:kern w:val="0"/>
                      <w:sz w:val="21"/>
                      <w:szCs w:val="21"/>
                    </w:rPr>
                  </w:pPr>
                  <w:r>
                    <w:rPr>
                      <w:color w:val="auto"/>
                      <w:kern w:val="0"/>
                      <w:sz w:val="21"/>
                      <w:szCs w:val="21"/>
                    </w:rPr>
                    <w:t>①加强安全管理，提高员工的安全管理操作意识；</w:t>
                  </w:r>
                </w:p>
                <w:p w14:paraId="794C1CC8">
                  <w:pPr>
                    <w:spacing w:line="300" w:lineRule="exact"/>
                    <w:jc w:val="left"/>
                    <w:rPr>
                      <w:color w:val="auto"/>
                      <w:kern w:val="0"/>
                      <w:sz w:val="21"/>
                      <w:szCs w:val="21"/>
                    </w:rPr>
                  </w:pPr>
                  <w:r>
                    <w:rPr>
                      <w:color w:val="auto"/>
                      <w:kern w:val="0"/>
                      <w:sz w:val="21"/>
                      <w:szCs w:val="21"/>
                    </w:rPr>
                    <w:t>②严格按照《危险废物贮存污染控制标准》要求建设危废贮存</w:t>
                  </w:r>
                  <w:r>
                    <w:rPr>
                      <w:rFonts w:hint="eastAsia"/>
                      <w:color w:val="auto"/>
                      <w:kern w:val="0"/>
                      <w:sz w:val="21"/>
                      <w:szCs w:val="21"/>
                    </w:rPr>
                    <w:t>库</w:t>
                  </w:r>
                  <w:r>
                    <w:rPr>
                      <w:color w:val="auto"/>
                      <w:kern w:val="0"/>
                      <w:sz w:val="21"/>
                      <w:szCs w:val="21"/>
                    </w:rPr>
                    <w:t>，库内设</w:t>
                  </w:r>
                  <w:r>
                    <w:rPr>
                      <w:rFonts w:hint="eastAsia"/>
                      <w:color w:val="auto"/>
                      <w:kern w:val="0"/>
                      <w:sz w:val="21"/>
                      <w:szCs w:val="21"/>
                    </w:rPr>
                    <w:t>2</w:t>
                  </w:r>
                  <w:r>
                    <w:rPr>
                      <w:color w:val="auto"/>
                      <w:kern w:val="0"/>
                      <w:sz w:val="21"/>
                      <w:szCs w:val="21"/>
                    </w:rPr>
                    <w:t>0cm高墙裙作为围堰，库内</w:t>
                  </w:r>
                  <w:r>
                    <w:rPr>
                      <w:rFonts w:hint="eastAsia"/>
                      <w:color w:val="auto"/>
                      <w:kern w:val="0"/>
                      <w:sz w:val="21"/>
                      <w:szCs w:val="21"/>
                    </w:rPr>
                    <w:t>废矿物油区</w:t>
                  </w:r>
                  <w:r>
                    <w:rPr>
                      <w:color w:val="auto"/>
                      <w:kern w:val="0"/>
                      <w:sz w:val="21"/>
                      <w:szCs w:val="21"/>
                    </w:rPr>
                    <w:t>设置导流槽和集液池，导流槽沿内墙墙壁布置，</w:t>
                  </w:r>
                  <w:r>
                    <w:rPr>
                      <w:rFonts w:hint="eastAsia"/>
                      <w:color w:val="auto"/>
                      <w:kern w:val="0"/>
                      <w:sz w:val="21"/>
                      <w:szCs w:val="21"/>
                    </w:rPr>
                    <w:t>导流槽长32m、</w:t>
                  </w:r>
                  <w:r>
                    <w:rPr>
                      <w:color w:val="auto"/>
                      <w:kern w:val="0"/>
                      <w:sz w:val="21"/>
                      <w:szCs w:val="21"/>
                    </w:rPr>
                    <w:t>宽0.3m、深0.1m</w:t>
                  </w:r>
                  <w:r>
                    <w:rPr>
                      <w:rFonts w:hint="eastAsia"/>
                      <w:color w:val="auto"/>
                      <w:kern w:val="0"/>
                      <w:sz w:val="21"/>
                      <w:szCs w:val="21"/>
                    </w:rPr>
                    <w:t>，</w:t>
                  </w:r>
                  <w:r>
                    <w:rPr>
                      <w:color w:val="auto"/>
                      <w:kern w:val="0"/>
                      <w:sz w:val="21"/>
                      <w:szCs w:val="21"/>
                    </w:rPr>
                    <w:t>集液池容积为</w:t>
                  </w:r>
                  <w:r>
                    <w:rPr>
                      <w:rFonts w:hint="eastAsia"/>
                      <w:color w:val="auto"/>
                      <w:kern w:val="0"/>
                      <w:sz w:val="21"/>
                      <w:szCs w:val="21"/>
                      <w:lang w:val="en-US" w:eastAsia="zh-CN"/>
                    </w:rPr>
                    <w:t>5</w:t>
                  </w:r>
                  <w:r>
                    <w:rPr>
                      <w:color w:val="auto"/>
                      <w:kern w:val="0"/>
                      <w:sz w:val="21"/>
                      <w:szCs w:val="21"/>
                    </w:rPr>
                    <w:t>m</w:t>
                  </w:r>
                  <w:r>
                    <w:rPr>
                      <w:color w:val="auto"/>
                      <w:kern w:val="0"/>
                      <w:sz w:val="21"/>
                      <w:szCs w:val="21"/>
                      <w:vertAlign w:val="superscript"/>
                    </w:rPr>
                    <w:t>3</w:t>
                  </w:r>
                  <w:r>
                    <w:rPr>
                      <w:color w:val="auto"/>
                      <w:kern w:val="0"/>
                      <w:sz w:val="21"/>
                      <w:szCs w:val="21"/>
                    </w:rPr>
                    <w:t>，与集液池连通</w:t>
                  </w:r>
                  <w:r>
                    <w:rPr>
                      <w:rFonts w:hint="eastAsia"/>
                      <w:color w:val="auto"/>
                      <w:kern w:val="0"/>
                      <w:sz w:val="21"/>
                      <w:szCs w:val="21"/>
                    </w:rPr>
                    <w:t>，</w:t>
                  </w:r>
                  <w:r>
                    <w:rPr>
                      <w:color w:val="auto"/>
                      <w:kern w:val="0"/>
                      <w:sz w:val="21"/>
                      <w:szCs w:val="21"/>
                    </w:rPr>
                    <w:t>收集事故情况下泄漏的</w:t>
                  </w:r>
                  <w:r>
                    <w:rPr>
                      <w:rFonts w:hint="eastAsia"/>
                      <w:color w:val="auto"/>
                      <w:kern w:val="0"/>
                      <w:sz w:val="21"/>
                      <w:szCs w:val="21"/>
                    </w:rPr>
                    <w:t>废油</w:t>
                  </w:r>
                  <w:r>
                    <w:rPr>
                      <w:color w:val="auto"/>
                      <w:kern w:val="0"/>
                      <w:sz w:val="21"/>
                      <w:szCs w:val="21"/>
                    </w:rPr>
                    <w:t>；</w:t>
                  </w:r>
                </w:p>
                <w:p w14:paraId="0FEB4960">
                  <w:pPr>
                    <w:spacing w:line="300" w:lineRule="exact"/>
                    <w:jc w:val="left"/>
                    <w:rPr>
                      <w:color w:val="auto"/>
                      <w:kern w:val="0"/>
                      <w:sz w:val="21"/>
                      <w:szCs w:val="21"/>
                    </w:rPr>
                  </w:pPr>
                  <w:r>
                    <w:rPr>
                      <w:color w:val="auto"/>
                      <w:kern w:val="0"/>
                      <w:sz w:val="21"/>
                      <w:szCs w:val="21"/>
                    </w:rPr>
                    <w:t>③盛装危险废物的容器材质和衬里要与危险废物相容（不相互反应）；容器外应贴上危险废物标签等警示标志，并对包装容器进行定期检查；</w:t>
                  </w:r>
                </w:p>
                <w:p w14:paraId="59A2C417">
                  <w:pPr>
                    <w:spacing w:line="300" w:lineRule="exact"/>
                    <w:jc w:val="left"/>
                    <w:rPr>
                      <w:color w:val="auto"/>
                      <w:kern w:val="0"/>
                      <w:sz w:val="21"/>
                      <w:szCs w:val="21"/>
                    </w:rPr>
                  </w:pPr>
                  <w:r>
                    <w:rPr>
                      <w:rFonts w:hint="eastAsia"/>
                      <w:color w:val="auto"/>
                      <w:kern w:val="0"/>
                      <w:sz w:val="21"/>
                      <w:szCs w:val="21"/>
                    </w:rPr>
                    <w:t>④盐酸储存于HDPE桶内</w:t>
                  </w:r>
                  <w:r>
                    <w:rPr>
                      <w:rFonts w:hint="eastAsia"/>
                      <w:color w:val="auto"/>
                      <w:kern w:val="0"/>
                      <w:sz w:val="21"/>
                      <w:szCs w:val="21"/>
                      <w:lang w:eastAsia="zh-CN"/>
                    </w:rPr>
                    <w:t>，</w:t>
                  </w:r>
                  <w:r>
                    <w:rPr>
                      <w:rFonts w:hint="eastAsia"/>
                      <w:color w:val="auto"/>
                      <w:kern w:val="0"/>
                      <w:sz w:val="21"/>
                      <w:szCs w:val="21"/>
                      <w:lang w:val="en-US" w:eastAsia="zh-CN"/>
                    </w:rPr>
                    <w:t>并对储存地面座耐酸碱防渗处理，设置15cm高围堰+30L集液池，用于收集泄漏的盐酸</w:t>
                  </w:r>
                  <w:r>
                    <w:rPr>
                      <w:rFonts w:hint="eastAsia"/>
                      <w:color w:val="auto"/>
                      <w:kern w:val="0"/>
                      <w:sz w:val="21"/>
                      <w:szCs w:val="21"/>
                    </w:rPr>
                    <w:t>。</w:t>
                  </w:r>
                </w:p>
                <w:p w14:paraId="0BC0EED8">
                  <w:pPr>
                    <w:spacing w:line="300" w:lineRule="exact"/>
                    <w:jc w:val="left"/>
                    <w:rPr>
                      <w:color w:val="auto"/>
                      <w:kern w:val="0"/>
                      <w:sz w:val="21"/>
                      <w:szCs w:val="21"/>
                    </w:rPr>
                  </w:pPr>
                  <w:r>
                    <w:rPr>
                      <w:rFonts w:hint="eastAsia"/>
                      <w:color w:val="auto"/>
                      <w:kern w:val="0"/>
                      <w:sz w:val="21"/>
                      <w:szCs w:val="21"/>
                    </w:rPr>
                    <w:t>⑤设置1座400m</w:t>
                  </w:r>
                  <w:r>
                    <w:rPr>
                      <w:rFonts w:hint="eastAsia"/>
                      <w:color w:val="auto"/>
                      <w:kern w:val="0"/>
                      <w:sz w:val="21"/>
                      <w:szCs w:val="21"/>
                      <w:vertAlign w:val="superscript"/>
                    </w:rPr>
                    <w:t>3</w:t>
                  </w:r>
                  <w:r>
                    <w:rPr>
                      <w:rFonts w:hint="eastAsia"/>
                      <w:color w:val="auto"/>
                      <w:kern w:val="0"/>
                      <w:sz w:val="21"/>
                      <w:szCs w:val="21"/>
                    </w:rPr>
                    <w:t>事故水池，用于事故情况下废水收集。</w:t>
                  </w:r>
                </w:p>
              </w:tc>
            </w:tr>
            <w:tr w14:paraId="21CFA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8449" w:type="dxa"/>
                  <w:gridSpan w:val="7"/>
                  <w:vAlign w:val="center"/>
                </w:tcPr>
                <w:p w14:paraId="59266594">
                  <w:pPr>
                    <w:spacing w:line="300" w:lineRule="exact"/>
                    <w:jc w:val="left"/>
                    <w:rPr>
                      <w:color w:val="auto"/>
                      <w:kern w:val="0"/>
                      <w:sz w:val="21"/>
                      <w:szCs w:val="21"/>
                    </w:rPr>
                  </w:pPr>
                  <w:r>
                    <w:rPr>
                      <w:rFonts w:hint="eastAsia"/>
                      <w:color w:val="auto"/>
                      <w:kern w:val="0"/>
                      <w:sz w:val="21"/>
                      <w:szCs w:val="21"/>
                    </w:rPr>
                    <w:t>调表说明（列出项目相关信息及评价说明）：</w:t>
                  </w:r>
                </w:p>
                <w:p w14:paraId="6CAFA7DB">
                  <w:pPr>
                    <w:spacing w:line="300" w:lineRule="exact"/>
                    <w:jc w:val="left"/>
                    <w:rPr>
                      <w:color w:val="auto"/>
                      <w:kern w:val="0"/>
                      <w:sz w:val="21"/>
                      <w:szCs w:val="21"/>
                    </w:rPr>
                  </w:pPr>
                  <w:r>
                    <w:rPr>
                      <w:rFonts w:hint="eastAsia"/>
                      <w:color w:val="auto"/>
                      <w:kern w:val="0"/>
                      <w:sz w:val="21"/>
                      <w:szCs w:val="21"/>
                    </w:rPr>
                    <w:t>本项目在采取环评提出的各项预防措施、环境应急措施后，环境风险对周围环境的影响较小。</w:t>
                  </w:r>
                </w:p>
              </w:tc>
            </w:tr>
          </w:tbl>
          <w:p w14:paraId="73618E9C">
            <w:pPr>
              <w:tabs>
                <w:tab w:val="left" w:pos="0"/>
              </w:tabs>
              <w:spacing w:line="500" w:lineRule="exact"/>
              <w:ind w:firstLine="482" w:firstLineChars="200"/>
              <w:outlineLvl w:val="0"/>
              <w:rPr>
                <w:b/>
                <w:bCs/>
                <w:color w:val="auto"/>
              </w:rPr>
            </w:pPr>
            <w:r>
              <w:rPr>
                <w:rFonts w:hint="eastAsia"/>
                <w:b/>
                <w:bCs/>
                <w:color w:val="auto"/>
              </w:rPr>
              <w:t>7</w:t>
            </w:r>
            <w:r>
              <w:rPr>
                <w:b/>
                <w:bCs/>
                <w:color w:val="auto"/>
              </w:rPr>
              <w:t>、</w:t>
            </w:r>
            <w:r>
              <w:rPr>
                <w:rFonts w:hint="eastAsia"/>
                <w:b/>
                <w:bCs/>
                <w:color w:val="auto"/>
              </w:rPr>
              <w:t>环保投资情况</w:t>
            </w:r>
          </w:p>
          <w:p w14:paraId="4D903EC9">
            <w:pPr>
              <w:pStyle w:val="10"/>
              <w:snapToGrid/>
              <w:spacing w:before="0" w:after="0" w:line="500" w:lineRule="exact"/>
              <w:ind w:right="0" w:firstLine="480" w:firstLineChars="200"/>
              <w:rPr>
                <w:color w:val="auto"/>
                <w:sz w:val="24"/>
                <w:szCs w:val="24"/>
              </w:rPr>
            </w:pPr>
            <w:r>
              <w:rPr>
                <w:rFonts w:hint="eastAsia"/>
                <w:color w:val="auto"/>
                <w:sz w:val="24"/>
                <w:szCs w:val="24"/>
              </w:rPr>
              <w:t>项目总投资36585万元，环保投资2</w:t>
            </w:r>
            <w:r>
              <w:rPr>
                <w:rFonts w:hint="eastAsia"/>
                <w:color w:val="auto"/>
                <w:sz w:val="24"/>
                <w:szCs w:val="24"/>
                <w:lang w:val="en-US" w:eastAsia="zh-CN"/>
              </w:rPr>
              <w:t>0</w:t>
            </w:r>
            <w:r>
              <w:rPr>
                <w:rFonts w:hint="eastAsia"/>
                <w:color w:val="auto"/>
                <w:sz w:val="24"/>
                <w:szCs w:val="24"/>
              </w:rPr>
              <w:t>1.5万元，占总投资比例为0.</w:t>
            </w:r>
            <w:r>
              <w:rPr>
                <w:rFonts w:hint="eastAsia"/>
                <w:color w:val="auto"/>
                <w:sz w:val="24"/>
                <w:szCs w:val="24"/>
                <w:lang w:val="en-US" w:eastAsia="zh-CN"/>
              </w:rPr>
              <w:t>55</w:t>
            </w:r>
            <w:r>
              <w:rPr>
                <w:rFonts w:hint="eastAsia"/>
                <w:color w:val="auto"/>
                <w:sz w:val="24"/>
                <w:szCs w:val="24"/>
              </w:rPr>
              <w:t>%。本项目采取的环保措施投资情况见下表。</w:t>
            </w:r>
          </w:p>
          <w:p w14:paraId="70ACDB07">
            <w:pPr>
              <w:pStyle w:val="10"/>
              <w:snapToGrid/>
              <w:spacing w:before="0" w:after="0" w:line="500" w:lineRule="exact"/>
              <w:ind w:right="0"/>
              <w:jc w:val="center"/>
              <w:rPr>
                <w:b/>
                <w:bCs/>
                <w:color w:val="auto"/>
                <w:sz w:val="24"/>
                <w:szCs w:val="24"/>
              </w:rPr>
            </w:pPr>
            <w:r>
              <w:rPr>
                <w:rFonts w:hint="eastAsia"/>
                <w:b/>
                <w:bCs/>
                <w:color w:val="auto"/>
                <w:sz w:val="24"/>
                <w:szCs w:val="24"/>
              </w:rPr>
              <w:t>表4-1</w:t>
            </w:r>
            <w:r>
              <w:rPr>
                <w:rFonts w:hint="eastAsia"/>
                <w:b/>
                <w:bCs/>
                <w:color w:val="auto"/>
                <w:sz w:val="24"/>
                <w:szCs w:val="24"/>
                <w:lang w:val="en-US" w:eastAsia="zh-CN"/>
              </w:rPr>
              <w:t>6</w:t>
            </w:r>
            <w:r>
              <w:rPr>
                <w:rFonts w:hint="eastAsia"/>
                <w:b/>
                <w:bCs/>
                <w:color w:val="auto"/>
                <w:sz w:val="24"/>
                <w:szCs w:val="24"/>
              </w:rPr>
              <w:t xml:space="preserve">  项目环保投资一览表</w:t>
            </w:r>
          </w:p>
          <w:tbl>
            <w:tblPr>
              <w:tblStyle w:val="25"/>
              <w:tblW w:w="8423" w:type="dxa"/>
              <w:tblInd w:w="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13"/>
              <w:gridCol w:w="1485"/>
              <w:gridCol w:w="1500"/>
              <w:gridCol w:w="3570"/>
              <w:gridCol w:w="1155"/>
            </w:tblGrid>
            <w:tr w14:paraId="6508B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Align w:val="center"/>
                </w:tcPr>
                <w:p w14:paraId="6E07BAF6">
                  <w:pPr>
                    <w:widowControl/>
                    <w:adjustRightInd w:val="0"/>
                    <w:snapToGrid w:val="0"/>
                    <w:spacing w:line="320" w:lineRule="exact"/>
                    <w:jc w:val="center"/>
                    <w:rPr>
                      <w:color w:val="auto"/>
                      <w:sz w:val="21"/>
                      <w:szCs w:val="21"/>
                    </w:rPr>
                  </w:pPr>
                  <w:r>
                    <w:rPr>
                      <w:color w:val="auto"/>
                      <w:sz w:val="21"/>
                      <w:szCs w:val="21"/>
                    </w:rPr>
                    <w:t>类别</w:t>
                  </w:r>
                </w:p>
              </w:tc>
              <w:tc>
                <w:tcPr>
                  <w:tcW w:w="1485" w:type="dxa"/>
                  <w:vAlign w:val="center"/>
                </w:tcPr>
                <w:p w14:paraId="3F2B4ED8">
                  <w:pPr>
                    <w:widowControl/>
                    <w:adjustRightInd w:val="0"/>
                    <w:snapToGrid w:val="0"/>
                    <w:spacing w:line="320" w:lineRule="exact"/>
                    <w:jc w:val="center"/>
                    <w:rPr>
                      <w:color w:val="auto"/>
                      <w:sz w:val="21"/>
                      <w:szCs w:val="21"/>
                    </w:rPr>
                  </w:pPr>
                  <w:r>
                    <w:rPr>
                      <w:color w:val="auto"/>
                      <w:sz w:val="21"/>
                      <w:szCs w:val="21"/>
                    </w:rPr>
                    <w:t>污染源名称</w:t>
                  </w:r>
                </w:p>
              </w:tc>
              <w:tc>
                <w:tcPr>
                  <w:tcW w:w="1500" w:type="dxa"/>
                  <w:vAlign w:val="center"/>
                </w:tcPr>
                <w:p w14:paraId="733114B4">
                  <w:pPr>
                    <w:widowControl/>
                    <w:adjustRightInd w:val="0"/>
                    <w:snapToGrid w:val="0"/>
                    <w:spacing w:line="320" w:lineRule="exact"/>
                    <w:jc w:val="center"/>
                    <w:rPr>
                      <w:color w:val="auto"/>
                      <w:sz w:val="21"/>
                      <w:szCs w:val="21"/>
                    </w:rPr>
                  </w:pPr>
                  <w:r>
                    <w:rPr>
                      <w:color w:val="auto"/>
                      <w:sz w:val="21"/>
                      <w:szCs w:val="21"/>
                    </w:rPr>
                    <w:t>污染物</w:t>
                  </w:r>
                </w:p>
              </w:tc>
              <w:tc>
                <w:tcPr>
                  <w:tcW w:w="3570" w:type="dxa"/>
                  <w:vAlign w:val="center"/>
                </w:tcPr>
                <w:p w14:paraId="0FABADD3">
                  <w:pPr>
                    <w:widowControl/>
                    <w:adjustRightInd w:val="0"/>
                    <w:snapToGrid w:val="0"/>
                    <w:spacing w:line="320" w:lineRule="exact"/>
                    <w:jc w:val="center"/>
                    <w:rPr>
                      <w:color w:val="auto"/>
                      <w:sz w:val="21"/>
                      <w:szCs w:val="21"/>
                    </w:rPr>
                  </w:pPr>
                  <w:r>
                    <w:rPr>
                      <w:color w:val="auto"/>
                      <w:sz w:val="21"/>
                      <w:szCs w:val="21"/>
                    </w:rPr>
                    <w:t>治理措施</w:t>
                  </w:r>
                </w:p>
              </w:tc>
              <w:tc>
                <w:tcPr>
                  <w:tcW w:w="1155" w:type="dxa"/>
                  <w:vAlign w:val="center"/>
                </w:tcPr>
                <w:p w14:paraId="4810EAE6">
                  <w:pPr>
                    <w:widowControl/>
                    <w:adjustRightInd w:val="0"/>
                    <w:snapToGrid w:val="0"/>
                    <w:spacing w:line="320" w:lineRule="exact"/>
                    <w:jc w:val="center"/>
                    <w:rPr>
                      <w:color w:val="auto"/>
                      <w:sz w:val="21"/>
                      <w:szCs w:val="21"/>
                    </w:rPr>
                  </w:pPr>
                  <w:r>
                    <w:rPr>
                      <w:color w:val="auto"/>
                      <w:sz w:val="21"/>
                      <w:szCs w:val="21"/>
                    </w:rPr>
                    <w:t>投资金额（万元）</w:t>
                  </w:r>
                </w:p>
              </w:tc>
            </w:tr>
            <w:tr w14:paraId="66575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restart"/>
                  <w:vAlign w:val="center"/>
                </w:tcPr>
                <w:p w14:paraId="3205C816">
                  <w:pPr>
                    <w:widowControl/>
                    <w:adjustRightInd w:val="0"/>
                    <w:snapToGrid w:val="0"/>
                    <w:spacing w:line="320" w:lineRule="exact"/>
                    <w:jc w:val="center"/>
                    <w:rPr>
                      <w:color w:val="auto"/>
                      <w:sz w:val="21"/>
                      <w:szCs w:val="21"/>
                    </w:rPr>
                  </w:pPr>
                  <w:r>
                    <w:rPr>
                      <w:color w:val="auto"/>
                      <w:sz w:val="21"/>
                      <w:szCs w:val="21"/>
                    </w:rPr>
                    <w:t>大气污染物</w:t>
                  </w:r>
                </w:p>
              </w:tc>
              <w:tc>
                <w:tcPr>
                  <w:tcW w:w="1485" w:type="dxa"/>
                  <w:vAlign w:val="center"/>
                </w:tcPr>
                <w:p w14:paraId="7921668A">
                  <w:pPr>
                    <w:spacing w:line="320" w:lineRule="exact"/>
                    <w:jc w:val="center"/>
                    <w:rPr>
                      <w:color w:val="auto"/>
                      <w:sz w:val="21"/>
                      <w:szCs w:val="21"/>
                    </w:rPr>
                  </w:pPr>
                  <w:r>
                    <w:rPr>
                      <w:rFonts w:hint="eastAsia" w:ascii="宋体" w:hAnsi="宋体"/>
                      <w:color w:val="auto"/>
                      <w:sz w:val="21"/>
                      <w:szCs w:val="21"/>
                      <w:lang w:bidi="ar"/>
                    </w:rPr>
                    <w:t>破碎、剪切</w:t>
                  </w:r>
                  <w:r>
                    <w:rPr>
                      <w:rFonts w:hint="eastAsia"/>
                      <w:color w:val="auto"/>
                      <w:sz w:val="21"/>
                      <w:lang w:bidi="ar"/>
                    </w:rPr>
                    <w:t>工序</w:t>
                  </w:r>
                </w:p>
              </w:tc>
              <w:tc>
                <w:tcPr>
                  <w:tcW w:w="1500" w:type="dxa"/>
                  <w:vAlign w:val="center"/>
                </w:tcPr>
                <w:p w14:paraId="7F650E32">
                  <w:pPr>
                    <w:spacing w:line="320" w:lineRule="exact"/>
                    <w:jc w:val="center"/>
                    <w:rPr>
                      <w:bCs/>
                      <w:color w:val="auto"/>
                      <w:sz w:val="21"/>
                      <w:szCs w:val="21"/>
                    </w:rPr>
                  </w:pPr>
                  <w:r>
                    <w:rPr>
                      <w:rFonts w:hint="eastAsia" w:ascii="宋体" w:hAnsi="宋体"/>
                      <w:color w:val="auto"/>
                      <w:sz w:val="21"/>
                      <w:szCs w:val="21"/>
                      <w:lang w:bidi="ar"/>
                    </w:rPr>
                    <w:t>粉尘</w:t>
                  </w:r>
                </w:p>
              </w:tc>
              <w:tc>
                <w:tcPr>
                  <w:tcW w:w="3570" w:type="dxa"/>
                  <w:vAlign w:val="center"/>
                </w:tcPr>
                <w:p w14:paraId="4E13D5DC">
                  <w:pPr>
                    <w:spacing w:line="320" w:lineRule="exact"/>
                    <w:jc w:val="center"/>
                    <w:rPr>
                      <w:color w:val="auto"/>
                      <w:sz w:val="21"/>
                      <w:szCs w:val="21"/>
                    </w:rPr>
                  </w:pPr>
                  <w:r>
                    <w:rPr>
                      <w:color w:val="auto"/>
                      <w:sz w:val="21"/>
                      <w:szCs w:val="21"/>
                      <w:lang w:bidi="ar"/>
                    </w:rPr>
                    <w:t>破碎机</w:t>
                  </w:r>
                  <w:r>
                    <w:rPr>
                      <w:rFonts w:hint="eastAsia"/>
                      <w:color w:val="auto"/>
                      <w:sz w:val="21"/>
                      <w:szCs w:val="21"/>
                      <w:lang w:bidi="ar"/>
                    </w:rPr>
                    <w:t>、</w:t>
                  </w:r>
                  <w:r>
                    <w:rPr>
                      <w:color w:val="auto"/>
                      <w:sz w:val="21"/>
                      <w:szCs w:val="21"/>
                      <w:lang w:bidi="ar"/>
                    </w:rPr>
                    <w:t>剪断机</w:t>
                  </w:r>
                  <w:r>
                    <w:rPr>
                      <w:rFonts w:hint="eastAsia"/>
                      <w:color w:val="auto"/>
                      <w:sz w:val="21"/>
                      <w:szCs w:val="21"/>
                      <w:lang w:bidi="ar"/>
                    </w:rPr>
                    <w:t>分别设集气罩（共2个），废气经集气罩</w:t>
                  </w:r>
                  <w:r>
                    <w:rPr>
                      <w:color w:val="auto"/>
                      <w:sz w:val="21"/>
                      <w:szCs w:val="21"/>
                      <w:lang w:bidi="ar"/>
                    </w:rPr>
                    <w:t>收集后引入</w:t>
                  </w:r>
                  <w:r>
                    <w:rPr>
                      <w:rFonts w:hint="eastAsia"/>
                      <w:color w:val="auto"/>
                      <w:sz w:val="21"/>
                      <w:szCs w:val="21"/>
                      <w:lang w:bidi="ar"/>
                    </w:rPr>
                    <w:t>1套</w:t>
                  </w:r>
                  <w:r>
                    <w:rPr>
                      <w:color w:val="auto"/>
                      <w:sz w:val="21"/>
                      <w:szCs w:val="21"/>
                      <w:lang w:bidi="ar"/>
                    </w:rPr>
                    <w:t>布袋除尘器</w:t>
                  </w:r>
                  <w:r>
                    <w:rPr>
                      <w:rFonts w:hint="eastAsia"/>
                      <w:color w:val="auto"/>
                      <w:sz w:val="21"/>
                      <w:szCs w:val="21"/>
                      <w:lang w:bidi="ar"/>
                    </w:rPr>
                    <w:t>，</w:t>
                  </w:r>
                  <w:r>
                    <w:rPr>
                      <w:color w:val="auto"/>
                      <w:sz w:val="21"/>
                      <w:szCs w:val="21"/>
                      <w:lang w:bidi="ar"/>
                    </w:rPr>
                    <w:t>处理后通过</w:t>
                  </w:r>
                  <w:r>
                    <w:rPr>
                      <w:rFonts w:hint="eastAsia"/>
                      <w:color w:val="auto"/>
                      <w:sz w:val="21"/>
                      <w:szCs w:val="21"/>
                      <w:lang w:bidi="ar"/>
                    </w:rPr>
                    <w:t>30</w:t>
                  </w:r>
                  <w:r>
                    <w:rPr>
                      <w:color w:val="auto"/>
                      <w:sz w:val="21"/>
                      <w:szCs w:val="21"/>
                      <w:lang w:bidi="ar"/>
                    </w:rPr>
                    <w:t>m 排气筒（DA001）排放</w:t>
                  </w:r>
                </w:p>
              </w:tc>
              <w:tc>
                <w:tcPr>
                  <w:tcW w:w="1155" w:type="dxa"/>
                  <w:vAlign w:val="center"/>
                </w:tcPr>
                <w:p w14:paraId="5C280475">
                  <w:pPr>
                    <w:widowControl/>
                    <w:adjustRightInd w:val="0"/>
                    <w:snapToGrid w:val="0"/>
                    <w:spacing w:line="320" w:lineRule="exact"/>
                    <w:jc w:val="center"/>
                    <w:rPr>
                      <w:color w:val="auto"/>
                      <w:sz w:val="21"/>
                      <w:szCs w:val="21"/>
                    </w:rPr>
                  </w:pPr>
                  <w:r>
                    <w:rPr>
                      <w:rFonts w:hint="eastAsia"/>
                      <w:color w:val="auto"/>
                      <w:sz w:val="21"/>
                      <w:szCs w:val="21"/>
                    </w:rPr>
                    <w:t>100</w:t>
                  </w:r>
                </w:p>
              </w:tc>
            </w:tr>
            <w:tr w14:paraId="37FFA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continue"/>
                  <w:vAlign w:val="center"/>
                </w:tcPr>
                <w:p w14:paraId="3E11B242">
                  <w:pPr>
                    <w:widowControl/>
                    <w:adjustRightInd w:val="0"/>
                    <w:snapToGrid w:val="0"/>
                    <w:spacing w:line="320" w:lineRule="exact"/>
                    <w:jc w:val="center"/>
                    <w:rPr>
                      <w:color w:val="auto"/>
                      <w:sz w:val="21"/>
                      <w:szCs w:val="21"/>
                    </w:rPr>
                  </w:pPr>
                </w:p>
              </w:tc>
              <w:tc>
                <w:tcPr>
                  <w:tcW w:w="1485" w:type="dxa"/>
                  <w:vAlign w:val="center"/>
                </w:tcPr>
                <w:p w14:paraId="3A2C522E">
                  <w:pPr>
                    <w:widowControl/>
                    <w:adjustRightInd w:val="0"/>
                    <w:snapToGrid w:val="0"/>
                    <w:spacing w:line="320" w:lineRule="exact"/>
                    <w:jc w:val="center"/>
                    <w:rPr>
                      <w:color w:val="auto"/>
                      <w:sz w:val="21"/>
                      <w:szCs w:val="21"/>
                    </w:rPr>
                  </w:pPr>
                  <w:r>
                    <w:rPr>
                      <w:rFonts w:hint="eastAsia"/>
                      <w:color w:val="auto"/>
                      <w:sz w:val="21"/>
                      <w:lang w:bidi="ar"/>
                    </w:rPr>
                    <w:t>焊接工序</w:t>
                  </w:r>
                </w:p>
              </w:tc>
              <w:tc>
                <w:tcPr>
                  <w:tcW w:w="1500" w:type="dxa"/>
                  <w:vAlign w:val="center"/>
                </w:tcPr>
                <w:p w14:paraId="05BC9BFE">
                  <w:pPr>
                    <w:spacing w:line="320" w:lineRule="exact"/>
                    <w:jc w:val="center"/>
                    <w:rPr>
                      <w:color w:val="auto"/>
                      <w:spacing w:val="9"/>
                      <w:sz w:val="21"/>
                      <w:szCs w:val="21"/>
                    </w:rPr>
                  </w:pPr>
                  <w:r>
                    <w:rPr>
                      <w:rFonts w:hint="eastAsia"/>
                      <w:color w:val="auto"/>
                      <w:sz w:val="21"/>
                      <w:lang w:bidi="ar"/>
                    </w:rPr>
                    <w:t>烟尘</w:t>
                  </w:r>
                </w:p>
              </w:tc>
              <w:tc>
                <w:tcPr>
                  <w:tcW w:w="3570" w:type="dxa"/>
                  <w:vAlign w:val="center"/>
                </w:tcPr>
                <w:p w14:paraId="2F39796A">
                  <w:pPr>
                    <w:spacing w:line="320" w:lineRule="exact"/>
                    <w:jc w:val="center"/>
                    <w:rPr>
                      <w:color w:val="auto"/>
                      <w:sz w:val="21"/>
                      <w:szCs w:val="21"/>
                    </w:rPr>
                  </w:pPr>
                  <w:r>
                    <w:rPr>
                      <w:rFonts w:hint="eastAsia"/>
                      <w:color w:val="auto"/>
                      <w:sz w:val="21"/>
                    </w:rPr>
                    <w:t>每台焊机设1套</w:t>
                  </w:r>
                  <w:r>
                    <w:rPr>
                      <w:color w:val="auto"/>
                      <w:sz w:val="21"/>
                    </w:rPr>
                    <w:t>移动式烟尘净化器</w:t>
                  </w:r>
                  <w:r>
                    <w:rPr>
                      <w:rFonts w:hint="eastAsia"/>
                      <w:color w:val="auto"/>
                      <w:sz w:val="21"/>
                    </w:rPr>
                    <w:t>，焊接烟尘采用</w:t>
                  </w:r>
                  <w:r>
                    <w:rPr>
                      <w:color w:val="auto"/>
                      <w:sz w:val="21"/>
                    </w:rPr>
                    <w:t>移动式烟尘净化器</w:t>
                  </w:r>
                  <w:r>
                    <w:rPr>
                      <w:rFonts w:hint="eastAsia"/>
                      <w:color w:val="auto"/>
                      <w:sz w:val="21"/>
                    </w:rPr>
                    <w:t>（共4套）</w:t>
                  </w:r>
                  <w:r>
                    <w:rPr>
                      <w:color w:val="auto"/>
                      <w:sz w:val="21"/>
                    </w:rPr>
                    <w:t>收集后无组织排放</w:t>
                  </w:r>
                </w:p>
              </w:tc>
              <w:tc>
                <w:tcPr>
                  <w:tcW w:w="1155" w:type="dxa"/>
                  <w:vAlign w:val="center"/>
                </w:tcPr>
                <w:p w14:paraId="309C3802">
                  <w:pPr>
                    <w:widowControl/>
                    <w:adjustRightInd w:val="0"/>
                    <w:snapToGrid w:val="0"/>
                    <w:spacing w:line="320" w:lineRule="exact"/>
                    <w:jc w:val="center"/>
                    <w:rPr>
                      <w:color w:val="auto"/>
                      <w:sz w:val="21"/>
                      <w:szCs w:val="21"/>
                    </w:rPr>
                  </w:pPr>
                  <w:r>
                    <w:rPr>
                      <w:rFonts w:hint="eastAsia"/>
                      <w:color w:val="auto"/>
                      <w:sz w:val="21"/>
                      <w:szCs w:val="21"/>
                    </w:rPr>
                    <w:t>5</w:t>
                  </w:r>
                </w:p>
              </w:tc>
            </w:tr>
            <w:tr w14:paraId="1EACF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continue"/>
                  <w:vAlign w:val="center"/>
                </w:tcPr>
                <w:p w14:paraId="32078851">
                  <w:pPr>
                    <w:widowControl/>
                    <w:adjustRightInd w:val="0"/>
                    <w:snapToGrid w:val="0"/>
                    <w:spacing w:line="320" w:lineRule="exact"/>
                    <w:jc w:val="center"/>
                    <w:rPr>
                      <w:color w:val="auto"/>
                      <w:sz w:val="21"/>
                      <w:szCs w:val="21"/>
                    </w:rPr>
                  </w:pPr>
                </w:p>
              </w:tc>
              <w:tc>
                <w:tcPr>
                  <w:tcW w:w="1485" w:type="dxa"/>
                  <w:vAlign w:val="center"/>
                </w:tcPr>
                <w:p w14:paraId="6E94D588">
                  <w:pPr>
                    <w:widowControl/>
                    <w:adjustRightInd w:val="0"/>
                    <w:snapToGrid w:val="0"/>
                    <w:spacing w:line="320" w:lineRule="exact"/>
                    <w:jc w:val="center"/>
                    <w:rPr>
                      <w:color w:val="auto"/>
                      <w:sz w:val="21"/>
                      <w:szCs w:val="21"/>
                    </w:rPr>
                  </w:pPr>
                  <w:r>
                    <w:rPr>
                      <w:rFonts w:hint="eastAsia"/>
                      <w:color w:val="auto"/>
                      <w:sz w:val="21"/>
                      <w:szCs w:val="21"/>
                    </w:rPr>
                    <w:t>危废暂存库</w:t>
                  </w:r>
                </w:p>
              </w:tc>
              <w:tc>
                <w:tcPr>
                  <w:tcW w:w="1500" w:type="dxa"/>
                  <w:vAlign w:val="center"/>
                </w:tcPr>
                <w:p w14:paraId="2E89605B">
                  <w:pPr>
                    <w:spacing w:line="320" w:lineRule="exact"/>
                    <w:jc w:val="center"/>
                    <w:rPr>
                      <w:color w:val="auto"/>
                      <w:sz w:val="21"/>
                      <w:lang w:bidi="ar"/>
                    </w:rPr>
                  </w:pPr>
                  <w:r>
                    <w:rPr>
                      <w:rFonts w:hint="eastAsia"/>
                      <w:color w:val="auto"/>
                      <w:sz w:val="21"/>
                      <w:lang w:bidi="ar"/>
                    </w:rPr>
                    <w:t>非甲烷总烃、硫酸雾</w:t>
                  </w:r>
                </w:p>
              </w:tc>
              <w:tc>
                <w:tcPr>
                  <w:tcW w:w="3570" w:type="dxa"/>
                  <w:vAlign w:val="center"/>
                </w:tcPr>
                <w:p w14:paraId="7434F6F2">
                  <w:pPr>
                    <w:spacing w:line="320" w:lineRule="exact"/>
                    <w:jc w:val="center"/>
                    <w:rPr>
                      <w:color w:val="auto"/>
                      <w:sz w:val="21"/>
                      <w:szCs w:val="21"/>
                    </w:rPr>
                  </w:pPr>
                  <w:r>
                    <w:rPr>
                      <w:rFonts w:hint="eastAsia"/>
                      <w:color w:val="auto"/>
                      <w:sz w:val="21"/>
                      <w:szCs w:val="21"/>
                    </w:rPr>
                    <w:t>危废暂存库设有防渗塑料桶用来盛装废电解液，并加盖密闭存储；废机油贮存在加盖密封的铁皮桶内，且加强通风，可以有效减少废气排放</w:t>
                  </w:r>
                </w:p>
              </w:tc>
              <w:tc>
                <w:tcPr>
                  <w:tcW w:w="1155" w:type="dxa"/>
                  <w:vAlign w:val="center"/>
                </w:tcPr>
                <w:p w14:paraId="1EAB2F17">
                  <w:pPr>
                    <w:widowControl/>
                    <w:adjustRightInd w:val="0"/>
                    <w:snapToGrid w:val="0"/>
                    <w:spacing w:line="320" w:lineRule="exact"/>
                    <w:jc w:val="center"/>
                    <w:rPr>
                      <w:color w:val="auto"/>
                      <w:sz w:val="21"/>
                      <w:szCs w:val="21"/>
                    </w:rPr>
                  </w:pPr>
                  <w:r>
                    <w:rPr>
                      <w:rFonts w:hint="eastAsia"/>
                      <w:color w:val="auto"/>
                      <w:sz w:val="21"/>
                      <w:szCs w:val="21"/>
                    </w:rPr>
                    <w:t>3</w:t>
                  </w:r>
                </w:p>
              </w:tc>
            </w:tr>
            <w:tr w14:paraId="61FB3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continue"/>
                  <w:vAlign w:val="center"/>
                </w:tcPr>
                <w:p w14:paraId="22245677">
                  <w:pPr>
                    <w:widowControl/>
                    <w:adjustRightInd w:val="0"/>
                    <w:snapToGrid w:val="0"/>
                    <w:spacing w:line="320" w:lineRule="exact"/>
                    <w:jc w:val="center"/>
                    <w:rPr>
                      <w:color w:val="auto"/>
                      <w:sz w:val="21"/>
                      <w:szCs w:val="21"/>
                    </w:rPr>
                  </w:pPr>
                </w:p>
              </w:tc>
              <w:tc>
                <w:tcPr>
                  <w:tcW w:w="1485" w:type="dxa"/>
                  <w:vAlign w:val="center"/>
                </w:tcPr>
                <w:p w14:paraId="7F86AF63">
                  <w:pPr>
                    <w:widowControl/>
                    <w:adjustRightInd w:val="0"/>
                    <w:snapToGrid w:val="0"/>
                    <w:spacing w:line="320" w:lineRule="exact"/>
                    <w:jc w:val="center"/>
                    <w:rPr>
                      <w:color w:val="auto"/>
                      <w:sz w:val="21"/>
                      <w:szCs w:val="21"/>
                    </w:rPr>
                  </w:pPr>
                  <w:r>
                    <w:rPr>
                      <w:rFonts w:hint="eastAsia"/>
                      <w:color w:val="auto"/>
                      <w:sz w:val="21"/>
                      <w:szCs w:val="21"/>
                    </w:rPr>
                    <w:t>道路运输</w:t>
                  </w:r>
                </w:p>
              </w:tc>
              <w:tc>
                <w:tcPr>
                  <w:tcW w:w="1500" w:type="dxa"/>
                  <w:vAlign w:val="center"/>
                </w:tcPr>
                <w:p w14:paraId="72C98874">
                  <w:pPr>
                    <w:spacing w:line="320" w:lineRule="exact"/>
                    <w:jc w:val="center"/>
                    <w:rPr>
                      <w:color w:val="auto"/>
                      <w:spacing w:val="9"/>
                      <w:sz w:val="21"/>
                      <w:szCs w:val="21"/>
                    </w:rPr>
                  </w:pPr>
                  <w:r>
                    <w:rPr>
                      <w:rFonts w:hint="eastAsia"/>
                      <w:color w:val="auto"/>
                      <w:sz w:val="21"/>
                      <w:lang w:bidi="ar"/>
                    </w:rPr>
                    <w:t>扬尘</w:t>
                  </w:r>
                </w:p>
              </w:tc>
              <w:tc>
                <w:tcPr>
                  <w:tcW w:w="3570" w:type="dxa"/>
                  <w:vAlign w:val="center"/>
                </w:tcPr>
                <w:p w14:paraId="452D3408">
                  <w:pPr>
                    <w:spacing w:line="320" w:lineRule="exact"/>
                    <w:jc w:val="center"/>
                    <w:rPr>
                      <w:color w:val="auto"/>
                      <w:sz w:val="21"/>
                      <w:szCs w:val="21"/>
                      <w:lang w:bidi="ar"/>
                    </w:rPr>
                  </w:pPr>
                  <w:r>
                    <w:rPr>
                      <w:color w:val="auto"/>
                      <w:sz w:val="21"/>
                      <w:szCs w:val="21"/>
                    </w:rPr>
                    <w:t>道路硬化+清扫车打扫+运输车辆加盖篷布</w:t>
                  </w:r>
                </w:p>
              </w:tc>
              <w:tc>
                <w:tcPr>
                  <w:tcW w:w="1155" w:type="dxa"/>
                  <w:vAlign w:val="center"/>
                </w:tcPr>
                <w:p w14:paraId="5515B921">
                  <w:pPr>
                    <w:widowControl/>
                    <w:adjustRightInd w:val="0"/>
                    <w:snapToGrid w:val="0"/>
                    <w:spacing w:line="320" w:lineRule="exact"/>
                    <w:jc w:val="center"/>
                    <w:rPr>
                      <w:color w:val="auto"/>
                      <w:sz w:val="21"/>
                      <w:szCs w:val="21"/>
                    </w:rPr>
                  </w:pPr>
                  <w:r>
                    <w:rPr>
                      <w:rFonts w:hint="eastAsia"/>
                      <w:color w:val="auto"/>
                      <w:sz w:val="21"/>
                      <w:szCs w:val="21"/>
                    </w:rPr>
                    <w:t>1</w:t>
                  </w:r>
                </w:p>
              </w:tc>
            </w:tr>
            <w:tr w14:paraId="6C470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restart"/>
                  <w:vAlign w:val="center"/>
                </w:tcPr>
                <w:p w14:paraId="65195F56">
                  <w:pPr>
                    <w:widowControl/>
                    <w:adjustRightInd w:val="0"/>
                    <w:snapToGrid w:val="0"/>
                    <w:spacing w:line="320" w:lineRule="exact"/>
                    <w:jc w:val="center"/>
                    <w:rPr>
                      <w:color w:val="auto"/>
                      <w:sz w:val="21"/>
                      <w:szCs w:val="21"/>
                    </w:rPr>
                  </w:pPr>
                  <w:r>
                    <w:rPr>
                      <w:color w:val="auto"/>
                      <w:sz w:val="21"/>
                      <w:szCs w:val="21"/>
                    </w:rPr>
                    <w:t>水污</w:t>
                  </w:r>
                </w:p>
                <w:p w14:paraId="3A029103">
                  <w:pPr>
                    <w:widowControl/>
                    <w:adjustRightInd w:val="0"/>
                    <w:snapToGrid w:val="0"/>
                    <w:spacing w:line="320" w:lineRule="exact"/>
                    <w:jc w:val="center"/>
                    <w:rPr>
                      <w:color w:val="auto"/>
                      <w:sz w:val="21"/>
                      <w:szCs w:val="21"/>
                    </w:rPr>
                  </w:pPr>
                  <w:r>
                    <w:rPr>
                      <w:color w:val="auto"/>
                      <w:sz w:val="21"/>
                      <w:szCs w:val="21"/>
                    </w:rPr>
                    <w:t>染物</w:t>
                  </w:r>
                </w:p>
              </w:tc>
              <w:tc>
                <w:tcPr>
                  <w:tcW w:w="1485" w:type="dxa"/>
                  <w:vAlign w:val="center"/>
                </w:tcPr>
                <w:p w14:paraId="6615430F">
                  <w:pPr>
                    <w:spacing w:line="320" w:lineRule="exact"/>
                    <w:jc w:val="center"/>
                    <w:rPr>
                      <w:color w:val="auto"/>
                      <w:sz w:val="21"/>
                      <w:lang w:bidi="ar"/>
                    </w:rPr>
                  </w:pPr>
                  <w:r>
                    <w:rPr>
                      <w:rFonts w:hint="eastAsia"/>
                      <w:color w:val="auto"/>
                      <w:sz w:val="21"/>
                      <w:lang w:bidi="ar"/>
                    </w:rPr>
                    <w:t>维修车间</w:t>
                  </w:r>
                </w:p>
                <w:p w14:paraId="7BB4D08A">
                  <w:pPr>
                    <w:widowControl/>
                    <w:adjustRightInd w:val="0"/>
                    <w:snapToGrid w:val="0"/>
                    <w:spacing w:line="320" w:lineRule="exact"/>
                    <w:jc w:val="center"/>
                    <w:rPr>
                      <w:color w:val="auto"/>
                      <w:sz w:val="21"/>
                      <w:szCs w:val="21"/>
                    </w:rPr>
                  </w:pPr>
                  <w:r>
                    <w:rPr>
                      <w:rFonts w:hint="eastAsia"/>
                      <w:color w:val="auto"/>
                      <w:sz w:val="21"/>
                      <w:lang w:bidi="ar"/>
                    </w:rPr>
                    <w:t>清洗废水</w:t>
                  </w:r>
                </w:p>
              </w:tc>
              <w:tc>
                <w:tcPr>
                  <w:tcW w:w="1500" w:type="dxa"/>
                  <w:vAlign w:val="center"/>
                </w:tcPr>
                <w:p w14:paraId="57C19A54">
                  <w:pPr>
                    <w:widowControl/>
                    <w:adjustRightInd w:val="0"/>
                    <w:snapToGrid w:val="0"/>
                    <w:spacing w:line="320" w:lineRule="exact"/>
                    <w:jc w:val="center"/>
                    <w:rPr>
                      <w:rFonts w:hint="eastAsia" w:eastAsia="宋体"/>
                      <w:color w:val="auto"/>
                      <w:sz w:val="21"/>
                      <w:szCs w:val="21"/>
                      <w:lang w:val="en-US" w:eastAsia="zh-CN"/>
                    </w:rPr>
                  </w:pPr>
                  <w:r>
                    <w:rPr>
                      <w:rFonts w:hint="eastAsia"/>
                      <w:color w:val="auto"/>
                      <w:sz w:val="21"/>
                      <w:szCs w:val="21"/>
                    </w:rPr>
                    <w:t>COD、BOD</w:t>
                  </w:r>
                  <w:r>
                    <w:rPr>
                      <w:rFonts w:hint="eastAsia"/>
                      <w:color w:val="auto"/>
                      <w:sz w:val="21"/>
                      <w:szCs w:val="21"/>
                      <w:vertAlign w:val="subscript"/>
                    </w:rPr>
                    <w:t>5</w:t>
                  </w:r>
                  <w:r>
                    <w:rPr>
                      <w:rFonts w:hint="eastAsia"/>
                      <w:color w:val="auto"/>
                      <w:sz w:val="21"/>
                      <w:szCs w:val="21"/>
                    </w:rPr>
                    <w:t>、SS、石油类</w:t>
                  </w:r>
                  <w:r>
                    <w:rPr>
                      <w:rFonts w:hint="eastAsia"/>
                      <w:color w:val="auto"/>
                      <w:sz w:val="21"/>
                      <w:szCs w:val="21"/>
                      <w:lang w:val="en-US" w:eastAsia="zh-CN"/>
                    </w:rPr>
                    <w:t>等</w:t>
                  </w:r>
                </w:p>
              </w:tc>
              <w:tc>
                <w:tcPr>
                  <w:tcW w:w="3570" w:type="dxa"/>
                  <w:vAlign w:val="center"/>
                </w:tcPr>
                <w:p w14:paraId="1CB81704">
                  <w:pPr>
                    <w:spacing w:line="320" w:lineRule="exact"/>
                    <w:jc w:val="center"/>
                    <w:rPr>
                      <w:rFonts w:hint="default" w:eastAsia="宋体"/>
                      <w:bCs/>
                      <w:color w:val="auto"/>
                      <w:sz w:val="21"/>
                      <w:szCs w:val="21"/>
                      <w:lang w:val="en-US" w:eastAsia="zh-CN" w:bidi="ar"/>
                    </w:rPr>
                  </w:pPr>
                  <w:r>
                    <w:rPr>
                      <w:rFonts w:hint="eastAsia"/>
                      <w:bCs/>
                      <w:color w:val="auto"/>
                      <w:sz w:val="21"/>
                      <w:szCs w:val="21"/>
                      <w:lang w:bidi="ar"/>
                    </w:rPr>
                    <w:t>清洗废水经一体化污水处理设施处理后</w:t>
                  </w:r>
                  <w:r>
                    <w:rPr>
                      <w:rFonts w:hint="eastAsia"/>
                      <w:color w:val="auto"/>
                      <w:sz w:val="21"/>
                      <w:lang w:val="en-US" w:eastAsia="zh-CN"/>
                    </w:rPr>
                    <w:t>用于厂区绿化、道路洒水</w:t>
                  </w:r>
                </w:p>
              </w:tc>
              <w:tc>
                <w:tcPr>
                  <w:tcW w:w="1155" w:type="dxa"/>
                  <w:vAlign w:val="center"/>
                </w:tcPr>
                <w:p w14:paraId="6D3A10F2">
                  <w:pPr>
                    <w:widowControl/>
                    <w:adjustRightInd w:val="0"/>
                    <w:snapToGrid w:val="0"/>
                    <w:spacing w:line="320" w:lineRule="exact"/>
                    <w:jc w:val="center"/>
                    <w:rPr>
                      <w:color w:val="auto"/>
                      <w:sz w:val="21"/>
                      <w:szCs w:val="21"/>
                    </w:rPr>
                  </w:pPr>
                  <w:r>
                    <w:rPr>
                      <w:rFonts w:hint="eastAsia"/>
                      <w:color w:val="auto"/>
                      <w:sz w:val="21"/>
                      <w:szCs w:val="21"/>
                    </w:rPr>
                    <w:t>15</w:t>
                  </w:r>
                </w:p>
              </w:tc>
            </w:tr>
            <w:tr w14:paraId="4E4F7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continue"/>
                  <w:vAlign w:val="center"/>
                </w:tcPr>
                <w:p w14:paraId="1350BA55">
                  <w:pPr>
                    <w:widowControl/>
                    <w:adjustRightInd w:val="0"/>
                    <w:snapToGrid w:val="0"/>
                    <w:spacing w:line="320" w:lineRule="exact"/>
                    <w:jc w:val="center"/>
                    <w:rPr>
                      <w:color w:val="auto"/>
                      <w:sz w:val="21"/>
                      <w:szCs w:val="21"/>
                    </w:rPr>
                  </w:pPr>
                </w:p>
              </w:tc>
              <w:tc>
                <w:tcPr>
                  <w:tcW w:w="1485" w:type="dxa"/>
                  <w:vAlign w:val="center"/>
                </w:tcPr>
                <w:p w14:paraId="29C0857C">
                  <w:pPr>
                    <w:widowControl/>
                    <w:adjustRightInd w:val="0"/>
                    <w:snapToGrid w:val="0"/>
                    <w:spacing w:line="320" w:lineRule="exact"/>
                    <w:jc w:val="center"/>
                    <w:rPr>
                      <w:color w:val="auto"/>
                      <w:sz w:val="21"/>
                      <w:szCs w:val="21"/>
                    </w:rPr>
                  </w:pPr>
                  <w:r>
                    <w:rPr>
                      <w:color w:val="auto"/>
                      <w:sz w:val="21"/>
                      <w:szCs w:val="21"/>
                    </w:rPr>
                    <w:t>生活污水</w:t>
                  </w:r>
                </w:p>
              </w:tc>
              <w:tc>
                <w:tcPr>
                  <w:tcW w:w="1500" w:type="dxa"/>
                  <w:vAlign w:val="center"/>
                </w:tcPr>
                <w:p w14:paraId="5D7B3281">
                  <w:pPr>
                    <w:widowControl/>
                    <w:adjustRightInd w:val="0"/>
                    <w:snapToGrid w:val="0"/>
                    <w:spacing w:line="320" w:lineRule="exact"/>
                    <w:jc w:val="center"/>
                    <w:rPr>
                      <w:color w:val="auto"/>
                      <w:sz w:val="21"/>
                      <w:szCs w:val="21"/>
                    </w:rPr>
                  </w:pPr>
                  <w:r>
                    <w:rPr>
                      <w:color w:val="auto"/>
                      <w:sz w:val="21"/>
                      <w:szCs w:val="21"/>
                    </w:rPr>
                    <w:t>COD</w:t>
                  </w:r>
                  <w:r>
                    <w:rPr>
                      <w:color w:val="auto"/>
                      <w:sz w:val="21"/>
                      <w:szCs w:val="21"/>
                      <w:vertAlign w:val="subscript"/>
                    </w:rPr>
                    <w:t>Cr</w:t>
                  </w:r>
                  <w:r>
                    <w:rPr>
                      <w:color w:val="auto"/>
                      <w:sz w:val="21"/>
                      <w:szCs w:val="21"/>
                    </w:rPr>
                    <w:t>、BOD</w:t>
                  </w:r>
                  <w:r>
                    <w:rPr>
                      <w:color w:val="auto"/>
                      <w:sz w:val="21"/>
                      <w:szCs w:val="21"/>
                      <w:vertAlign w:val="subscript"/>
                    </w:rPr>
                    <w:t>5</w:t>
                  </w:r>
                  <w:r>
                    <w:rPr>
                      <w:color w:val="auto"/>
                      <w:sz w:val="21"/>
                      <w:szCs w:val="21"/>
                    </w:rPr>
                    <w:t>、SS、NH</w:t>
                  </w:r>
                  <w:r>
                    <w:rPr>
                      <w:color w:val="auto"/>
                      <w:sz w:val="21"/>
                      <w:szCs w:val="21"/>
                      <w:vertAlign w:val="subscript"/>
                    </w:rPr>
                    <w:t>3</w:t>
                  </w:r>
                  <w:r>
                    <w:rPr>
                      <w:color w:val="auto"/>
                      <w:sz w:val="21"/>
                      <w:szCs w:val="21"/>
                    </w:rPr>
                    <w:t>-N</w:t>
                  </w:r>
                </w:p>
              </w:tc>
              <w:tc>
                <w:tcPr>
                  <w:tcW w:w="3570" w:type="dxa"/>
                  <w:vAlign w:val="center"/>
                </w:tcPr>
                <w:p w14:paraId="1ACEA610">
                  <w:pPr>
                    <w:spacing w:line="320" w:lineRule="exact"/>
                    <w:jc w:val="center"/>
                    <w:rPr>
                      <w:bCs/>
                      <w:color w:val="auto"/>
                      <w:sz w:val="21"/>
                      <w:szCs w:val="21"/>
                      <w:lang w:bidi="ar"/>
                    </w:rPr>
                  </w:pPr>
                  <w:r>
                    <w:rPr>
                      <w:rFonts w:hint="eastAsia"/>
                      <w:color w:val="auto"/>
                      <w:sz w:val="21"/>
                    </w:rPr>
                    <w:t>生活污水经化粪池处理后经园区污水管网排入园区生活污水处理厂</w:t>
                  </w:r>
                </w:p>
              </w:tc>
              <w:tc>
                <w:tcPr>
                  <w:tcW w:w="1155" w:type="dxa"/>
                  <w:vAlign w:val="center"/>
                </w:tcPr>
                <w:p w14:paraId="08F88A66">
                  <w:pPr>
                    <w:widowControl/>
                    <w:adjustRightInd w:val="0"/>
                    <w:snapToGrid w:val="0"/>
                    <w:spacing w:line="320" w:lineRule="exact"/>
                    <w:jc w:val="center"/>
                    <w:rPr>
                      <w:color w:val="auto"/>
                      <w:sz w:val="21"/>
                      <w:szCs w:val="21"/>
                    </w:rPr>
                  </w:pPr>
                  <w:r>
                    <w:rPr>
                      <w:rFonts w:hint="eastAsia"/>
                      <w:color w:val="auto"/>
                      <w:sz w:val="21"/>
                      <w:szCs w:val="21"/>
                    </w:rPr>
                    <w:t>1</w:t>
                  </w:r>
                </w:p>
              </w:tc>
            </w:tr>
            <w:tr w14:paraId="61167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continue"/>
                  <w:vAlign w:val="center"/>
                </w:tcPr>
                <w:p w14:paraId="7C64125F">
                  <w:pPr>
                    <w:widowControl/>
                    <w:adjustRightInd w:val="0"/>
                    <w:snapToGrid w:val="0"/>
                    <w:spacing w:line="320" w:lineRule="exact"/>
                    <w:jc w:val="center"/>
                    <w:rPr>
                      <w:color w:val="auto"/>
                      <w:sz w:val="21"/>
                      <w:szCs w:val="21"/>
                    </w:rPr>
                  </w:pPr>
                </w:p>
              </w:tc>
              <w:tc>
                <w:tcPr>
                  <w:tcW w:w="1485" w:type="dxa"/>
                  <w:vAlign w:val="center"/>
                </w:tcPr>
                <w:p w14:paraId="5EF8E755">
                  <w:pPr>
                    <w:widowControl/>
                    <w:adjustRightInd w:val="0"/>
                    <w:snapToGrid w:val="0"/>
                    <w:spacing w:line="320" w:lineRule="exact"/>
                    <w:jc w:val="center"/>
                    <w:rPr>
                      <w:color w:val="auto"/>
                      <w:sz w:val="21"/>
                      <w:szCs w:val="21"/>
                    </w:rPr>
                  </w:pPr>
                  <w:r>
                    <w:rPr>
                      <w:rFonts w:hint="eastAsia"/>
                      <w:color w:val="auto"/>
                      <w:sz w:val="21"/>
                      <w:szCs w:val="21"/>
                    </w:rPr>
                    <w:t>初期雨水</w:t>
                  </w:r>
                </w:p>
              </w:tc>
              <w:tc>
                <w:tcPr>
                  <w:tcW w:w="1500" w:type="dxa"/>
                  <w:vAlign w:val="center"/>
                </w:tcPr>
                <w:p w14:paraId="05D8E3BE">
                  <w:pPr>
                    <w:widowControl/>
                    <w:adjustRightInd w:val="0"/>
                    <w:snapToGrid w:val="0"/>
                    <w:spacing w:line="320" w:lineRule="exact"/>
                    <w:jc w:val="center"/>
                    <w:rPr>
                      <w:color w:val="auto"/>
                      <w:sz w:val="21"/>
                      <w:szCs w:val="21"/>
                    </w:rPr>
                  </w:pPr>
                  <w:r>
                    <w:rPr>
                      <w:rFonts w:hint="eastAsia"/>
                      <w:color w:val="auto"/>
                      <w:sz w:val="21"/>
                      <w:szCs w:val="21"/>
                    </w:rPr>
                    <w:t>SS</w:t>
                  </w:r>
                </w:p>
              </w:tc>
              <w:tc>
                <w:tcPr>
                  <w:tcW w:w="3570" w:type="dxa"/>
                  <w:vAlign w:val="center"/>
                </w:tcPr>
                <w:p w14:paraId="2F57345A">
                  <w:pPr>
                    <w:spacing w:line="320" w:lineRule="exact"/>
                    <w:jc w:val="center"/>
                    <w:rPr>
                      <w:bCs/>
                      <w:color w:val="auto"/>
                      <w:sz w:val="21"/>
                      <w:szCs w:val="21"/>
                      <w:lang w:bidi="ar"/>
                    </w:rPr>
                  </w:pPr>
                  <w:r>
                    <w:rPr>
                      <w:rFonts w:hint="eastAsia"/>
                      <w:color w:val="auto"/>
                      <w:sz w:val="21"/>
                      <w:szCs w:val="21"/>
                    </w:rPr>
                    <w:t>项目拟在厂区最低处（西南侧）建设</w:t>
                  </w:r>
                  <w:r>
                    <w:rPr>
                      <w:color w:val="auto"/>
                      <w:sz w:val="21"/>
                      <w:szCs w:val="21"/>
                    </w:rPr>
                    <w:t>1</w:t>
                  </w:r>
                  <w:r>
                    <w:rPr>
                      <w:rFonts w:hint="eastAsia"/>
                      <w:color w:val="auto"/>
                      <w:sz w:val="21"/>
                      <w:szCs w:val="21"/>
                    </w:rPr>
                    <w:t>座150</w:t>
                  </w:r>
                  <w:r>
                    <w:rPr>
                      <w:color w:val="auto"/>
                      <w:sz w:val="21"/>
                      <w:szCs w:val="21"/>
                    </w:rPr>
                    <w:t>m</w:t>
                  </w:r>
                  <w:r>
                    <w:rPr>
                      <w:color w:val="auto"/>
                      <w:sz w:val="21"/>
                      <w:szCs w:val="21"/>
                      <w:vertAlign w:val="superscript"/>
                    </w:rPr>
                    <w:t>3</w:t>
                  </w:r>
                  <w:r>
                    <w:rPr>
                      <w:rFonts w:hint="eastAsia"/>
                      <w:color w:val="auto"/>
                      <w:sz w:val="21"/>
                      <w:szCs w:val="21"/>
                    </w:rPr>
                    <w:t>初期雨水池，收集的雨水经沉淀后回用于厂区空地洒水降尘。</w:t>
                  </w:r>
                </w:p>
              </w:tc>
              <w:tc>
                <w:tcPr>
                  <w:tcW w:w="1155" w:type="dxa"/>
                  <w:vAlign w:val="center"/>
                </w:tcPr>
                <w:p w14:paraId="65F71ED3">
                  <w:pPr>
                    <w:widowControl/>
                    <w:adjustRightInd w:val="0"/>
                    <w:snapToGrid w:val="0"/>
                    <w:spacing w:line="320" w:lineRule="exact"/>
                    <w:jc w:val="center"/>
                    <w:rPr>
                      <w:color w:val="auto"/>
                      <w:sz w:val="21"/>
                      <w:szCs w:val="21"/>
                    </w:rPr>
                  </w:pPr>
                  <w:r>
                    <w:rPr>
                      <w:rFonts w:hint="eastAsia"/>
                      <w:color w:val="auto"/>
                      <w:sz w:val="21"/>
                      <w:szCs w:val="21"/>
                    </w:rPr>
                    <w:t>12</w:t>
                  </w:r>
                </w:p>
              </w:tc>
            </w:tr>
            <w:tr w14:paraId="629B4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continue"/>
                  <w:vAlign w:val="center"/>
                </w:tcPr>
                <w:p w14:paraId="2F4C2CF6">
                  <w:pPr>
                    <w:widowControl/>
                    <w:adjustRightInd w:val="0"/>
                    <w:snapToGrid w:val="0"/>
                    <w:spacing w:line="320" w:lineRule="exact"/>
                    <w:jc w:val="center"/>
                    <w:rPr>
                      <w:color w:val="auto"/>
                      <w:sz w:val="21"/>
                      <w:szCs w:val="21"/>
                    </w:rPr>
                  </w:pPr>
                </w:p>
              </w:tc>
              <w:tc>
                <w:tcPr>
                  <w:tcW w:w="1485" w:type="dxa"/>
                  <w:vAlign w:val="center"/>
                </w:tcPr>
                <w:p w14:paraId="5B1978FA">
                  <w:pPr>
                    <w:widowControl/>
                    <w:adjustRightInd w:val="0"/>
                    <w:snapToGrid w:val="0"/>
                    <w:spacing w:line="320" w:lineRule="exact"/>
                    <w:jc w:val="center"/>
                    <w:rPr>
                      <w:color w:val="auto"/>
                      <w:sz w:val="21"/>
                      <w:szCs w:val="21"/>
                    </w:rPr>
                  </w:pPr>
                  <w:r>
                    <w:rPr>
                      <w:rFonts w:hint="eastAsia"/>
                      <w:color w:val="auto"/>
                      <w:sz w:val="21"/>
                      <w:szCs w:val="21"/>
                    </w:rPr>
                    <w:t>事故废水</w:t>
                  </w:r>
                </w:p>
              </w:tc>
              <w:tc>
                <w:tcPr>
                  <w:tcW w:w="1500" w:type="dxa"/>
                  <w:vAlign w:val="center"/>
                </w:tcPr>
                <w:p w14:paraId="0DA2278B">
                  <w:pPr>
                    <w:widowControl/>
                    <w:adjustRightInd w:val="0"/>
                    <w:snapToGrid w:val="0"/>
                    <w:spacing w:line="320" w:lineRule="exact"/>
                    <w:jc w:val="center"/>
                    <w:rPr>
                      <w:color w:val="auto"/>
                      <w:sz w:val="21"/>
                      <w:szCs w:val="21"/>
                    </w:rPr>
                  </w:pPr>
                  <w:r>
                    <w:rPr>
                      <w:rFonts w:hint="eastAsia"/>
                      <w:color w:val="auto"/>
                      <w:sz w:val="21"/>
                      <w:szCs w:val="21"/>
                    </w:rPr>
                    <w:t>SS、石油类</w:t>
                  </w:r>
                </w:p>
              </w:tc>
              <w:tc>
                <w:tcPr>
                  <w:tcW w:w="3570" w:type="dxa"/>
                  <w:vAlign w:val="center"/>
                </w:tcPr>
                <w:p w14:paraId="690A0BC6">
                  <w:pPr>
                    <w:spacing w:line="320" w:lineRule="exact"/>
                    <w:jc w:val="center"/>
                    <w:rPr>
                      <w:bCs/>
                      <w:color w:val="auto"/>
                      <w:sz w:val="21"/>
                      <w:szCs w:val="21"/>
                    </w:rPr>
                  </w:pPr>
                  <w:r>
                    <w:rPr>
                      <w:rFonts w:hint="eastAsia"/>
                      <w:color w:val="auto"/>
                      <w:sz w:val="21"/>
                    </w:rPr>
                    <w:t>项目拟在厂区最低处（西南侧）设置1座400m</w:t>
                  </w:r>
                  <w:r>
                    <w:rPr>
                      <w:rFonts w:hint="eastAsia"/>
                      <w:color w:val="auto"/>
                      <w:sz w:val="21"/>
                      <w:vertAlign w:val="superscript"/>
                    </w:rPr>
                    <w:t>3</w:t>
                  </w:r>
                  <w:r>
                    <w:rPr>
                      <w:rFonts w:hint="eastAsia"/>
                      <w:color w:val="auto"/>
                      <w:sz w:val="21"/>
                    </w:rPr>
                    <w:t>事故水池，可满足本项目事故废水的收集。</w:t>
                  </w:r>
                </w:p>
              </w:tc>
              <w:tc>
                <w:tcPr>
                  <w:tcW w:w="1155" w:type="dxa"/>
                  <w:vAlign w:val="center"/>
                </w:tcPr>
                <w:p w14:paraId="64EF3769">
                  <w:pPr>
                    <w:widowControl/>
                    <w:adjustRightInd w:val="0"/>
                    <w:snapToGrid w:val="0"/>
                    <w:spacing w:line="320" w:lineRule="exact"/>
                    <w:jc w:val="center"/>
                    <w:rPr>
                      <w:color w:val="auto"/>
                      <w:sz w:val="21"/>
                      <w:szCs w:val="21"/>
                    </w:rPr>
                  </w:pPr>
                  <w:r>
                    <w:rPr>
                      <w:rFonts w:hint="eastAsia"/>
                      <w:color w:val="auto"/>
                      <w:sz w:val="21"/>
                      <w:szCs w:val="21"/>
                    </w:rPr>
                    <w:t>24</w:t>
                  </w:r>
                </w:p>
              </w:tc>
            </w:tr>
            <w:tr w14:paraId="0ADCD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restart"/>
                  <w:vAlign w:val="center"/>
                </w:tcPr>
                <w:p w14:paraId="62C49455">
                  <w:pPr>
                    <w:widowControl/>
                    <w:adjustRightInd w:val="0"/>
                    <w:snapToGrid w:val="0"/>
                    <w:spacing w:line="320" w:lineRule="exact"/>
                    <w:jc w:val="center"/>
                    <w:rPr>
                      <w:color w:val="auto"/>
                      <w:sz w:val="21"/>
                      <w:szCs w:val="21"/>
                    </w:rPr>
                  </w:pPr>
                  <w:r>
                    <w:rPr>
                      <w:rFonts w:hint="eastAsia"/>
                      <w:color w:val="auto"/>
                      <w:sz w:val="21"/>
                      <w:szCs w:val="21"/>
                    </w:rPr>
                    <w:t>固体废物</w:t>
                  </w:r>
                </w:p>
              </w:tc>
              <w:tc>
                <w:tcPr>
                  <w:tcW w:w="1485" w:type="dxa"/>
                  <w:vAlign w:val="center"/>
                </w:tcPr>
                <w:p w14:paraId="2D42C2E7">
                  <w:pPr>
                    <w:spacing w:line="320" w:lineRule="exact"/>
                    <w:jc w:val="center"/>
                    <w:rPr>
                      <w:color w:val="auto"/>
                      <w:sz w:val="21"/>
                      <w:szCs w:val="21"/>
                    </w:rPr>
                  </w:pPr>
                  <w:r>
                    <w:rPr>
                      <w:rFonts w:hint="eastAsia"/>
                      <w:color w:val="auto"/>
                      <w:sz w:val="21"/>
                      <w:szCs w:val="21"/>
                    </w:rPr>
                    <w:t>卡车维修</w:t>
                  </w:r>
                </w:p>
              </w:tc>
              <w:tc>
                <w:tcPr>
                  <w:tcW w:w="1500" w:type="dxa"/>
                  <w:vAlign w:val="center"/>
                </w:tcPr>
                <w:p w14:paraId="4D852055">
                  <w:pPr>
                    <w:keepNext w:val="0"/>
                    <w:keepLines w:val="0"/>
                    <w:pageBreakBefore w:val="0"/>
                    <w:widowControl/>
                    <w:kinsoku/>
                    <w:wordWrap/>
                    <w:overflowPunct/>
                    <w:topLinePunct w:val="0"/>
                    <w:autoSpaceDE/>
                    <w:autoSpaceDN/>
                    <w:bidi w:val="0"/>
                    <w:adjustRightInd w:val="0"/>
                    <w:snapToGrid w:val="0"/>
                    <w:spacing w:line="320" w:lineRule="exact"/>
                    <w:ind w:left="-48" w:leftChars="-20" w:right="-48" w:rightChars="-20"/>
                    <w:jc w:val="center"/>
                    <w:textAlignment w:val="auto"/>
                    <w:rPr>
                      <w:color w:val="auto"/>
                      <w:sz w:val="21"/>
                      <w:szCs w:val="21"/>
                    </w:rPr>
                  </w:pPr>
                  <w:r>
                    <w:rPr>
                      <w:color w:val="auto"/>
                      <w:sz w:val="21"/>
                      <w:szCs w:val="21"/>
                    </w:rPr>
                    <w:t>废机油、废制动液、废铅酸蓄电池、废机滤</w:t>
                  </w:r>
                </w:p>
              </w:tc>
              <w:tc>
                <w:tcPr>
                  <w:tcW w:w="3570" w:type="dxa"/>
                  <w:vMerge w:val="restart"/>
                  <w:vAlign w:val="center"/>
                </w:tcPr>
                <w:p w14:paraId="45DF069C">
                  <w:pPr>
                    <w:widowControl/>
                    <w:adjustRightInd w:val="0"/>
                    <w:snapToGrid w:val="0"/>
                    <w:spacing w:line="320" w:lineRule="exact"/>
                    <w:jc w:val="center"/>
                    <w:rPr>
                      <w:bCs/>
                      <w:color w:val="auto"/>
                      <w:sz w:val="21"/>
                      <w:szCs w:val="21"/>
                    </w:rPr>
                  </w:pPr>
                  <w:r>
                    <w:rPr>
                      <w:rFonts w:hint="eastAsia"/>
                      <w:color w:val="auto"/>
                      <w:sz w:val="21"/>
                      <w:szCs w:val="21"/>
                    </w:rPr>
                    <w:t>分类暂存于危废库（</w:t>
                  </w:r>
                  <w:r>
                    <w:rPr>
                      <w:rFonts w:hint="eastAsia"/>
                      <w:color w:val="auto"/>
                      <w:sz w:val="21"/>
                      <w:szCs w:val="21"/>
                      <w:lang w:val="en-US" w:eastAsia="zh-CN"/>
                    </w:rPr>
                    <w:t>50</w:t>
                  </w:r>
                  <w:r>
                    <w:rPr>
                      <w:rFonts w:hint="eastAsia"/>
                      <w:color w:val="auto"/>
                      <w:sz w:val="21"/>
                      <w:szCs w:val="21"/>
                    </w:rPr>
                    <w:t>m</w:t>
                  </w:r>
                  <w:r>
                    <w:rPr>
                      <w:rFonts w:hint="eastAsia"/>
                      <w:color w:val="auto"/>
                      <w:sz w:val="21"/>
                      <w:szCs w:val="21"/>
                      <w:vertAlign w:val="superscript"/>
                    </w:rPr>
                    <w:t>2</w:t>
                  </w:r>
                  <w:r>
                    <w:rPr>
                      <w:rFonts w:hint="eastAsia"/>
                      <w:color w:val="auto"/>
                      <w:sz w:val="21"/>
                      <w:szCs w:val="21"/>
                    </w:rPr>
                    <w:t>），定期交由有资质单位处置</w:t>
                  </w:r>
                </w:p>
              </w:tc>
              <w:tc>
                <w:tcPr>
                  <w:tcW w:w="1155" w:type="dxa"/>
                  <w:vMerge w:val="restart"/>
                  <w:vAlign w:val="center"/>
                </w:tcPr>
                <w:p w14:paraId="22E96B0A">
                  <w:pPr>
                    <w:widowControl/>
                    <w:adjustRightInd w:val="0"/>
                    <w:snapToGrid w:val="0"/>
                    <w:spacing w:line="320" w:lineRule="exact"/>
                    <w:jc w:val="center"/>
                    <w:rPr>
                      <w:color w:val="auto"/>
                      <w:sz w:val="21"/>
                      <w:szCs w:val="21"/>
                    </w:rPr>
                  </w:pPr>
                  <w:r>
                    <w:rPr>
                      <w:rFonts w:hint="eastAsia"/>
                      <w:color w:val="auto"/>
                      <w:sz w:val="21"/>
                      <w:szCs w:val="21"/>
                      <w:lang w:val="en-US" w:eastAsia="zh-CN"/>
                    </w:rPr>
                    <w:t>3</w:t>
                  </w:r>
                  <w:r>
                    <w:rPr>
                      <w:rFonts w:hint="eastAsia"/>
                      <w:color w:val="auto"/>
                      <w:sz w:val="21"/>
                      <w:szCs w:val="21"/>
                    </w:rPr>
                    <w:t>0</w:t>
                  </w:r>
                </w:p>
              </w:tc>
            </w:tr>
            <w:tr w14:paraId="513E0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continue"/>
                  <w:vAlign w:val="center"/>
                </w:tcPr>
                <w:p w14:paraId="3C78A059">
                  <w:pPr>
                    <w:widowControl/>
                    <w:adjustRightInd w:val="0"/>
                    <w:snapToGrid w:val="0"/>
                    <w:spacing w:line="320" w:lineRule="exact"/>
                    <w:jc w:val="center"/>
                    <w:rPr>
                      <w:color w:val="auto"/>
                      <w:sz w:val="21"/>
                      <w:szCs w:val="21"/>
                    </w:rPr>
                  </w:pPr>
                </w:p>
              </w:tc>
              <w:tc>
                <w:tcPr>
                  <w:tcW w:w="1485" w:type="dxa"/>
                  <w:vAlign w:val="center"/>
                </w:tcPr>
                <w:p w14:paraId="3604628D">
                  <w:pPr>
                    <w:spacing w:line="320" w:lineRule="exact"/>
                    <w:jc w:val="center"/>
                    <w:rPr>
                      <w:rFonts w:hint="default" w:eastAsia="宋体"/>
                      <w:color w:val="auto"/>
                      <w:sz w:val="21"/>
                      <w:szCs w:val="21"/>
                      <w:lang w:val="en-US" w:eastAsia="zh-CN"/>
                    </w:rPr>
                  </w:pPr>
                  <w:r>
                    <w:rPr>
                      <w:rFonts w:hint="eastAsia"/>
                      <w:color w:val="auto"/>
                      <w:sz w:val="21"/>
                      <w:szCs w:val="21"/>
                      <w:lang w:val="en-US" w:eastAsia="zh-CN"/>
                    </w:rPr>
                    <w:t>废水处理</w:t>
                  </w:r>
                </w:p>
              </w:tc>
              <w:tc>
                <w:tcPr>
                  <w:tcW w:w="1500" w:type="dxa"/>
                  <w:vAlign w:val="center"/>
                </w:tcPr>
                <w:p w14:paraId="2FF81F8E">
                  <w:pPr>
                    <w:widowControl/>
                    <w:adjustRightInd w:val="0"/>
                    <w:snapToGrid w:val="0"/>
                    <w:spacing w:line="320" w:lineRule="exact"/>
                    <w:jc w:val="center"/>
                    <w:rPr>
                      <w:rFonts w:hint="default" w:eastAsia="宋体"/>
                      <w:color w:val="auto"/>
                      <w:sz w:val="21"/>
                      <w:szCs w:val="21"/>
                      <w:lang w:val="en-US" w:eastAsia="zh-CN"/>
                    </w:rPr>
                  </w:pPr>
                  <w:r>
                    <w:rPr>
                      <w:rFonts w:hint="eastAsia"/>
                      <w:color w:val="auto"/>
                      <w:sz w:val="21"/>
                      <w:szCs w:val="21"/>
                      <w:lang w:val="en-US" w:eastAsia="zh-CN"/>
                    </w:rPr>
                    <w:t>废油、污泥、废膜</w:t>
                  </w:r>
                </w:p>
              </w:tc>
              <w:tc>
                <w:tcPr>
                  <w:tcW w:w="3570" w:type="dxa"/>
                  <w:vMerge w:val="continue"/>
                  <w:vAlign w:val="center"/>
                </w:tcPr>
                <w:p w14:paraId="699BE234">
                  <w:pPr>
                    <w:pStyle w:val="96"/>
                    <w:spacing w:line="320" w:lineRule="exact"/>
                    <w:rPr>
                      <w:rFonts w:hint="eastAsia"/>
                      <w:color w:val="auto"/>
                    </w:rPr>
                  </w:pPr>
                </w:p>
              </w:tc>
              <w:tc>
                <w:tcPr>
                  <w:tcW w:w="1155" w:type="dxa"/>
                  <w:vMerge w:val="continue"/>
                  <w:vAlign w:val="center"/>
                </w:tcPr>
                <w:p w14:paraId="19AA8EAB">
                  <w:pPr>
                    <w:widowControl/>
                    <w:adjustRightInd w:val="0"/>
                    <w:snapToGrid w:val="0"/>
                    <w:spacing w:line="320" w:lineRule="exact"/>
                    <w:jc w:val="center"/>
                    <w:rPr>
                      <w:rFonts w:hint="eastAsia"/>
                      <w:color w:val="auto"/>
                      <w:sz w:val="21"/>
                      <w:szCs w:val="21"/>
                    </w:rPr>
                  </w:pPr>
                </w:p>
              </w:tc>
            </w:tr>
            <w:tr w14:paraId="00120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continue"/>
                  <w:vAlign w:val="center"/>
                </w:tcPr>
                <w:p w14:paraId="5DAD8247">
                  <w:pPr>
                    <w:widowControl/>
                    <w:adjustRightInd w:val="0"/>
                    <w:snapToGrid w:val="0"/>
                    <w:spacing w:line="320" w:lineRule="exact"/>
                    <w:jc w:val="center"/>
                    <w:rPr>
                      <w:color w:val="auto"/>
                      <w:sz w:val="21"/>
                      <w:szCs w:val="21"/>
                    </w:rPr>
                  </w:pPr>
                </w:p>
              </w:tc>
              <w:tc>
                <w:tcPr>
                  <w:tcW w:w="1485" w:type="dxa"/>
                  <w:vMerge w:val="restart"/>
                  <w:shd w:val="clear" w:color="auto" w:fill="auto"/>
                  <w:vAlign w:val="center"/>
                </w:tcPr>
                <w:p w14:paraId="421202A9">
                  <w:pPr>
                    <w:spacing w:line="320" w:lineRule="exact"/>
                    <w:jc w:val="center"/>
                    <w:rPr>
                      <w:rFonts w:ascii="Times New Roman" w:hAnsi="Times New Roman" w:eastAsia="宋体" w:cs="Times New Roman"/>
                      <w:color w:val="auto"/>
                      <w:kern w:val="2"/>
                      <w:sz w:val="21"/>
                      <w:szCs w:val="21"/>
                      <w:lang w:val="en-US" w:eastAsia="zh-CN" w:bidi="ar-SA"/>
                    </w:rPr>
                  </w:pPr>
                  <w:r>
                    <w:rPr>
                      <w:rFonts w:hint="eastAsia"/>
                      <w:color w:val="auto"/>
                      <w:sz w:val="21"/>
                      <w:szCs w:val="21"/>
                    </w:rPr>
                    <w:t>卡车维修</w:t>
                  </w:r>
                </w:p>
              </w:tc>
              <w:tc>
                <w:tcPr>
                  <w:tcW w:w="1500" w:type="dxa"/>
                  <w:shd w:val="clear" w:color="auto" w:fill="auto"/>
                  <w:vAlign w:val="center"/>
                </w:tcPr>
                <w:p w14:paraId="18E99CED">
                  <w:pPr>
                    <w:widowControl/>
                    <w:adjustRightInd w:val="0"/>
                    <w:snapToGrid w:val="0"/>
                    <w:spacing w:line="320" w:lineRule="exact"/>
                    <w:jc w:val="center"/>
                    <w:rPr>
                      <w:rFonts w:hint="default" w:eastAsia="宋体"/>
                      <w:color w:val="auto"/>
                      <w:sz w:val="21"/>
                      <w:szCs w:val="21"/>
                      <w:lang w:val="en-US" w:eastAsia="zh-CN" w:bidi="ar"/>
                    </w:rPr>
                  </w:pPr>
                  <w:r>
                    <w:rPr>
                      <w:rFonts w:hint="eastAsia"/>
                      <w:color w:val="auto"/>
                      <w:sz w:val="21"/>
                      <w:szCs w:val="21"/>
                      <w:lang w:val="en-US" w:eastAsia="zh-CN" w:bidi="ar"/>
                    </w:rPr>
                    <w:t>沾染油污的废零部件</w:t>
                  </w:r>
                </w:p>
              </w:tc>
              <w:tc>
                <w:tcPr>
                  <w:tcW w:w="3570" w:type="dxa"/>
                  <w:vMerge w:val="continue"/>
                  <w:tcBorders>
                    <w:bottom w:val="single" w:color="auto" w:sz="4" w:space="0"/>
                  </w:tcBorders>
                  <w:shd w:val="clear" w:color="auto" w:fill="auto"/>
                  <w:vAlign w:val="center"/>
                </w:tcPr>
                <w:p w14:paraId="467A6FB3">
                  <w:pPr>
                    <w:pStyle w:val="96"/>
                    <w:spacing w:line="320" w:lineRule="exact"/>
                    <w:rPr>
                      <w:rFonts w:hint="eastAsia"/>
                      <w:color w:val="auto"/>
                    </w:rPr>
                  </w:pPr>
                </w:p>
              </w:tc>
              <w:tc>
                <w:tcPr>
                  <w:tcW w:w="1155" w:type="dxa"/>
                  <w:vMerge w:val="continue"/>
                  <w:tcBorders>
                    <w:bottom w:val="single" w:color="auto" w:sz="4" w:space="0"/>
                  </w:tcBorders>
                  <w:shd w:val="clear" w:color="auto" w:fill="auto"/>
                  <w:vAlign w:val="center"/>
                </w:tcPr>
                <w:p w14:paraId="6BF6E18D">
                  <w:pPr>
                    <w:widowControl/>
                    <w:adjustRightInd w:val="0"/>
                    <w:snapToGrid w:val="0"/>
                    <w:spacing w:line="320" w:lineRule="exact"/>
                    <w:jc w:val="center"/>
                    <w:rPr>
                      <w:rFonts w:hint="eastAsia"/>
                      <w:color w:val="auto"/>
                      <w:sz w:val="21"/>
                      <w:szCs w:val="21"/>
                    </w:rPr>
                  </w:pPr>
                </w:p>
              </w:tc>
            </w:tr>
            <w:tr w14:paraId="24116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continue"/>
                  <w:vAlign w:val="center"/>
                </w:tcPr>
                <w:p w14:paraId="1A56FCC2">
                  <w:pPr>
                    <w:widowControl/>
                    <w:adjustRightInd w:val="0"/>
                    <w:snapToGrid w:val="0"/>
                    <w:spacing w:line="320" w:lineRule="exact"/>
                    <w:jc w:val="center"/>
                    <w:rPr>
                      <w:color w:val="auto"/>
                      <w:sz w:val="21"/>
                      <w:szCs w:val="21"/>
                    </w:rPr>
                  </w:pPr>
                </w:p>
              </w:tc>
              <w:tc>
                <w:tcPr>
                  <w:tcW w:w="1485" w:type="dxa"/>
                  <w:vMerge w:val="continue"/>
                  <w:shd w:val="clear" w:color="auto" w:fill="auto"/>
                  <w:vAlign w:val="center"/>
                </w:tcPr>
                <w:p w14:paraId="726434E3">
                  <w:pPr>
                    <w:spacing w:line="320" w:lineRule="exact"/>
                    <w:jc w:val="center"/>
                    <w:rPr>
                      <w:rFonts w:ascii="Times New Roman" w:hAnsi="Times New Roman" w:eastAsia="宋体" w:cs="Times New Roman"/>
                      <w:color w:val="auto"/>
                      <w:kern w:val="2"/>
                      <w:sz w:val="21"/>
                      <w:szCs w:val="21"/>
                      <w:lang w:val="en-US" w:eastAsia="zh-CN" w:bidi="ar-SA"/>
                    </w:rPr>
                  </w:pPr>
                </w:p>
              </w:tc>
              <w:tc>
                <w:tcPr>
                  <w:tcW w:w="1500" w:type="dxa"/>
                  <w:shd w:val="clear" w:color="auto" w:fill="auto"/>
                  <w:vAlign w:val="center"/>
                </w:tcPr>
                <w:p w14:paraId="3CD74C95">
                  <w:pPr>
                    <w:widowControl/>
                    <w:adjustRightInd w:val="0"/>
                    <w:snapToGrid w:val="0"/>
                    <w:spacing w:line="320" w:lineRule="exact"/>
                    <w:jc w:val="center"/>
                    <w:rPr>
                      <w:rFonts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bidi="ar"/>
                    </w:rPr>
                    <w:t>未沾染油污的</w:t>
                  </w:r>
                  <w:r>
                    <w:rPr>
                      <w:rFonts w:hint="eastAsia"/>
                      <w:color w:val="auto"/>
                      <w:sz w:val="21"/>
                      <w:szCs w:val="21"/>
                      <w:lang w:bidi="ar"/>
                    </w:rPr>
                    <w:t>废零部件</w:t>
                  </w:r>
                </w:p>
              </w:tc>
              <w:tc>
                <w:tcPr>
                  <w:tcW w:w="3570" w:type="dxa"/>
                  <w:tcBorders>
                    <w:bottom w:val="single" w:color="auto" w:sz="4" w:space="0"/>
                  </w:tcBorders>
                  <w:shd w:val="clear" w:color="auto" w:fill="auto"/>
                  <w:vAlign w:val="center"/>
                </w:tcPr>
                <w:p w14:paraId="224A6431">
                  <w:pPr>
                    <w:pStyle w:val="96"/>
                    <w:spacing w:line="320" w:lineRule="exact"/>
                    <w:rPr>
                      <w:rFonts w:ascii="Times New Roman" w:hAnsi="Times New Roman" w:eastAsia="宋体" w:cs="Times New Roman"/>
                      <w:color w:val="auto"/>
                      <w:kern w:val="2"/>
                      <w:sz w:val="21"/>
                      <w:szCs w:val="21"/>
                      <w:lang w:val="en-US" w:eastAsia="zh-CN" w:bidi="ar"/>
                    </w:rPr>
                  </w:pPr>
                  <w:r>
                    <w:rPr>
                      <w:rFonts w:hint="eastAsia"/>
                      <w:color w:val="auto"/>
                    </w:rPr>
                    <w:t>暂存于一般固废暂存间（20m</w:t>
                  </w:r>
                  <w:r>
                    <w:rPr>
                      <w:rFonts w:hint="eastAsia"/>
                      <w:color w:val="auto"/>
                      <w:vertAlign w:val="superscript"/>
                    </w:rPr>
                    <w:t>2</w:t>
                  </w:r>
                  <w:r>
                    <w:rPr>
                      <w:rFonts w:hint="eastAsia"/>
                      <w:color w:val="auto"/>
                    </w:rPr>
                    <w:t>），收</w:t>
                  </w:r>
                  <w:r>
                    <w:rPr>
                      <w:color w:val="auto"/>
                    </w:rPr>
                    <w:t>集后外售废品回收公司综合利用</w:t>
                  </w:r>
                </w:p>
              </w:tc>
              <w:tc>
                <w:tcPr>
                  <w:tcW w:w="1155" w:type="dxa"/>
                  <w:tcBorders>
                    <w:bottom w:val="single" w:color="auto" w:sz="4" w:space="0"/>
                  </w:tcBorders>
                  <w:shd w:val="clear" w:color="auto" w:fill="auto"/>
                  <w:vAlign w:val="center"/>
                </w:tcPr>
                <w:p w14:paraId="7BDD3BF9">
                  <w:pPr>
                    <w:widowControl/>
                    <w:adjustRightInd w:val="0"/>
                    <w:snapToGrid w:val="0"/>
                    <w:spacing w:line="320" w:lineRule="exact"/>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5</w:t>
                  </w:r>
                </w:p>
              </w:tc>
            </w:tr>
            <w:tr w14:paraId="72E97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continue"/>
                  <w:vAlign w:val="center"/>
                </w:tcPr>
                <w:p w14:paraId="178B3D4C">
                  <w:pPr>
                    <w:widowControl/>
                    <w:adjustRightInd w:val="0"/>
                    <w:snapToGrid w:val="0"/>
                    <w:spacing w:line="320" w:lineRule="exact"/>
                    <w:jc w:val="center"/>
                    <w:rPr>
                      <w:color w:val="auto"/>
                      <w:sz w:val="21"/>
                      <w:szCs w:val="21"/>
                    </w:rPr>
                  </w:pPr>
                </w:p>
              </w:tc>
              <w:tc>
                <w:tcPr>
                  <w:tcW w:w="1485" w:type="dxa"/>
                  <w:shd w:val="clear" w:color="auto" w:fill="auto"/>
                  <w:vAlign w:val="center"/>
                </w:tcPr>
                <w:p w14:paraId="41567567">
                  <w:pPr>
                    <w:spacing w:line="320" w:lineRule="exact"/>
                    <w:jc w:val="center"/>
                    <w:rPr>
                      <w:rFonts w:ascii="Times New Roman" w:hAnsi="Times New Roman" w:eastAsia="宋体" w:cs="Times New Roman"/>
                      <w:color w:val="auto"/>
                      <w:kern w:val="2"/>
                      <w:sz w:val="21"/>
                      <w:szCs w:val="21"/>
                      <w:lang w:val="en-US" w:eastAsia="zh-CN" w:bidi="ar-SA"/>
                    </w:rPr>
                  </w:pPr>
                  <w:r>
                    <w:rPr>
                      <w:rFonts w:hint="eastAsia"/>
                      <w:color w:val="auto"/>
                      <w:sz w:val="21"/>
                      <w:szCs w:val="21"/>
                    </w:rPr>
                    <w:t>磁选机</w:t>
                  </w:r>
                </w:p>
              </w:tc>
              <w:tc>
                <w:tcPr>
                  <w:tcW w:w="1500" w:type="dxa"/>
                  <w:shd w:val="clear" w:color="auto" w:fill="auto"/>
                  <w:vAlign w:val="center"/>
                </w:tcPr>
                <w:p w14:paraId="0E6E4153">
                  <w:pPr>
                    <w:widowControl/>
                    <w:adjustRightInd w:val="0"/>
                    <w:snapToGrid w:val="0"/>
                    <w:spacing w:line="320" w:lineRule="exact"/>
                    <w:jc w:val="center"/>
                    <w:rPr>
                      <w:rFonts w:ascii="Times New Roman" w:hAnsi="Times New Roman" w:eastAsia="宋体" w:cs="Times New Roman"/>
                      <w:color w:val="auto"/>
                      <w:kern w:val="2"/>
                      <w:sz w:val="21"/>
                      <w:szCs w:val="21"/>
                      <w:lang w:val="en-US" w:eastAsia="zh-CN" w:bidi="ar-SA"/>
                    </w:rPr>
                  </w:pPr>
                  <w:r>
                    <w:rPr>
                      <w:rFonts w:hint="eastAsia"/>
                      <w:color w:val="auto"/>
                      <w:sz w:val="21"/>
                      <w:szCs w:val="21"/>
                    </w:rPr>
                    <w:t>非磁性物质</w:t>
                  </w:r>
                </w:p>
              </w:tc>
              <w:tc>
                <w:tcPr>
                  <w:tcW w:w="3570" w:type="dxa"/>
                  <w:tcBorders>
                    <w:top w:val="single" w:color="auto" w:sz="4" w:space="0"/>
                  </w:tcBorders>
                  <w:shd w:val="clear" w:color="auto" w:fill="auto"/>
                  <w:vAlign w:val="center"/>
                </w:tcPr>
                <w:p w14:paraId="699EADF7">
                  <w:pPr>
                    <w:pStyle w:val="96"/>
                    <w:spacing w:line="320" w:lineRule="exact"/>
                    <w:rPr>
                      <w:rFonts w:ascii="Times New Roman" w:hAnsi="Times New Roman" w:eastAsia="宋体" w:cs="Times New Roman"/>
                      <w:color w:val="auto"/>
                      <w:kern w:val="2"/>
                      <w:sz w:val="21"/>
                      <w:szCs w:val="21"/>
                      <w:lang w:val="en-US" w:eastAsia="zh-CN" w:bidi="ar"/>
                    </w:rPr>
                  </w:pPr>
                  <w:r>
                    <w:rPr>
                      <w:rFonts w:hint="eastAsia"/>
                      <w:color w:val="auto"/>
                    </w:rPr>
                    <w:t>暂存于</w:t>
                  </w:r>
                  <w:r>
                    <w:rPr>
                      <w:rFonts w:hint="eastAsia"/>
                      <w:color w:val="auto"/>
                      <w:lang w:val="en-US" w:eastAsia="zh-CN"/>
                    </w:rPr>
                    <w:t>废钢储存库房</w:t>
                  </w:r>
                  <w:r>
                    <w:rPr>
                      <w:rFonts w:hint="eastAsia"/>
                      <w:color w:val="auto"/>
                    </w:rPr>
                    <w:t>，收</w:t>
                  </w:r>
                  <w:r>
                    <w:rPr>
                      <w:color w:val="auto"/>
                    </w:rPr>
                    <w:t>集后外售废品回收公司综合利用</w:t>
                  </w:r>
                </w:p>
              </w:tc>
              <w:tc>
                <w:tcPr>
                  <w:tcW w:w="1155" w:type="dxa"/>
                  <w:tcBorders>
                    <w:top w:val="single" w:color="auto" w:sz="4" w:space="0"/>
                  </w:tcBorders>
                  <w:shd w:val="clear" w:color="auto" w:fill="auto"/>
                  <w:vAlign w:val="center"/>
                </w:tcPr>
                <w:p w14:paraId="317F2C84">
                  <w:pPr>
                    <w:widowControl/>
                    <w:adjustRightInd w:val="0"/>
                    <w:snapToGrid w:val="0"/>
                    <w:spacing w:line="320" w:lineRule="exact"/>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w:t>
                  </w:r>
                </w:p>
              </w:tc>
            </w:tr>
            <w:tr w14:paraId="50720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continue"/>
                  <w:vAlign w:val="center"/>
                </w:tcPr>
                <w:p w14:paraId="0CF7A972">
                  <w:pPr>
                    <w:widowControl/>
                    <w:adjustRightInd w:val="0"/>
                    <w:snapToGrid w:val="0"/>
                    <w:spacing w:line="320" w:lineRule="exact"/>
                    <w:jc w:val="center"/>
                    <w:rPr>
                      <w:color w:val="auto"/>
                      <w:sz w:val="21"/>
                      <w:szCs w:val="21"/>
                    </w:rPr>
                  </w:pPr>
                </w:p>
              </w:tc>
              <w:tc>
                <w:tcPr>
                  <w:tcW w:w="1485" w:type="dxa"/>
                  <w:vAlign w:val="center"/>
                </w:tcPr>
                <w:p w14:paraId="0AEE4481">
                  <w:pPr>
                    <w:spacing w:line="320" w:lineRule="exact"/>
                    <w:jc w:val="center"/>
                    <w:rPr>
                      <w:color w:val="auto"/>
                      <w:sz w:val="21"/>
                      <w:szCs w:val="21"/>
                    </w:rPr>
                  </w:pPr>
                  <w:r>
                    <w:rPr>
                      <w:rFonts w:hint="eastAsia"/>
                      <w:color w:val="auto"/>
                      <w:sz w:val="21"/>
                      <w:szCs w:val="21"/>
                      <w:lang w:bidi="ar"/>
                    </w:rPr>
                    <w:t>废气治理</w:t>
                  </w:r>
                </w:p>
              </w:tc>
              <w:tc>
                <w:tcPr>
                  <w:tcW w:w="1500" w:type="dxa"/>
                  <w:vAlign w:val="center"/>
                </w:tcPr>
                <w:p w14:paraId="24C42DE8">
                  <w:pPr>
                    <w:widowControl/>
                    <w:adjustRightInd w:val="0"/>
                    <w:snapToGrid w:val="0"/>
                    <w:spacing w:line="320" w:lineRule="exact"/>
                    <w:jc w:val="center"/>
                    <w:rPr>
                      <w:color w:val="auto"/>
                      <w:sz w:val="21"/>
                      <w:szCs w:val="21"/>
                    </w:rPr>
                  </w:pPr>
                  <w:r>
                    <w:rPr>
                      <w:color w:val="auto"/>
                      <w:sz w:val="21"/>
                      <w:szCs w:val="21"/>
                    </w:rPr>
                    <w:t>除尘器</w:t>
                  </w:r>
                </w:p>
                <w:p w14:paraId="5655A5A6">
                  <w:pPr>
                    <w:widowControl/>
                    <w:adjustRightInd w:val="0"/>
                    <w:snapToGrid w:val="0"/>
                    <w:spacing w:line="320" w:lineRule="exact"/>
                    <w:jc w:val="center"/>
                    <w:rPr>
                      <w:color w:val="auto"/>
                      <w:sz w:val="21"/>
                      <w:szCs w:val="21"/>
                    </w:rPr>
                  </w:pPr>
                  <w:r>
                    <w:rPr>
                      <w:color w:val="auto"/>
                      <w:sz w:val="21"/>
                      <w:szCs w:val="21"/>
                    </w:rPr>
                    <w:t>收集粉尘</w:t>
                  </w:r>
                </w:p>
              </w:tc>
              <w:tc>
                <w:tcPr>
                  <w:tcW w:w="3570" w:type="dxa"/>
                  <w:vAlign w:val="center"/>
                </w:tcPr>
                <w:p w14:paraId="4C969ED4">
                  <w:pPr>
                    <w:pStyle w:val="96"/>
                    <w:spacing w:line="320" w:lineRule="exact"/>
                    <w:rPr>
                      <w:rFonts w:cs="Times New Roman"/>
                      <w:color w:val="auto"/>
                      <w:lang w:bidi="ar"/>
                    </w:rPr>
                  </w:pPr>
                  <w:r>
                    <w:rPr>
                      <w:rFonts w:hint="eastAsia"/>
                      <w:color w:val="auto"/>
                    </w:rPr>
                    <w:t>返回生产原料使用</w:t>
                  </w:r>
                </w:p>
              </w:tc>
              <w:tc>
                <w:tcPr>
                  <w:tcW w:w="1155" w:type="dxa"/>
                  <w:vAlign w:val="center"/>
                </w:tcPr>
                <w:p w14:paraId="31672118">
                  <w:pPr>
                    <w:widowControl/>
                    <w:adjustRightInd w:val="0"/>
                    <w:snapToGrid w:val="0"/>
                    <w:spacing w:line="320" w:lineRule="exact"/>
                    <w:jc w:val="center"/>
                    <w:rPr>
                      <w:color w:val="auto"/>
                      <w:sz w:val="21"/>
                      <w:szCs w:val="21"/>
                    </w:rPr>
                  </w:pPr>
                  <w:r>
                    <w:rPr>
                      <w:rFonts w:hint="eastAsia"/>
                      <w:color w:val="auto"/>
                      <w:sz w:val="21"/>
                      <w:szCs w:val="21"/>
                    </w:rPr>
                    <w:t>/</w:t>
                  </w:r>
                </w:p>
              </w:tc>
            </w:tr>
            <w:tr w14:paraId="4C087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Merge w:val="continue"/>
                  <w:vAlign w:val="center"/>
                </w:tcPr>
                <w:p w14:paraId="5D446923">
                  <w:pPr>
                    <w:widowControl/>
                    <w:adjustRightInd w:val="0"/>
                    <w:snapToGrid w:val="0"/>
                    <w:spacing w:line="320" w:lineRule="exact"/>
                    <w:jc w:val="center"/>
                    <w:rPr>
                      <w:color w:val="auto"/>
                      <w:sz w:val="21"/>
                      <w:szCs w:val="21"/>
                    </w:rPr>
                  </w:pPr>
                </w:p>
              </w:tc>
              <w:tc>
                <w:tcPr>
                  <w:tcW w:w="1485" w:type="dxa"/>
                  <w:vAlign w:val="center"/>
                </w:tcPr>
                <w:p w14:paraId="03191B22">
                  <w:pPr>
                    <w:spacing w:line="320" w:lineRule="exact"/>
                    <w:jc w:val="center"/>
                    <w:rPr>
                      <w:color w:val="auto"/>
                      <w:sz w:val="21"/>
                      <w:szCs w:val="21"/>
                    </w:rPr>
                  </w:pPr>
                  <w:r>
                    <w:rPr>
                      <w:color w:val="auto"/>
                      <w:sz w:val="21"/>
                      <w:szCs w:val="21"/>
                      <w:lang w:bidi="ar"/>
                    </w:rPr>
                    <w:t>生活垃圾</w:t>
                  </w:r>
                </w:p>
              </w:tc>
              <w:tc>
                <w:tcPr>
                  <w:tcW w:w="1500" w:type="dxa"/>
                  <w:vAlign w:val="center"/>
                </w:tcPr>
                <w:p w14:paraId="4DBAD486">
                  <w:pPr>
                    <w:widowControl/>
                    <w:adjustRightInd w:val="0"/>
                    <w:snapToGrid w:val="0"/>
                    <w:spacing w:line="320" w:lineRule="exact"/>
                    <w:jc w:val="center"/>
                    <w:rPr>
                      <w:color w:val="auto"/>
                      <w:spacing w:val="-14"/>
                      <w:sz w:val="21"/>
                      <w:szCs w:val="21"/>
                    </w:rPr>
                  </w:pPr>
                  <w:r>
                    <w:rPr>
                      <w:color w:val="auto"/>
                      <w:sz w:val="21"/>
                      <w:szCs w:val="21"/>
                    </w:rPr>
                    <w:t>生活垃圾</w:t>
                  </w:r>
                </w:p>
              </w:tc>
              <w:tc>
                <w:tcPr>
                  <w:tcW w:w="3570" w:type="dxa"/>
                  <w:vAlign w:val="center"/>
                </w:tcPr>
                <w:p w14:paraId="62663C65">
                  <w:pPr>
                    <w:pStyle w:val="96"/>
                    <w:spacing w:line="320" w:lineRule="exact"/>
                    <w:rPr>
                      <w:rFonts w:cs="Times New Roman"/>
                      <w:bCs/>
                      <w:color w:val="auto"/>
                    </w:rPr>
                  </w:pPr>
                  <w:r>
                    <w:rPr>
                      <w:rFonts w:hint="eastAsia"/>
                      <w:color w:val="auto"/>
                    </w:rPr>
                    <w:t>交由</w:t>
                  </w:r>
                  <w:r>
                    <w:rPr>
                      <w:color w:val="auto"/>
                    </w:rPr>
                    <w:t>环卫部门清运</w:t>
                  </w:r>
                </w:p>
              </w:tc>
              <w:tc>
                <w:tcPr>
                  <w:tcW w:w="1155" w:type="dxa"/>
                  <w:vAlign w:val="center"/>
                </w:tcPr>
                <w:p w14:paraId="15437D9A">
                  <w:pPr>
                    <w:widowControl/>
                    <w:adjustRightInd w:val="0"/>
                    <w:snapToGrid w:val="0"/>
                    <w:spacing w:line="320" w:lineRule="exact"/>
                    <w:jc w:val="center"/>
                    <w:rPr>
                      <w:color w:val="auto"/>
                      <w:sz w:val="21"/>
                      <w:szCs w:val="21"/>
                    </w:rPr>
                  </w:pPr>
                  <w:r>
                    <w:rPr>
                      <w:color w:val="auto"/>
                      <w:sz w:val="21"/>
                      <w:szCs w:val="21"/>
                    </w:rPr>
                    <w:t>0.</w:t>
                  </w:r>
                  <w:r>
                    <w:rPr>
                      <w:rFonts w:hint="eastAsia"/>
                      <w:color w:val="auto"/>
                      <w:sz w:val="21"/>
                      <w:szCs w:val="21"/>
                    </w:rPr>
                    <w:t>5</w:t>
                  </w:r>
                </w:p>
              </w:tc>
            </w:tr>
            <w:tr w14:paraId="0A963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Align w:val="center"/>
                </w:tcPr>
                <w:p w14:paraId="7AA8E56E">
                  <w:pPr>
                    <w:widowControl/>
                    <w:adjustRightInd w:val="0"/>
                    <w:snapToGrid w:val="0"/>
                    <w:spacing w:line="320" w:lineRule="exact"/>
                    <w:jc w:val="center"/>
                    <w:rPr>
                      <w:color w:val="auto"/>
                      <w:sz w:val="21"/>
                      <w:szCs w:val="21"/>
                    </w:rPr>
                  </w:pPr>
                  <w:r>
                    <w:rPr>
                      <w:color w:val="auto"/>
                      <w:sz w:val="21"/>
                      <w:szCs w:val="21"/>
                    </w:rPr>
                    <w:t>噪声</w:t>
                  </w:r>
                </w:p>
              </w:tc>
              <w:tc>
                <w:tcPr>
                  <w:tcW w:w="1485" w:type="dxa"/>
                  <w:vAlign w:val="center"/>
                </w:tcPr>
                <w:p w14:paraId="698A4455">
                  <w:pPr>
                    <w:widowControl/>
                    <w:adjustRightInd w:val="0"/>
                    <w:snapToGrid w:val="0"/>
                    <w:spacing w:line="320" w:lineRule="exact"/>
                    <w:jc w:val="center"/>
                    <w:rPr>
                      <w:bCs/>
                      <w:color w:val="auto"/>
                      <w:sz w:val="21"/>
                      <w:szCs w:val="21"/>
                    </w:rPr>
                  </w:pPr>
                  <w:r>
                    <w:rPr>
                      <w:color w:val="auto"/>
                      <w:sz w:val="21"/>
                      <w:szCs w:val="21"/>
                    </w:rPr>
                    <w:t>破碎机、剪断机等</w:t>
                  </w:r>
                  <w:r>
                    <w:rPr>
                      <w:rFonts w:hint="eastAsia"/>
                      <w:color w:val="auto"/>
                      <w:sz w:val="21"/>
                      <w:szCs w:val="21"/>
                    </w:rPr>
                    <w:t>设备</w:t>
                  </w:r>
                </w:p>
              </w:tc>
              <w:tc>
                <w:tcPr>
                  <w:tcW w:w="1500" w:type="dxa"/>
                  <w:vAlign w:val="center"/>
                </w:tcPr>
                <w:p w14:paraId="70B532E5">
                  <w:pPr>
                    <w:widowControl/>
                    <w:adjustRightInd w:val="0"/>
                    <w:snapToGrid w:val="0"/>
                    <w:spacing w:line="320" w:lineRule="exact"/>
                    <w:jc w:val="center"/>
                    <w:rPr>
                      <w:color w:val="auto"/>
                      <w:sz w:val="21"/>
                      <w:szCs w:val="21"/>
                    </w:rPr>
                  </w:pPr>
                  <w:r>
                    <w:rPr>
                      <w:color w:val="auto"/>
                      <w:sz w:val="21"/>
                      <w:szCs w:val="21"/>
                    </w:rPr>
                    <w:t>噪声</w:t>
                  </w:r>
                </w:p>
              </w:tc>
              <w:tc>
                <w:tcPr>
                  <w:tcW w:w="3570" w:type="dxa"/>
                  <w:vAlign w:val="center"/>
                </w:tcPr>
                <w:p w14:paraId="79C89554">
                  <w:pPr>
                    <w:widowControl/>
                    <w:adjustRightInd w:val="0"/>
                    <w:snapToGrid w:val="0"/>
                    <w:spacing w:line="320" w:lineRule="exact"/>
                    <w:jc w:val="center"/>
                    <w:rPr>
                      <w:color w:val="auto"/>
                      <w:sz w:val="21"/>
                      <w:szCs w:val="21"/>
                    </w:rPr>
                  </w:pPr>
                  <w:r>
                    <w:rPr>
                      <w:color w:val="auto"/>
                      <w:sz w:val="21"/>
                      <w:szCs w:val="21"/>
                    </w:rPr>
                    <w:t>厂房隔声、基础减</w:t>
                  </w:r>
                  <w:r>
                    <w:rPr>
                      <w:rFonts w:hint="eastAsia"/>
                      <w:color w:val="auto"/>
                      <w:sz w:val="21"/>
                      <w:szCs w:val="21"/>
                    </w:rPr>
                    <w:t>振</w:t>
                  </w:r>
                  <w:r>
                    <w:rPr>
                      <w:color w:val="auto"/>
                      <w:sz w:val="21"/>
                      <w:szCs w:val="21"/>
                    </w:rPr>
                    <w:t>等</w:t>
                  </w:r>
                </w:p>
              </w:tc>
              <w:tc>
                <w:tcPr>
                  <w:tcW w:w="1155" w:type="dxa"/>
                  <w:vAlign w:val="center"/>
                </w:tcPr>
                <w:p w14:paraId="246954F6">
                  <w:pPr>
                    <w:widowControl/>
                    <w:adjustRightInd w:val="0"/>
                    <w:snapToGrid w:val="0"/>
                    <w:spacing w:line="320" w:lineRule="exact"/>
                    <w:jc w:val="center"/>
                    <w:rPr>
                      <w:color w:val="auto"/>
                      <w:sz w:val="21"/>
                      <w:szCs w:val="21"/>
                    </w:rPr>
                  </w:pPr>
                  <w:r>
                    <w:rPr>
                      <w:color w:val="auto"/>
                      <w:sz w:val="21"/>
                      <w:szCs w:val="21"/>
                    </w:rPr>
                    <w:t>5</w:t>
                  </w:r>
                </w:p>
              </w:tc>
            </w:tr>
            <w:tr w14:paraId="731E9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3" w:type="dxa"/>
                  <w:vAlign w:val="center"/>
                </w:tcPr>
                <w:p w14:paraId="0B9BDE93">
                  <w:pPr>
                    <w:widowControl/>
                    <w:adjustRightInd w:val="0"/>
                    <w:snapToGrid w:val="0"/>
                    <w:spacing w:line="320" w:lineRule="exact"/>
                    <w:jc w:val="center"/>
                    <w:rPr>
                      <w:color w:val="auto"/>
                      <w:sz w:val="21"/>
                      <w:szCs w:val="21"/>
                    </w:rPr>
                  </w:pPr>
                  <w:r>
                    <w:rPr>
                      <w:color w:val="auto"/>
                      <w:sz w:val="21"/>
                      <w:szCs w:val="21"/>
                    </w:rPr>
                    <w:t>合计</w:t>
                  </w:r>
                </w:p>
              </w:tc>
              <w:tc>
                <w:tcPr>
                  <w:tcW w:w="6555" w:type="dxa"/>
                  <w:gridSpan w:val="3"/>
                  <w:vAlign w:val="center"/>
                </w:tcPr>
                <w:p w14:paraId="5A91CF2A">
                  <w:pPr>
                    <w:widowControl/>
                    <w:adjustRightInd w:val="0"/>
                    <w:snapToGrid w:val="0"/>
                    <w:spacing w:line="320" w:lineRule="exact"/>
                    <w:jc w:val="center"/>
                    <w:rPr>
                      <w:color w:val="auto"/>
                      <w:sz w:val="21"/>
                      <w:szCs w:val="21"/>
                    </w:rPr>
                  </w:pPr>
                </w:p>
              </w:tc>
              <w:tc>
                <w:tcPr>
                  <w:tcW w:w="1155" w:type="dxa"/>
                  <w:vAlign w:val="center"/>
                </w:tcPr>
                <w:p w14:paraId="0113A29A">
                  <w:pPr>
                    <w:widowControl/>
                    <w:adjustRightInd w:val="0"/>
                    <w:snapToGrid w:val="0"/>
                    <w:spacing w:line="320" w:lineRule="exact"/>
                    <w:jc w:val="center"/>
                    <w:rPr>
                      <w:color w:val="auto"/>
                      <w:sz w:val="21"/>
                      <w:szCs w:val="21"/>
                    </w:rPr>
                  </w:pPr>
                  <w:r>
                    <w:rPr>
                      <w:rFonts w:hint="eastAsia"/>
                      <w:color w:val="auto"/>
                      <w:sz w:val="21"/>
                      <w:szCs w:val="21"/>
                    </w:rPr>
                    <w:t>2</w:t>
                  </w:r>
                  <w:r>
                    <w:rPr>
                      <w:rFonts w:hint="eastAsia"/>
                      <w:color w:val="auto"/>
                      <w:sz w:val="21"/>
                      <w:szCs w:val="21"/>
                      <w:lang w:val="en-US" w:eastAsia="zh-CN"/>
                    </w:rPr>
                    <w:t>0</w:t>
                  </w:r>
                  <w:r>
                    <w:rPr>
                      <w:rFonts w:hint="eastAsia"/>
                      <w:color w:val="auto"/>
                      <w:sz w:val="21"/>
                      <w:szCs w:val="21"/>
                    </w:rPr>
                    <w:t>1.5</w:t>
                  </w:r>
                </w:p>
              </w:tc>
            </w:tr>
          </w:tbl>
          <w:p w14:paraId="24C0FA2E">
            <w:pPr>
              <w:pStyle w:val="6"/>
              <w:rPr>
                <w:rFonts w:hint="eastAsia"/>
                <w:color w:val="auto"/>
                <w:lang w:val="en-US" w:eastAsia="zh-CN"/>
              </w:rPr>
            </w:pPr>
          </w:p>
          <w:p w14:paraId="3CB9ABB2">
            <w:pPr>
              <w:pStyle w:val="6"/>
              <w:rPr>
                <w:rFonts w:hint="eastAsia"/>
                <w:color w:val="auto"/>
                <w:lang w:val="en-US" w:eastAsia="zh-CN"/>
              </w:rPr>
            </w:pPr>
          </w:p>
          <w:p w14:paraId="0E4047F7">
            <w:pPr>
              <w:pStyle w:val="6"/>
              <w:rPr>
                <w:rFonts w:hint="eastAsia"/>
                <w:color w:val="auto"/>
                <w:lang w:val="en-US" w:eastAsia="zh-CN"/>
              </w:rPr>
            </w:pPr>
          </w:p>
          <w:p w14:paraId="1C78B1F6">
            <w:pPr>
              <w:pStyle w:val="6"/>
              <w:rPr>
                <w:rFonts w:hint="eastAsia"/>
                <w:color w:val="auto"/>
                <w:lang w:val="en-US" w:eastAsia="zh-CN"/>
              </w:rPr>
            </w:pPr>
          </w:p>
          <w:p w14:paraId="4940186D">
            <w:pPr>
              <w:pStyle w:val="6"/>
              <w:rPr>
                <w:rFonts w:hint="eastAsia"/>
                <w:color w:val="auto"/>
                <w:lang w:val="en-US" w:eastAsia="zh-CN"/>
              </w:rPr>
            </w:pPr>
          </w:p>
          <w:p w14:paraId="7B03A0C6">
            <w:pPr>
              <w:pStyle w:val="6"/>
              <w:rPr>
                <w:rFonts w:hint="eastAsia"/>
                <w:color w:val="auto"/>
                <w:lang w:val="en-US" w:eastAsia="zh-CN"/>
              </w:rPr>
            </w:pPr>
          </w:p>
          <w:p w14:paraId="528FD3CD">
            <w:pPr>
              <w:pStyle w:val="6"/>
              <w:rPr>
                <w:rFonts w:hint="eastAsia"/>
                <w:color w:val="auto"/>
                <w:lang w:val="en-US" w:eastAsia="zh-CN"/>
              </w:rPr>
            </w:pPr>
          </w:p>
          <w:p w14:paraId="3FF116A9">
            <w:pPr>
              <w:pStyle w:val="6"/>
              <w:rPr>
                <w:rFonts w:hint="eastAsia"/>
                <w:color w:val="auto"/>
                <w:lang w:val="en-US" w:eastAsia="zh-CN"/>
              </w:rPr>
            </w:pPr>
          </w:p>
          <w:p w14:paraId="14C3CD6D">
            <w:pPr>
              <w:pStyle w:val="6"/>
              <w:rPr>
                <w:rFonts w:hint="eastAsia"/>
                <w:color w:val="auto"/>
                <w:lang w:val="en-US" w:eastAsia="zh-CN"/>
              </w:rPr>
            </w:pPr>
          </w:p>
          <w:p w14:paraId="29CF9D5D">
            <w:pPr>
              <w:pStyle w:val="6"/>
              <w:rPr>
                <w:rFonts w:hint="eastAsia"/>
                <w:color w:val="auto"/>
                <w:lang w:val="en-US" w:eastAsia="zh-CN"/>
              </w:rPr>
            </w:pPr>
          </w:p>
          <w:p w14:paraId="5CA8E393">
            <w:pPr>
              <w:pStyle w:val="6"/>
              <w:rPr>
                <w:rFonts w:hint="eastAsia"/>
                <w:color w:val="auto"/>
                <w:lang w:val="en-US" w:eastAsia="zh-CN"/>
              </w:rPr>
            </w:pPr>
          </w:p>
          <w:p w14:paraId="29DDABB1">
            <w:pPr>
              <w:pStyle w:val="6"/>
              <w:rPr>
                <w:rFonts w:hint="eastAsia"/>
                <w:color w:val="auto"/>
                <w:lang w:val="en-US" w:eastAsia="zh-CN"/>
              </w:rPr>
            </w:pPr>
          </w:p>
          <w:p w14:paraId="0203D56A">
            <w:pPr>
              <w:pStyle w:val="6"/>
              <w:rPr>
                <w:rFonts w:hint="eastAsia"/>
                <w:color w:val="auto"/>
                <w:lang w:val="en-US" w:eastAsia="zh-CN"/>
              </w:rPr>
            </w:pPr>
          </w:p>
          <w:p w14:paraId="23515994">
            <w:pPr>
              <w:pStyle w:val="6"/>
              <w:rPr>
                <w:rFonts w:hint="eastAsia"/>
                <w:color w:val="auto"/>
                <w:lang w:val="en-US" w:eastAsia="zh-CN"/>
              </w:rPr>
            </w:pPr>
          </w:p>
          <w:p w14:paraId="61B68626">
            <w:pPr>
              <w:pStyle w:val="6"/>
              <w:rPr>
                <w:rFonts w:hint="default"/>
                <w:color w:val="auto"/>
                <w:lang w:val="en-US" w:eastAsia="zh-CN"/>
              </w:rPr>
            </w:pPr>
          </w:p>
          <w:p w14:paraId="134047A3">
            <w:pPr>
              <w:pStyle w:val="6"/>
              <w:rPr>
                <w:rFonts w:hint="eastAsia"/>
                <w:color w:val="auto"/>
                <w:lang w:val="en-US" w:eastAsia="zh-CN"/>
              </w:rPr>
            </w:pPr>
          </w:p>
          <w:p w14:paraId="1F73F7BD">
            <w:pPr>
              <w:rPr>
                <w:rFonts w:hint="eastAsia"/>
                <w:color w:val="auto"/>
                <w:lang w:val="en-US" w:eastAsia="zh-CN"/>
              </w:rPr>
            </w:pPr>
          </w:p>
          <w:p w14:paraId="3C3645AC">
            <w:pPr>
              <w:pStyle w:val="2"/>
              <w:rPr>
                <w:rFonts w:hint="eastAsia"/>
                <w:color w:val="auto"/>
                <w:lang w:val="en-US" w:eastAsia="zh-CN"/>
              </w:rPr>
            </w:pPr>
          </w:p>
          <w:p w14:paraId="55BAFAF1">
            <w:pPr>
              <w:rPr>
                <w:rFonts w:hint="eastAsia"/>
                <w:color w:val="auto"/>
                <w:lang w:val="en-US" w:eastAsia="zh-CN"/>
              </w:rPr>
            </w:pPr>
          </w:p>
          <w:p w14:paraId="17127B42">
            <w:pPr>
              <w:pStyle w:val="2"/>
              <w:rPr>
                <w:rFonts w:hint="eastAsia"/>
                <w:color w:val="auto"/>
                <w:lang w:val="en-US" w:eastAsia="zh-CN"/>
              </w:rPr>
            </w:pPr>
          </w:p>
          <w:p w14:paraId="550C92D2">
            <w:pPr>
              <w:rPr>
                <w:rFonts w:hint="eastAsia"/>
                <w:color w:val="auto"/>
                <w:lang w:val="en-US" w:eastAsia="zh-CN"/>
              </w:rPr>
            </w:pPr>
          </w:p>
          <w:p w14:paraId="329CA5D9">
            <w:pPr>
              <w:pStyle w:val="2"/>
              <w:rPr>
                <w:rFonts w:hint="eastAsia"/>
                <w:color w:val="auto"/>
                <w:lang w:val="en-US" w:eastAsia="zh-CN"/>
              </w:rPr>
            </w:pPr>
          </w:p>
          <w:p w14:paraId="214B23FA">
            <w:pPr>
              <w:rPr>
                <w:rFonts w:hint="eastAsia"/>
                <w:color w:val="auto"/>
                <w:lang w:val="en-US" w:eastAsia="zh-CN"/>
              </w:rPr>
            </w:pPr>
          </w:p>
          <w:p w14:paraId="240C25D8">
            <w:pPr>
              <w:pStyle w:val="2"/>
              <w:rPr>
                <w:rFonts w:hint="eastAsia"/>
                <w:color w:val="auto"/>
                <w:lang w:val="en-US" w:eastAsia="zh-CN"/>
              </w:rPr>
            </w:pPr>
          </w:p>
          <w:p w14:paraId="0BB3C0B3">
            <w:pPr>
              <w:rPr>
                <w:rFonts w:hint="eastAsia"/>
                <w:color w:val="auto"/>
                <w:lang w:val="en-US" w:eastAsia="zh-CN"/>
              </w:rPr>
            </w:pPr>
          </w:p>
          <w:p w14:paraId="17729917">
            <w:pPr>
              <w:pStyle w:val="2"/>
              <w:rPr>
                <w:rFonts w:hint="eastAsia"/>
                <w:color w:val="auto"/>
                <w:lang w:val="en-US" w:eastAsia="zh-CN"/>
              </w:rPr>
            </w:pPr>
          </w:p>
          <w:p w14:paraId="390CB1A9">
            <w:pPr>
              <w:rPr>
                <w:rFonts w:hint="eastAsia"/>
                <w:color w:val="auto"/>
                <w:lang w:val="en-US" w:eastAsia="zh-CN"/>
              </w:rPr>
            </w:pPr>
          </w:p>
          <w:p w14:paraId="23A125A8">
            <w:pPr>
              <w:pStyle w:val="2"/>
              <w:rPr>
                <w:rFonts w:hint="eastAsia"/>
                <w:lang w:val="en-US" w:eastAsia="zh-CN"/>
              </w:rPr>
            </w:pPr>
          </w:p>
          <w:p w14:paraId="4FAC467B">
            <w:pPr>
              <w:pStyle w:val="6"/>
              <w:rPr>
                <w:rFonts w:hint="eastAsia"/>
                <w:color w:val="auto"/>
                <w:lang w:val="en-US" w:eastAsia="zh-CN"/>
              </w:rPr>
            </w:pPr>
          </w:p>
          <w:p w14:paraId="57383A62">
            <w:pPr>
              <w:pStyle w:val="6"/>
              <w:rPr>
                <w:rFonts w:hint="eastAsia" w:eastAsia="宋体"/>
                <w:color w:val="auto"/>
                <w:lang w:val="en-US" w:eastAsia="zh-CN"/>
              </w:rPr>
            </w:pPr>
          </w:p>
        </w:tc>
      </w:tr>
    </w:tbl>
    <w:p w14:paraId="09CF60F5">
      <w:pPr>
        <w:pStyle w:val="21"/>
        <w:adjustRightInd w:val="0"/>
        <w:snapToGrid w:val="0"/>
        <w:spacing w:before="0" w:beforeAutospacing="0" w:after="0" w:afterAutospacing="0"/>
        <w:jc w:val="both"/>
        <w:rPr>
          <w:rFonts w:ascii="Times New Roman" w:hAnsi="Times New Roman"/>
          <w:color w:val="auto"/>
          <w:kern w:val="2"/>
          <w:szCs w:val="24"/>
        </w:rPr>
        <w:sectPr>
          <w:footerReference r:id="rId9" w:type="default"/>
          <w:pgSz w:w="11907" w:h="16840"/>
          <w:pgMar w:top="1417" w:right="1417" w:bottom="1417" w:left="1417" w:header="851" w:footer="851" w:gutter="0"/>
          <w:pgBorders>
            <w:top w:val="none" w:sz="0" w:space="0"/>
            <w:left w:val="none" w:sz="0" w:space="0"/>
            <w:bottom w:val="none" w:sz="0" w:space="0"/>
            <w:right w:val="none" w:sz="0" w:space="0"/>
          </w:pgBorders>
          <w:cols w:space="0" w:num="1"/>
          <w:docGrid w:linePitch="312" w:charSpace="0"/>
        </w:sectPr>
      </w:pPr>
    </w:p>
    <w:p w14:paraId="7DA03BA3">
      <w:pPr>
        <w:adjustRightInd w:val="0"/>
        <w:snapToGrid w:val="0"/>
        <w:spacing w:line="360" w:lineRule="auto"/>
        <w:rPr>
          <w:b/>
          <w:color w:val="auto"/>
          <w:kern w:val="0"/>
        </w:rPr>
        <w:sectPr>
          <w:type w:val="continuous"/>
          <w:pgSz w:w="11907" w:h="16840"/>
          <w:pgMar w:top="1417" w:right="1417" w:bottom="1417" w:left="1417" w:header="851" w:footer="851" w:gutter="0"/>
          <w:pgBorders>
            <w:top w:val="none" w:sz="0" w:space="0"/>
            <w:left w:val="none" w:sz="0" w:space="0"/>
            <w:bottom w:val="none" w:sz="0" w:space="0"/>
            <w:right w:val="none" w:sz="0" w:space="0"/>
          </w:pgBorders>
          <w:cols w:space="0" w:num="1"/>
          <w:docGrid w:linePitch="312" w:charSpace="0"/>
        </w:sectPr>
      </w:pPr>
    </w:p>
    <w:p w14:paraId="17C3A156">
      <w:pPr>
        <w:pStyle w:val="21"/>
        <w:jc w:val="center"/>
        <w:outlineLvl w:val="0"/>
        <w:rPr>
          <w:rFonts w:ascii="Times New Roman" w:hAnsi="Times New Roman"/>
          <w:b/>
          <w:bCs/>
          <w:snapToGrid w:val="0"/>
          <w:color w:val="auto"/>
          <w:szCs w:val="24"/>
        </w:rPr>
      </w:pPr>
      <w:r>
        <w:rPr>
          <w:rFonts w:ascii="Times New Roman" w:hAnsi="Times New Roman"/>
          <w:b/>
          <w:bCs/>
          <w:snapToGrid w:val="0"/>
          <w:color w:val="auto"/>
          <w:sz w:val="30"/>
          <w:szCs w:val="30"/>
        </w:rPr>
        <w:t>五、</w:t>
      </w:r>
      <w:bookmarkStart w:id="3" w:name="_Hlk54167917"/>
      <w:r>
        <w:rPr>
          <w:rFonts w:ascii="Times New Roman" w:hAnsi="Times New Roman"/>
          <w:b/>
          <w:bCs/>
          <w:snapToGrid w:val="0"/>
          <w:color w:val="auto"/>
          <w:sz w:val="30"/>
          <w:szCs w:val="30"/>
        </w:rPr>
        <w:t>环境保护措施监督检查清单</w:t>
      </w:r>
      <w:bookmarkEnd w:id="3"/>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515"/>
        <w:gridCol w:w="1425"/>
        <w:gridCol w:w="2751"/>
        <w:gridCol w:w="2342"/>
      </w:tblGrid>
      <w:tr w14:paraId="1CFBAB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0" w:hRule="atLeast"/>
          <w:jc w:val="center"/>
        </w:trPr>
        <w:tc>
          <w:tcPr>
            <w:tcW w:w="1061" w:type="dxa"/>
            <w:tcBorders>
              <w:top w:val="single" w:color="auto" w:sz="4" w:space="0"/>
              <w:left w:val="single" w:color="auto" w:sz="4" w:space="0"/>
              <w:bottom w:val="single" w:color="auto" w:sz="4" w:space="0"/>
              <w:tl2br w:val="single" w:color="auto" w:sz="4" w:space="0"/>
            </w:tcBorders>
          </w:tcPr>
          <w:p w14:paraId="2EBD1C88">
            <w:pPr>
              <w:adjustRightInd w:val="0"/>
              <w:snapToGrid w:val="0"/>
              <w:spacing w:line="320" w:lineRule="exact"/>
              <w:jc w:val="right"/>
              <w:rPr>
                <w:color w:val="auto"/>
                <w:sz w:val="21"/>
                <w:szCs w:val="21"/>
              </w:rPr>
            </w:pPr>
            <w:r>
              <w:rPr>
                <w:color w:val="auto"/>
                <w:sz w:val="21"/>
                <w:szCs w:val="21"/>
              </w:rPr>
              <w:t>内容</w:t>
            </w:r>
          </w:p>
          <w:p w14:paraId="50AB563B">
            <w:pPr>
              <w:adjustRightInd w:val="0"/>
              <w:snapToGrid w:val="0"/>
              <w:spacing w:line="320" w:lineRule="exact"/>
              <w:jc w:val="left"/>
              <w:rPr>
                <w:color w:val="auto"/>
                <w:sz w:val="21"/>
                <w:szCs w:val="21"/>
              </w:rPr>
            </w:pPr>
            <w:r>
              <w:rPr>
                <w:color w:val="auto"/>
                <w:sz w:val="21"/>
                <w:szCs w:val="21"/>
              </w:rPr>
              <w:t>要素</w:t>
            </w:r>
          </w:p>
        </w:tc>
        <w:tc>
          <w:tcPr>
            <w:tcW w:w="1515" w:type="dxa"/>
            <w:tcBorders>
              <w:top w:val="single" w:color="auto" w:sz="4" w:space="0"/>
              <w:bottom w:val="single" w:color="auto" w:sz="4" w:space="0"/>
            </w:tcBorders>
            <w:vAlign w:val="center"/>
          </w:tcPr>
          <w:p w14:paraId="0E965D56">
            <w:pPr>
              <w:adjustRightInd w:val="0"/>
              <w:snapToGrid w:val="0"/>
              <w:spacing w:line="320" w:lineRule="exact"/>
              <w:jc w:val="center"/>
              <w:rPr>
                <w:color w:val="auto"/>
                <w:sz w:val="21"/>
                <w:szCs w:val="21"/>
              </w:rPr>
            </w:pPr>
            <w:r>
              <w:rPr>
                <w:color w:val="auto"/>
                <w:sz w:val="21"/>
                <w:szCs w:val="21"/>
              </w:rPr>
              <w:t>排放口(编号、名称)/污染源</w:t>
            </w:r>
          </w:p>
        </w:tc>
        <w:tc>
          <w:tcPr>
            <w:tcW w:w="1425" w:type="dxa"/>
            <w:tcBorders>
              <w:top w:val="single" w:color="auto" w:sz="4" w:space="0"/>
              <w:bottom w:val="single" w:color="auto" w:sz="4" w:space="0"/>
            </w:tcBorders>
            <w:vAlign w:val="center"/>
          </w:tcPr>
          <w:p w14:paraId="36B562FF">
            <w:pPr>
              <w:adjustRightInd w:val="0"/>
              <w:snapToGrid w:val="0"/>
              <w:spacing w:line="320" w:lineRule="exact"/>
              <w:jc w:val="center"/>
              <w:rPr>
                <w:color w:val="auto"/>
                <w:sz w:val="21"/>
                <w:szCs w:val="21"/>
              </w:rPr>
            </w:pPr>
            <w:r>
              <w:rPr>
                <w:color w:val="auto"/>
                <w:sz w:val="21"/>
                <w:szCs w:val="21"/>
              </w:rPr>
              <w:t>污染物项目</w:t>
            </w:r>
          </w:p>
        </w:tc>
        <w:tc>
          <w:tcPr>
            <w:tcW w:w="2751" w:type="dxa"/>
            <w:tcBorders>
              <w:top w:val="single" w:color="auto" w:sz="4" w:space="0"/>
              <w:bottom w:val="single" w:color="auto" w:sz="4" w:space="0"/>
            </w:tcBorders>
            <w:vAlign w:val="center"/>
          </w:tcPr>
          <w:p w14:paraId="61887596">
            <w:pPr>
              <w:adjustRightInd w:val="0"/>
              <w:snapToGrid w:val="0"/>
              <w:spacing w:line="320" w:lineRule="exact"/>
              <w:jc w:val="center"/>
              <w:rPr>
                <w:color w:val="auto"/>
                <w:sz w:val="21"/>
                <w:szCs w:val="21"/>
              </w:rPr>
            </w:pPr>
            <w:r>
              <w:rPr>
                <w:color w:val="auto"/>
                <w:sz w:val="21"/>
                <w:szCs w:val="21"/>
              </w:rPr>
              <w:t>环境保护措施</w:t>
            </w:r>
          </w:p>
        </w:tc>
        <w:tc>
          <w:tcPr>
            <w:tcW w:w="2342" w:type="dxa"/>
            <w:tcBorders>
              <w:top w:val="single" w:color="auto" w:sz="4" w:space="0"/>
              <w:bottom w:val="single" w:color="auto" w:sz="4" w:space="0"/>
              <w:right w:val="single" w:color="auto" w:sz="4" w:space="0"/>
            </w:tcBorders>
            <w:vAlign w:val="center"/>
          </w:tcPr>
          <w:p w14:paraId="6503628E">
            <w:pPr>
              <w:adjustRightInd w:val="0"/>
              <w:snapToGrid w:val="0"/>
              <w:spacing w:line="320" w:lineRule="exact"/>
              <w:jc w:val="center"/>
              <w:rPr>
                <w:color w:val="auto"/>
                <w:sz w:val="21"/>
                <w:szCs w:val="21"/>
              </w:rPr>
            </w:pPr>
            <w:r>
              <w:rPr>
                <w:color w:val="auto"/>
                <w:sz w:val="21"/>
                <w:szCs w:val="21"/>
              </w:rPr>
              <w:t>执行标准</w:t>
            </w:r>
          </w:p>
        </w:tc>
      </w:tr>
      <w:tr w14:paraId="67E047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1" w:type="dxa"/>
            <w:vMerge w:val="restart"/>
            <w:tcBorders>
              <w:left w:val="single" w:color="auto" w:sz="4" w:space="0"/>
              <w:right w:val="single" w:color="auto" w:sz="4" w:space="0"/>
            </w:tcBorders>
            <w:vAlign w:val="center"/>
          </w:tcPr>
          <w:p w14:paraId="03B11E9D">
            <w:pPr>
              <w:adjustRightInd w:val="0"/>
              <w:snapToGrid w:val="0"/>
              <w:spacing w:line="320" w:lineRule="exact"/>
              <w:jc w:val="center"/>
              <w:rPr>
                <w:color w:val="auto"/>
                <w:sz w:val="21"/>
                <w:szCs w:val="21"/>
              </w:rPr>
            </w:pPr>
            <w:r>
              <w:rPr>
                <w:color w:val="auto"/>
                <w:sz w:val="21"/>
                <w:szCs w:val="21"/>
              </w:rPr>
              <w:t>大气环境</w:t>
            </w:r>
          </w:p>
        </w:tc>
        <w:tc>
          <w:tcPr>
            <w:tcW w:w="1515" w:type="dxa"/>
            <w:tcBorders>
              <w:top w:val="single" w:color="auto" w:sz="4" w:space="0"/>
              <w:left w:val="single" w:color="auto" w:sz="4" w:space="0"/>
              <w:right w:val="single" w:color="auto" w:sz="4" w:space="0"/>
            </w:tcBorders>
            <w:vAlign w:val="center"/>
          </w:tcPr>
          <w:p w14:paraId="57A8BD77">
            <w:pPr>
              <w:adjustRightInd w:val="0"/>
              <w:snapToGrid w:val="0"/>
              <w:spacing w:line="320" w:lineRule="exact"/>
              <w:jc w:val="center"/>
              <w:rPr>
                <w:color w:val="auto"/>
                <w:sz w:val="21"/>
                <w:szCs w:val="21"/>
              </w:rPr>
            </w:pPr>
            <w:r>
              <w:rPr>
                <w:color w:val="auto"/>
                <w:sz w:val="21"/>
                <w:szCs w:val="21"/>
              </w:rPr>
              <w:t>破碎、剪切</w:t>
            </w:r>
            <w:r>
              <w:rPr>
                <w:rFonts w:hint="eastAsia"/>
                <w:color w:val="auto"/>
                <w:sz w:val="21"/>
                <w:szCs w:val="21"/>
              </w:rPr>
              <w:t>粉尘</w:t>
            </w:r>
            <w:r>
              <w:rPr>
                <w:color w:val="auto"/>
                <w:sz w:val="21"/>
                <w:szCs w:val="21"/>
              </w:rPr>
              <w:t>（DA001）</w:t>
            </w:r>
          </w:p>
        </w:tc>
        <w:tc>
          <w:tcPr>
            <w:tcW w:w="1425" w:type="dxa"/>
            <w:tcBorders>
              <w:left w:val="single" w:color="auto" w:sz="4" w:space="0"/>
              <w:bottom w:val="single" w:color="auto" w:sz="4" w:space="0"/>
              <w:right w:val="single" w:color="auto" w:sz="4" w:space="0"/>
            </w:tcBorders>
            <w:vAlign w:val="center"/>
          </w:tcPr>
          <w:p w14:paraId="334F6C18">
            <w:pPr>
              <w:adjustRightInd w:val="0"/>
              <w:snapToGrid w:val="0"/>
              <w:spacing w:line="320" w:lineRule="exact"/>
              <w:jc w:val="center"/>
              <w:rPr>
                <w:color w:val="auto"/>
                <w:sz w:val="21"/>
                <w:szCs w:val="21"/>
              </w:rPr>
            </w:pPr>
            <w:r>
              <w:rPr>
                <w:color w:val="auto"/>
                <w:sz w:val="21"/>
                <w:szCs w:val="21"/>
              </w:rPr>
              <w:t>颗粒物</w:t>
            </w:r>
          </w:p>
        </w:tc>
        <w:tc>
          <w:tcPr>
            <w:tcW w:w="2751" w:type="dxa"/>
            <w:tcBorders>
              <w:left w:val="single" w:color="auto" w:sz="4" w:space="0"/>
              <w:right w:val="single" w:color="auto" w:sz="4" w:space="0"/>
            </w:tcBorders>
            <w:vAlign w:val="center"/>
          </w:tcPr>
          <w:p w14:paraId="299E845A">
            <w:pPr>
              <w:pStyle w:val="13"/>
              <w:spacing w:line="320" w:lineRule="exact"/>
              <w:jc w:val="center"/>
              <w:rPr>
                <w:rFonts w:ascii="Times New Roman" w:hAnsi="Times New Roman" w:cs="Times New Roman"/>
                <w:color w:val="auto"/>
              </w:rPr>
            </w:pPr>
            <w:r>
              <w:rPr>
                <w:rFonts w:ascii="Times New Roman" w:hAnsi="Times New Roman" w:cs="Times New Roman"/>
                <w:color w:val="auto"/>
                <w:lang w:bidi="ar"/>
              </w:rPr>
              <w:t>破碎机、剪断机分别设集气罩（共2个），废气经集气罩收集后引入1套布袋除尘器，处理后通过30m 排气筒（DA001）排放</w:t>
            </w:r>
          </w:p>
        </w:tc>
        <w:tc>
          <w:tcPr>
            <w:tcW w:w="2342" w:type="dxa"/>
            <w:tcBorders>
              <w:left w:val="single" w:color="auto" w:sz="4" w:space="0"/>
              <w:right w:val="single" w:color="auto" w:sz="4" w:space="0"/>
            </w:tcBorders>
            <w:vAlign w:val="center"/>
          </w:tcPr>
          <w:p w14:paraId="31569B2D">
            <w:pPr>
              <w:adjustRightInd w:val="0"/>
              <w:snapToGrid w:val="0"/>
              <w:spacing w:line="320" w:lineRule="exact"/>
              <w:jc w:val="center"/>
              <w:rPr>
                <w:color w:val="auto"/>
                <w:sz w:val="21"/>
                <w:szCs w:val="21"/>
              </w:rPr>
            </w:pPr>
            <w:r>
              <w:rPr>
                <w:color w:val="auto"/>
                <w:sz w:val="21"/>
                <w:szCs w:val="21"/>
              </w:rPr>
              <w:t>《大气污染物综合排放标准》（GB16297-1996）表2中颗粒物二级排放浓度限值</w:t>
            </w:r>
          </w:p>
        </w:tc>
      </w:tr>
      <w:tr w14:paraId="5918F0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1" w:type="dxa"/>
            <w:vMerge w:val="continue"/>
            <w:tcBorders>
              <w:left w:val="single" w:color="auto" w:sz="4" w:space="0"/>
              <w:right w:val="single" w:color="auto" w:sz="4" w:space="0"/>
            </w:tcBorders>
            <w:vAlign w:val="center"/>
          </w:tcPr>
          <w:p w14:paraId="7A367DEC">
            <w:pPr>
              <w:adjustRightInd w:val="0"/>
              <w:snapToGrid w:val="0"/>
              <w:spacing w:line="320" w:lineRule="exact"/>
              <w:jc w:val="center"/>
              <w:rPr>
                <w:color w:val="auto"/>
                <w:sz w:val="21"/>
                <w:szCs w:val="21"/>
              </w:rPr>
            </w:pPr>
          </w:p>
        </w:tc>
        <w:tc>
          <w:tcPr>
            <w:tcW w:w="1515" w:type="dxa"/>
            <w:tcBorders>
              <w:left w:val="single" w:color="auto" w:sz="4" w:space="0"/>
              <w:right w:val="single" w:color="auto" w:sz="4" w:space="0"/>
            </w:tcBorders>
            <w:vAlign w:val="center"/>
          </w:tcPr>
          <w:p w14:paraId="21E0FCF0">
            <w:pPr>
              <w:adjustRightInd w:val="0"/>
              <w:snapToGrid w:val="0"/>
              <w:spacing w:line="320" w:lineRule="exact"/>
              <w:jc w:val="center"/>
              <w:rPr>
                <w:color w:val="auto"/>
                <w:sz w:val="21"/>
                <w:szCs w:val="21"/>
              </w:rPr>
            </w:pPr>
            <w:r>
              <w:rPr>
                <w:rFonts w:hint="eastAsia"/>
                <w:color w:val="auto"/>
                <w:sz w:val="21"/>
                <w:szCs w:val="21"/>
              </w:rPr>
              <w:t>焊接烟尘</w:t>
            </w:r>
          </w:p>
        </w:tc>
        <w:tc>
          <w:tcPr>
            <w:tcW w:w="1425" w:type="dxa"/>
            <w:tcBorders>
              <w:left w:val="single" w:color="auto" w:sz="4" w:space="0"/>
              <w:right w:val="single" w:color="auto" w:sz="4" w:space="0"/>
            </w:tcBorders>
            <w:vAlign w:val="center"/>
          </w:tcPr>
          <w:p w14:paraId="3FC4DB78">
            <w:pPr>
              <w:adjustRightInd w:val="0"/>
              <w:snapToGrid w:val="0"/>
              <w:spacing w:line="320" w:lineRule="exact"/>
              <w:jc w:val="center"/>
              <w:rPr>
                <w:color w:val="auto"/>
                <w:sz w:val="21"/>
                <w:szCs w:val="21"/>
              </w:rPr>
            </w:pPr>
            <w:r>
              <w:rPr>
                <w:color w:val="auto"/>
                <w:sz w:val="21"/>
                <w:szCs w:val="21"/>
              </w:rPr>
              <w:t>颗粒物</w:t>
            </w:r>
          </w:p>
        </w:tc>
        <w:tc>
          <w:tcPr>
            <w:tcW w:w="2751" w:type="dxa"/>
            <w:tcBorders>
              <w:left w:val="single" w:color="auto" w:sz="4" w:space="0"/>
              <w:right w:val="single" w:color="auto" w:sz="4" w:space="0"/>
            </w:tcBorders>
            <w:vAlign w:val="center"/>
          </w:tcPr>
          <w:p w14:paraId="524B3D62">
            <w:pPr>
              <w:spacing w:line="320" w:lineRule="exact"/>
              <w:jc w:val="center"/>
              <w:rPr>
                <w:color w:val="auto"/>
                <w:sz w:val="21"/>
                <w:szCs w:val="21"/>
              </w:rPr>
            </w:pPr>
            <w:r>
              <w:rPr>
                <w:rFonts w:hint="eastAsia"/>
                <w:color w:val="auto"/>
                <w:sz w:val="21"/>
              </w:rPr>
              <w:t>每台焊机设1套</w:t>
            </w:r>
            <w:r>
              <w:rPr>
                <w:color w:val="auto"/>
                <w:sz w:val="21"/>
              </w:rPr>
              <w:t>移动式烟尘净化器</w:t>
            </w:r>
            <w:r>
              <w:rPr>
                <w:rFonts w:hint="eastAsia"/>
                <w:color w:val="auto"/>
                <w:sz w:val="21"/>
              </w:rPr>
              <w:t>，焊接烟尘采用</w:t>
            </w:r>
            <w:r>
              <w:rPr>
                <w:color w:val="auto"/>
                <w:sz w:val="21"/>
              </w:rPr>
              <w:t>移动式烟尘净化器</w:t>
            </w:r>
            <w:r>
              <w:rPr>
                <w:rFonts w:hint="eastAsia"/>
                <w:color w:val="auto"/>
                <w:sz w:val="21"/>
              </w:rPr>
              <w:t>（共4套）</w:t>
            </w:r>
            <w:r>
              <w:rPr>
                <w:color w:val="auto"/>
                <w:sz w:val="21"/>
              </w:rPr>
              <w:t>收集后无组织排放</w:t>
            </w:r>
          </w:p>
        </w:tc>
        <w:tc>
          <w:tcPr>
            <w:tcW w:w="2342" w:type="dxa"/>
            <w:vMerge w:val="restart"/>
            <w:tcBorders>
              <w:left w:val="single" w:color="auto" w:sz="4" w:space="0"/>
              <w:right w:val="single" w:color="auto" w:sz="4" w:space="0"/>
            </w:tcBorders>
            <w:vAlign w:val="center"/>
          </w:tcPr>
          <w:p w14:paraId="29455619">
            <w:pPr>
              <w:adjustRightInd w:val="0"/>
              <w:snapToGrid w:val="0"/>
              <w:spacing w:line="320" w:lineRule="exact"/>
              <w:jc w:val="center"/>
              <w:rPr>
                <w:color w:val="auto"/>
                <w:sz w:val="21"/>
                <w:szCs w:val="21"/>
              </w:rPr>
            </w:pPr>
            <w:r>
              <w:rPr>
                <w:color w:val="auto"/>
                <w:sz w:val="21"/>
                <w:szCs w:val="21"/>
              </w:rPr>
              <w:t>《大气污染物综合排放标准》（GB16297-1996）无组织浓度限值</w:t>
            </w:r>
          </w:p>
        </w:tc>
      </w:tr>
      <w:tr w14:paraId="676EAD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1" w:type="dxa"/>
            <w:vMerge w:val="continue"/>
            <w:tcBorders>
              <w:left w:val="single" w:color="auto" w:sz="4" w:space="0"/>
              <w:right w:val="single" w:color="auto" w:sz="4" w:space="0"/>
            </w:tcBorders>
            <w:vAlign w:val="center"/>
          </w:tcPr>
          <w:p w14:paraId="61E74316">
            <w:pPr>
              <w:adjustRightInd w:val="0"/>
              <w:snapToGrid w:val="0"/>
              <w:spacing w:line="320" w:lineRule="exact"/>
              <w:jc w:val="center"/>
              <w:rPr>
                <w:color w:val="auto"/>
                <w:sz w:val="21"/>
                <w:szCs w:val="21"/>
              </w:rPr>
            </w:pPr>
          </w:p>
        </w:tc>
        <w:tc>
          <w:tcPr>
            <w:tcW w:w="1515" w:type="dxa"/>
            <w:tcBorders>
              <w:left w:val="single" w:color="auto" w:sz="4" w:space="0"/>
              <w:right w:val="single" w:color="auto" w:sz="4" w:space="0"/>
            </w:tcBorders>
            <w:vAlign w:val="center"/>
          </w:tcPr>
          <w:p w14:paraId="5CCBBB17">
            <w:pPr>
              <w:adjustRightInd w:val="0"/>
              <w:snapToGrid w:val="0"/>
              <w:spacing w:line="320" w:lineRule="exact"/>
              <w:jc w:val="center"/>
              <w:rPr>
                <w:color w:val="auto"/>
                <w:sz w:val="21"/>
                <w:szCs w:val="21"/>
              </w:rPr>
            </w:pPr>
            <w:r>
              <w:rPr>
                <w:rFonts w:hint="eastAsia"/>
                <w:color w:val="auto"/>
                <w:sz w:val="21"/>
                <w:szCs w:val="21"/>
              </w:rPr>
              <w:t>道路运输扬尘</w:t>
            </w:r>
          </w:p>
        </w:tc>
        <w:tc>
          <w:tcPr>
            <w:tcW w:w="1425" w:type="dxa"/>
            <w:tcBorders>
              <w:left w:val="single" w:color="auto" w:sz="4" w:space="0"/>
              <w:right w:val="single" w:color="auto" w:sz="4" w:space="0"/>
            </w:tcBorders>
            <w:vAlign w:val="center"/>
          </w:tcPr>
          <w:p w14:paraId="4195F1FC">
            <w:pPr>
              <w:adjustRightInd w:val="0"/>
              <w:snapToGrid w:val="0"/>
              <w:spacing w:line="320" w:lineRule="exact"/>
              <w:jc w:val="center"/>
              <w:rPr>
                <w:color w:val="auto"/>
                <w:sz w:val="21"/>
                <w:szCs w:val="21"/>
              </w:rPr>
            </w:pPr>
            <w:r>
              <w:rPr>
                <w:color w:val="auto"/>
                <w:sz w:val="21"/>
                <w:szCs w:val="21"/>
              </w:rPr>
              <w:t>颗粒物</w:t>
            </w:r>
          </w:p>
        </w:tc>
        <w:tc>
          <w:tcPr>
            <w:tcW w:w="2751" w:type="dxa"/>
            <w:tcBorders>
              <w:left w:val="single" w:color="auto" w:sz="4" w:space="0"/>
              <w:right w:val="single" w:color="auto" w:sz="4" w:space="0"/>
            </w:tcBorders>
            <w:vAlign w:val="center"/>
          </w:tcPr>
          <w:p w14:paraId="641EEE4C">
            <w:pPr>
              <w:spacing w:line="320" w:lineRule="exact"/>
              <w:jc w:val="center"/>
              <w:rPr>
                <w:color w:val="auto"/>
                <w:sz w:val="21"/>
                <w:szCs w:val="21"/>
              </w:rPr>
            </w:pPr>
            <w:r>
              <w:rPr>
                <w:color w:val="auto"/>
                <w:sz w:val="21"/>
                <w:szCs w:val="21"/>
              </w:rPr>
              <w:t>道路硬化+清扫车打扫+运输车辆加盖篷布</w:t>
            </w:r>
          </w:p>
        </w:tc>
        <w:tc>
          <w:tcPr>
            <w:tcW w:w="2342" w:type="dxa"/>
            <w:vMerge w:val="continue"/>
            <w:tcBorders>
              <w:left w:val="single" w:color="auto" w:sz="4" w:space="0"/>
              <w:bottom w:val="single" w:color="000000" w:sz="6" w:space="0"/>
              <w:right w:val="single" w:color="auto" w:sz="4" w:space="0"/>
            </w:tcBorders>
            <w:vAlign w:val="center"/>
          </w:tcPr>
          <w:p w14:paraId="4FA2E502">
            <w:pPr>
              <w:adjustRightInd w:val="0"/>
              <w:snapToGrid w:val="0"/>
              <w:spacing w:line="320" w:lineRule="exact"/>
              <w:jc w:val="center"/>
              <w:rPr>
                <w:color w:val="auto"/>
                <w:sz w:val="21"/>
                <w:szCs w:val="21"/>
              </w:rPr>
            </w:pPr>
          </w:p>
        </w:tc>
      </w:tr>
      <w:tr w14:paraId="0D0086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0" w:hRule="atLeast"/>
          <w:jc w:val="center"/>
        </w:trPr>
        <w:tc>
          <w:tcPr>
            <w:tcW w:w="1061" w:type="dxa"/>
            <w:vMerge w:val="continue"/>
            <w:tcBorders>
              <w:left w:val="single" w:color="auto" w:sz="4" w:space="0"/>
              <w:right w:val="single" w:color="auto" w:sz="4" w:space="0"/>
            </w:tcBorders>
            <w:vAlign w:val="center"/>
          </w:tcPr>
          <w:p w14:paraId="28712029">
            <w:pPr>
              <w:adjustRightInd w:val="0"/>
              <w:snapToGrid w:val="0"/>
              <w:spacing w:line="320" w:lineRule="exact"/>
              <w:jc w:val="center"/>
              <w:rPr>
                <w:color w:val="auto"/>
                <w:sz w:val="21"/>
                <w:szCs w:val="21"/>
              </w:rPr>
            </w:pPr>
          </w:p>
        </w:tc>
        <w:tc>
          <w:tcPr>
            <w:tcW w:w="1515" w:type="dxa"/>
            <w:tcBorders>
              <w:left w:val="single" w:color="auto" w:sz="4" w:space="0"/>
              <w:right w:val="single" w:color="auto" w:sz="4" w:space="0"/>
            </w:tcBorders>
            <w:vAlign w:val="center"/>
          </w:tcPr>
          <w:p w14:paraId="69329BDC">
            <w:pPr>
              <w:adjustRightInd w:val="0"/>
              <w:snapToGrid w:val="0"/>
              <w:spacing w:line="320" w:lineRule="exact"/>
              <w:jc w:val="center"/>
              <w:rPr>
                <w:color w:val="auto"/>
                <w:sz w:val="21"/>
                <w:szCs w:val="21"/>
              </w:rPr>
            </w:pPr>
            <w:r>
              <w:rPr>
                <w:rFonts w:hint="eastAsia"/>
                <w:color w:val="auto"/>
                <w:sz w:val="21"/>
                <w:szCs w:val="21"/>
              </w:rPr>
              <w:t>危废暂存库</w:t>
            </w:r>
          </w:p>
        </w:tc>
        <w:tc>
          <w:tcPr>
            <w:tcW w:w="1425" w:type="dxa"/>
            <w:tcBorders>
              <w:left w:val="single" w:color="auto" w:sz="4" w:space="0"/>
              <w:right w:val="single" w:color="auto" w:sz="4" w:space="0"/>
            </w:tcBorders>
            <w:vAlign w:val="center"/>
          </w:tcPr>
          <w:p w14:paraId="5B68879B">
            <w:pPr>
              <w:adjustRightInd w:val="0"/>
              <w:snapToGrid w:val="0"/>
              <w:spacing w:line="320" w:lineRule="exact"/>
              <w:jc w:val="center"/>
              <w:rPr>
                <w:color w:val="auto"/>
                <w:sz w:val="21"/>
                <w:szCs w:val="21"/>
              </w:rPr>
            </w:pPr>
            <w:r>
              <w:rPr>
                <w:rFonts w:hint="eastAsia"/>
                <w:color w:val="auto"/>
                <w:sz w:val="21"/>
                <w:lang w:bidi="ar"/>
              </w:rPr>
              <w:t>非甲烷总烃、硫酸雾</w:t>
            </w:r>
          </w:p>
        </w:tc>
        <w:tc>
          <w:tcPr>
            <w:tcW w:w="2751" w:type="dxa"/>
            <w:tcBorders>
              <w:left w:val="single" w:color="auto" w:sz="4" w:space="0"/>
              <w:right w:val="single" w:color="auto" w:sz="4" w:space="0"/>
            </w:tcBorders>
            <w:vAlign w:val="center"/>
          </w:tcPr>
          <w:p w14:paraId="397A2393">
            <w:pPr>
              <w:spacing w:line="320" w:lineRule="exact"/>
              <w:jc w:val="center"/>
              <w:rPr>
                <w:color w:val="auto"/>
                <w:sz w:val="21"/>
                <w:szCs w:val="21"/>
              </w:rPr>
            </w:pPr>
            <w:r>
              <w:rPr>
                <w:rFonts w:hint="eastAsia"/>
                <w:color w:val="auto"/>
                <w:sz w:val="21"/>
                <w:szCs w:val="21"/>
              </w:rPr>
              <w:t>危废暂存库设有防渗塑料桶用来盛装废电解液，并加盖密闭存储；废机油贮存在加盖密封的铁皮桶内，且加强通风，可以有效减少废气排放</w:t>
            </w:r>
          </w:p>
        </w:tc>
        <w:tc>
          <w:tcPr>
            <w:tcW w:w="2342" w:type="dxa"/>
            <w:tcBorders>
              <w:top w:val="single" w:color="000000" w:sz="6" w:space="0"/>
              <w:left w:val="single" w:color="auto" w:sz="4" w:space="0"/>
              <w:right w:val="single" w:color="auto" w:sz="4" w:space="0"/>
            </w:tcBorders>
            <w:vAlign w:val="center"/>
          </w:tcPr>
          <w:p w14:paraId="6667D57E">
            <w:pPr>
              <w:adjustRightInd w:val="0"/>
              <w:snapToGrid w:val="0"/>
              <w:spacing w:line="320" w:lineRule="exact"/>
              <w:jc w:val="center"/>
              <w:rPr>
                <w:color w:val="auto"/>
                <w:sz w:val="21"/>
                <w:szCs w:val="21"/>
              </w:rPr>
            </w:pPr>
            <w:r>
              <w:rPr>
                <w:color w:val="auto"/>
                <w:sz w:val="21"/>
                <w:szCs w:val="21"/>
              </w:rPr>
              <w:t>《大气污染物综合排放标准》（GB16297-1996）无组织浓度限值</w:t>
            </w:r>
            <w:r>
              <w:rPr>
                <w:rFonts w:hint="eastAsia"/>
                <w:color w:val="auto"/>
                <w:sz w:val="21"/>
                <w:szCs w:val="21"/>
              </w:rPr>
              <w:t>、</w:t>
            </w:r>
            <w:r>
              <w:rPr>
                <w:color w:val="auto"/>
                <w:sz w:val="21"/>
                <w:szCs w:val="21"/>
              </w:rPr>
              <w:t>《挥发性有机物无组织排放控制标准》（GB37822</w:t>
            </w:r>
            <w:r>
              <w:rPr>
                <w:rFonts w:hint="eastAsia"/>
                <w:color w:val="auto"/>
                <w:sz w:val="21"/>
                <w:szCs w:val="21"/>
              </w:rPr>
              <w:t xml:space="preserve"> </w:t>
            </w:r>
            <w:r>
              <w:rPr>
                <w:color w:val="auto"/>
                <w:sz w:val="21"/>
                <w:szCs w:val="21"/>
              </w:rPr>
              <w:t>-2019）</w:t>
            </w:r>
            <w:r>
              <w:rPr>
                <w:rFonts w:hint="eastAsia"/>
                <w:color w:val="auto"/>
                <w:sz w:val="21"/>
                <w:szCs w:val="21"/>
                <w:lang w:val="en-US" w:eastAsia="zh-CN"/>
              </w:rPr>
              <w:t>中表A.1</w:t>
            </w:r>
            <w:r>
              <w:rPr>
                <w:color w:val="auto"/>
                <w:sz w:val="21"/>
                <w:szCs w:val="21"/>
              </w:rPr>
              <w:t>标准限值</w:t>
            </w:r>
          </w:p>
        </w:tc>
      </w:tr>
      <w:tr w14:paraId="3C06D7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1" w:type="dxa"/>
            <w:vMerge w:val="restart"/>
            <w:tcBorders>
              <w:top w:val="single" w:color="auto" w:sz="4" w:space="0"/>
              <w:left w:val="single" w:color="auto" w:sz="4" w:space="0"/>
              <w:right w:val="single" w:color="auto" w:sz="4" w:space="0"/>
            </w:tcBorders>
            <w:vAlign w:val="center"/>
          </w:tcPr>
          <w:p w14:paraId="64427E46">
            <w:pPr>
              <w:adjustRightInd w:val="0"/>
              <w:snapToGrid w:val="0"/>
              <w:spacing w:line="320" w:lineRule="exact"/>
              <w:jc w:val="center"/>
              <w:rPr>
                <w:color w:val="auto"/>
                <w:sz w:val="21"/>
                <w:szCs w:val="21"/>
              </w:rPr>
            </w:pPr>
            <w:r>
              <w:rPr>
                <w:color w:val="auto"/>
                <w:sz w:val="21"/>
                <w:szCs w:val="21"/>
              </w:rPr>
              <w:t>地表水环境</w:t>
            </w:r>
          </w:p>
        </w:tc>
        <w:tc>
          <w:tcPr>
            <w:tcW w:w="1515" w:type="dxa"/>
            <w:tcBorders>
              <w:top w:val="single" w:color="auto" w:sz="4" w:space="0"/>
              <w:left w:val="single" w:color="auto" w:sz="4" w:space="0"/>
              <w:right w:val="single" w:color="auto" w:sz="4" w:space="0"/>
            </w:tcBorders>
            <w:vAlign w:val="center"/>
          </w:tcPr>
          <w:p w14:paraId="0B150FF3">
            <w:pPr>
              <w:spacing w:line="320" w:lineRule="exact"/>
              <w:jc w:val="center"/>
              <w:rPr>
                <w:color w:val="auto"/>
                <w:sz w:val="21"/>
                <w:lang w:bidi="ar"/>
              </w:rPr>
            </w:pPr>
            <w:r>
              <w:rPr>
                <w:rFonts w:hint="eastAsia"/>
                <w:color w:val="auto"/>
                <w:sz w:val="21"/>
                <w:lang w:bidi="ar"/>
              </w:rPr>
              <w:t>维修车间</w:t>
            </w:r>
          </w:p>
          <w:p w14:paraId="70154D84">
            <w:pPr>
              <w:widowControl/>
              <w:adjustRightInd w:val="0"/>
              <w:snapToGrid w:val="0"/>
              <w:spacing w:line="320" w:lineRule="exact"/>
              <w:jc w:val="center"/>
              <w:rPr>
                <w:color w:val="auto"/>
                <w:sz w:val="21"/>
                <w:szCs w:val="21"/>
              </w:rPr>
            </w:pPr>
            <w:r>
              <w:rPr>
                <w:rFonts w:hint="eastAsia"/>
                <w:color w:val="auto"/>
                <w:sz w:val="21"/>
                <w:lang w:bidi="ar"/>
              </w:rPr>
              <w:t>清洗废水</w:t>
            </w:r>
          </w:p>
        </w:tc>
        <w:tc>
          <w:tcPr>
            <w:tcW w:w="1425" w:type="dxa"/>
            <w:tcBorders>
              <w:top w:val="single" w:color="auto" w:sz="4" w:space="0"/>
              <w:left w:val="single" w:color="auto" w:sz="4" w:space="0"/>
              <w:bottom w:val="single" w:color="auto" w:sz="4" w:space="0"/>
              <w:right w:val="single" w:color="auto" w:sz="4" w:space="0"/>
            </w:tcBorders>
            <w:vAlign w:val="center"/>
          </w:tcPr>
          <w:p w14:paraId="652F6EB3">
            <w:pPr>
              <w:widowControl/>
              <w:adjustRightInd w:val="0"/>
              <w:snapToGrid w:val="0"/>
              <w:spacing w:line="320" w:lineRule="exact"/>
              <w:jc w:val="center"/>
              <w:rPr>
                <w:color w:val="auto"/>
                <w:kern w:val="0"/>
                <w:sz w:val="21"/>
                <w:szCs w:val="21"/>
              </w:rPr>
            </w:pPr>
            <w:r>
              <w:rPr>
                <w:rFonts w:hint="eastAsia"/>
                <w:color w:val="auto"/>
                <w:sz w:val="21"/>
                <w:szCs w:val="21"/>
              </w:rPr>
              <w:t>COD、BOD</w:t>
            </w:r>
            <w:r>
              <w:rPr>
                <w:rFonts w:hint="eastAsia"/>
                <w:color w:val="auto"/>
                <w:sz w:val="21"/>
                <w:szCs w:val="21"/>
                <w:vertAlign w:val="subscript"/>
              </w:rPr>
              <w:t>5</w:t>
            </w:r>
            <w:r>
              <w:rPr>
                <w:rFonts w:hint="eastAsia"/>
                <w:color w:val="auto"/>
                <w:sz w:val="21"/>
                <w:szCs w:val="21"/>
              </w:rPr>
              <w:t>、SS、石油类</w:t>
            </w:r>
          </w:p>
        </w:tc>
        <w:tc>
          <w:tcPr>
            <w:tcW w:w="2751" w:type="dxa"/>
            <w:tcBorders>
              <w:top w:val="single" w:color="auto" w:sz="4" w:space="0"/>
              <w:left w:val="single" w:color="auto" w:sz="4" w:space="0"/>
              <w:right w:val="single" w:color="auto" w:sz="4" w:space="0"/>
            </w:tcBorders>
            <w:vAlign w:val="center"/>
          </w:tcPr>
          <w:p w14:paraId="241C091F">
            <w:pPr>
              <w:spacing w:line="320" w:lineRule="exact"/>
              <w:jc w:val="center"/>
              <w:rPr>
                <w:color w:val="auto"/>
                <w:sz w:val="21"/>
                <w:szCs w:val="21"/>
              </w:rPr>
            </w:pPr>
            <w:r>
              <w:rPr>
                <w:rFonts w:hint="eastAsia"/>
                <w:bCs/>
                <w:color w:val="auto"/>
                <w:sz w:val="21"/>
                <w:szCs w:val="21"/>
                <w:lang w:bidi="ar"/>
              </w:rPr>
              <w:t>清洗废水经一体化污水处理设施处理后</w:t>
            </w:r>
            <w:r>
              <w:rPr>
                <w:rFonts w:hint="eastAsia"/>
                <w:color w:val="auto"/>
                <w:sz w:val="21"/>
                <w:lang w:val="en-US" w:eastAsia="zh-CN"/>
              </w:rPr>
              <w:t>厂区绿化、道路洒水</w:t>
            </w:r>
          </w:p>
        </w:tc>
        <w:tc>
          <w:tcPr>
            <w:tcW w:w="2342" w:type="dxa"/>
            <w:tcBorders>
              <w:top w:val="single" w:color="auto" w:sz="4" w:space="0"/>
              <w:left w:val="single" w:color="auto" w:sz="4" w:space="0"/>
              <w:right w:val="single" w:color="auto" w:sz="4" w:space="0"/>
            </w:tcBorders>
            <w:vAlign w:val="center"/>
          </w:tcPr>
          <w:p w14:paraId="536DDD42">
            <w:pPr>
              <w:keepNext w:val="0"/>
              <w:keepLines w:val="0"/>
              <w:pageBreakBefore w:val="0"/>
              <w:widowControl w:val="0"/>
              <w:kinsoku/>
              <w:wordWrap/>
              <w:overflowPunct/>
              <w:topLinePunct w:val="0"/>
              <w:autoSpaceDE/>
              <w:autoSpaceDN/>
              <w:bidi w:val="0"/>
              <w:adjustRightInd w:val="0"/>
              <w:snapToGrid w:val="0"/>
              <w:spacing w:line="320" w:lineRule="exact"/>
              <w:ind w:left="-48" w:leftChars="-20" w:right="-48" w:rightChars="-20"/>
              <w:jc w:val="center"/>
              <w:textAlignment w:val="auto"/>
              <w:rPr>
                <w:rFonts w:hint="default" w:eastAsia="宋体"/>
                <w:color w:val="auto"/>
                <w:sz w:val="21"/>
                <w:szCs w:val="21"/>
                <w:lang w:val="en-US" w:eastAsia="zh-CN"/>
              </w:rPr>
            </w:pPr>
            <w:bookmarkStart w:id="4" w:name="_GoBack"/>
            <w:r>
              <w:rPr>
                <w:rFonts w:hint="default" w:eastAsia="宋体"/>
                <w:color w:val="FF0000"/>
                <w:sz w:val="21"/>
                <w:szCs w:val="21"/>
                <w:lang w:val="en-US" w:eastAsia="zh-CN"/>
              </w:rPr>
              <w:t>《城市污水再生利用城市杂用水水质》（GB/T18920­2020）中表1城市绿化、道路清扫标准要求和《污水综合排放标准》（GB8978</w:t>
            </w:r>
            <w:r>
              <w:rPr>
                <w:rFonts w:hint="eastAsia"/>
                <w:color w:val="FF0000"/>
                <w:sz w:val="21"/>
                <w:szCs w:val="21"/>
                <w:lang w:val="en-US" w:eastAsia="zh-CN"/>
              </w:rPr>
              <w:t xml:space="preserve"> </w:t>
            </w:r>
            <w:r>
              <w:rPr>
                <w:rFonts w:hint="default" w:eastAsia="宋体"/>
                <w:color w:val="FF0000"/>
                <w:sz w:val="21"/>
                <w:szCs w:val="21"/>
                <w:lang w:val="en-US" w:eastAsia="zh-CN"/>
              </w:rPr>
              <w:t>-1996）中表1和表4一级标准</w:t>
            </w:r>
            <w:bookmarkEnd w:id="4"/>
          </w:p>
        </w:tc>
      </w:tr>
      <w:tr w14:paraId="1E037C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1" w:type="dxa"/>
            <w:vMerge w:val="continue"/>
            <w:tcBorders>
              <w:left w:val="single" w:color="auto" w:sz="4" w:space="0"/>
              <w:right w:val="single" w:color="auto" w:sz="4" w:space="0"/>
            </w:tcBorders>
            <w:vAlign w:val="center"/>
          </w:tcPr>
          <w:p w14:paraId="255ABB79">
            <w:pPr>
              <w:adjustRightInd w:val="0"/>
              <w:snapToGrid w:val="0"/>
              <w:spacing w:line="320" w:lineRule="exact"/>
              <w:jc w:val="center"/>
              <w:rPr>
                <w:color w:val="auto"/>
                <w:sz w:val="21"/>
                <w:szCs w:val="21"/>
              </w:rPr>
            </w:pPr>
          </w:p>
        </w:tc>
        <w:tc>
          <w:tcPr>
            <w:tcW w:w="1515" w:type="dxa"/>
            <w:tcBorders>
              <w:top w:val="single" w:color="auto" w:sz="4" w:space="0"/>
              <w:left w:val="single" w:color="auto" w:sz="4" w:space="0"/>
              <w:right w:val="single" w:color="auto" w:sz="4" w:space="0"/>
            </w:tcBorders>
            <w:vAlign w:val="center"/>
          </w:tcPr>
          <w:p w14:paraId="5B8A340B">
            <w:pPr>
              <w:widowControl/>
              <w:adjustRightInd w:val="0"/>
              <w:snapToGrid w:val="0"/>
              <w:spacing w:line="320" w:lineRule="exact"/>
              <w:jc w:val="center"/>
              <w:rPr>
                <w:color w:val="auto"/>
                <w:sz w:val="21"/>
                <w:szCs w:val="21"/>
              </w:rPr>
            </w:pPr>
            <w:r>
              <w:rPr>
                <w:color w:val="auto"/>
                <w:sz w:val="21"/>
                <w:szCs w:val="21"/>
              </w:rPr>
              <w:t>生活污水</w:t>
            </w:r>
          </w:p>
        </w:tc>
        <w:tc>
          <w:tcPr>
            <w:tcW w:w="1425" w:type="dxa"/>
            <w:tcBorders>
              <w:top w:val="single" w:color="auto" w:sz="4" w:space="0"/>
              <w:left w:val="single" w:color="auto" w:sz="4" w:space="0"/>
              <w:bottom w:val="single" w:color="auto" w:sz="4" w:space="0"/>
              <w:right w:val="single" w:color="auto" w:sz="4" w:space="0"/>
            </w:tcBorders>
            <w:vAlign w:val="center"/>
          </w:tcPr>
          <w:p w14:paraId="4BC724A6">
            <w:pPr>
              <w:widowControl/>
              <w:adjustRightInd w:val="0"/>
              <w:snapToGrid w:val="0"/>
              <w:spacing w:line="320" w:lineRule="exact"/>
              <w:jc w:val="center"/>
              <w:rPr>
                <w:color w:val="auto"/>
                <w:kern w:val="0"/>
                <w:sz w:val="21"/>
                <w:szCs w:val="21"/>
              </w:rPr>
            </w:pPr>
            <w:r>
              <w:rPr>
                <w:color w:val="auto"/>
                <w:sz w:val="21"/>
                <w:szCs w:val="21"/>
              </w:rPr>
              <w:t>COD</w:t>
            </w:r>
            <w:r>
              <w:rPr>
                <w:color w:val="auto"/>
                <w:sz w:val="21"/>
                <w:szCs w:val="21"/>
                <w:vertAlign w:val="subscript"/>
              </w:rPr>
              <w:t>Cr</w:t>
            </w:r>
            <w:r>
              <w:rPr>
                <w:color w:val="auto"/>
                <w:sz w:val="21"/>
                <w:szCs w:val="21"/>
              </w:rPr>
              <w:t>、BOD</w:t>
            </w:r>
            <w:r>
              <w:rPr>
                <w:color w:val="auto"/>
                <w:sz w:val="21"/>
                <w:szCs w:val="21"/>
                <w:vertAlign w:val="subscript"/>
              </w:rPr>
              <w:t>5</w:t>
            </w:r>
            <w:r>
              <w:rPr>
                <w:color w:val="auto"/>
                <w:sz w:val="21"/>
                <w:szCs w:val="21"/>
              </w:rPr>
              <w:t>、SS、NH</w:t>
            </w:r>
            <w:r>
              <w:rPr>
                <w:color w:val="auto"/>
                <w:sz w:val="21"/>
                <w:szCs w:val="21"/>
                <w:vertAlign w:val="subscript"/>
              </w:rPr>
              <w:t>3</w:t>
            </w:r>
            <w:r>
              <w:rPr>
                <w:color w:val="auto"/>
                <w:sz w:val="21"/>
                <w:szCs w:val="21"/>
              </w:rPr>
              <w:t>-N</w:t>
            </w:r>
          </w:p>
        </w:tc>
        <w:tc>
          <w:tcPr>
            <w:tcW w:w="2751" w:type="dxa"/>
            <w:tcBorders>
              <w:top w:val="single" w:color="auto" w:sz="4" w:space="0"/>
              <w:left w:val="single" w:color="auto" w:sz="4" w:space="0"/>
              <w:right w:val="single" w:color="auto" w:sz="4" w:space="0"/>
            </w:tcBorders>
            <w:vAlign w:val="center"/>
          </w:tcPr>
          <w:p w14:paraId="1EA40D94">
            <w:pPr>
              <w:spacing w:line="320" w:lineRule="exact"/>
              <w:jc w:val="center"/>
              <w:rPr>
                <w:bCs/>
                <w:color w:val="auto"/>
                <w:sz w:val="21"/>
                <w:szCs w:val="21"/>
              </w:rPr>
            </w:pPr>
            <w:r>
              <w:rPr>
                <w:rFonts w:hint="eastAsia"/>
                <w:color w:val="auto"/>
                <w:sz w:val="21"/>
              </w:rPr>
              <w:t>生活污水经化粪池处理后经园区污水管网排入园区生活污水处理厂</w:t>
            </w:r>
          </w:p>
        </w:tc>
        <w:tc>
          <w:tcPr>
            <w:tcW w:w="2342" w:type="dxa"/>
            <w:tcBorders>
              <w:top w:val="single" w:color="auto" w:sz="4" w:space="0"/>
              <w:left w:val="single" w:color="auto" w:sz="4" w:space="0"/>
              <w:right w:val="single" w:color="auto" w:sz="4" w:space="0"/>
            </w:tcBorders>
            <w:vAlign w:val="center"/>
          </w:tcPr>
          <w:p w14:paraId="6217FC64">
            <w:pPr>
              <w:adjustRightInd w:val="0"/>
              <w:snapToGrid w:val="0"/>
              <w:spacing w:line="320" w:lineRule="exact"/>
              <w:jc w:val="center"/>
              <w:rPr>
                <w:color w:val="auto"/>
                <w:sz w:val="21"/>
                <w:szCs w:val="21"/>
              </w:rPr>
            </w:pPr>
            <w:r>
              <w:rPr>
                <w:color w:val="auto"/>
                <w:sz w:val="21"/>
                <w:szCs w:val="21"/>
              </w:rPr>
              <w:t>《污水综合排放标准》（GB8978-1996）中</w:t>
            </w:r>
            <w:r>
              <w:rPr>
                <w:rFonts w:hint="eastAsia"/>
                <w:color w:val="auto"/>
                <w:sz w:val="21"/>
                <w:szCs w:val="21"/>
                <w:lang w:val="en-US" w:eastAsia="zh-CN"/>
              </w:rPr>
              <w:t>表4</w:t>
            </w:r>
            <w:r>
              <w:rPr>
                <w:color w:val="auto"/>
                <w:sz w:val="21"/>
                <w:szCs w:val="21"/>
              </w:rPr>
              <w:t>三级排放标准</w:t>
            </w:r>
          </w:p>
        </w:tc>
      </w:tr>
      <w:tr w14:paraId="540524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1" w:type="dxa"/>
            <w:vMerge w:val="continue"/>
            <w:tcBorders>
              <w:left w:val="single" w:color="auto" w:sz="4" w:space="0"/>
              <w:right w:val="single" w:color="auto" w:sz="4" w:space="0"/>
            </w:tcBorders>
            <w:vAlign w:val="center"/>
          </w:tcPr>
          <w:p w14:paraId="6EEA98EA">
            <w:pPr>
              <w:adjustRightInd w:val="0"/>
              <w:snapToGrid w:val="0"/>
              <w:spacing w:line="320" w:lineRule="exact"/>
              <w:jc w:val="center"/>
              <w:rPr>
                <w:color w:val="auto"/>
                <w:sz w:val="21"/>
                <w:szCs w:val="21"/>
              </w:rPr>
            </w:pPr>
          </w:p>
        </w:tc>
        <w:tc>
          <w:tcPr>
            <w:tcW w:w="1515" w:type="dxa"/>
            <w:tcBorders>
              <w:top w:val="single" w:color="auto" w:sz="4" w:space="0"/>
              <w:left w:val="single" w:color="auto" w:sz="4" w:space="0"/>
              <w:right w:val="single" w:color="auto" w:sz="4" w:space="0"/>
            </w:tcBorders>
            <w:vAlign w:val="center"/>
          </w:tcPr>
          <w:p w14:paraId="0721B8EC">
            <w:pPr>
              <w:widowControl/>
              <w:adjustRightInd w:val="0"/>
              <w:snapToGrid w:val="0"/>
              <w:spacing w:line="320" w:lineRule="exact"/>
              <w:jc w:val="center"/>
              <w:rPr>
                <w:color w:val="auto"/>
                <w:sz w:val="21"/>
                <w:szCs w:val="21"/>
              </w:rPr>
            </w:pPr>
            <w:r>
              <w:rPr>
                <w:rFonts w:hint="eastAsia"/>
                <w:color w:val="auto"/>
                <w:sz w:val="21"/>
                <w:szCs w:val="21"/>
              </w:rPr>
              <w:t>初期雨水</w:t>
            </w:r>
          </w:p>
        </w:tc>
        <w:tc>
          <w:tcPr>
            <w:tcW w:w="1425" w:type="dxa"/>
            <w:tcBorders>
              <w:top w:val="single" w:color="auto" w:sz="4" w:space="0"/>
              <w:left w:val="single" w:color="auto" w:sz="4" w:space="0"/>
              <w:bottom w:val="single" w:color="auto" w:sz="4" w:space="0"/>
              <w:right w:val="single" w:color="auto" w:sz="4" w:space="0"/>
            </w:tcBorders>
            <w:vAlign w:val="center"/>
          </w:tcPr>
          <w:p w14:paraId="796B2E9B">
            <w:pPr>
              <w:widowControl/>
              <w:adjustRightInd w:val="0"/>
              <w:snapToGrid w:val="0"/>
              <w:spacing w:line="320" w:lineRule="exact"/>
              <w:jc w:val="center"/>
              <w:rPr>
                <w:color w:val="auto"/>
                <w:sz w:val="21"/>
                <w:szCs w:val="21"/>
              </w:rPr>
            </w:pPr>
            <w:r>
              <w:rPr>
                <w:rFonts w:hint="eastAsia"/>
                <w:color w:val="auto"/>
                <w:sz w:val="21"/>
                <w:szCs w:val="21"/>
              </w:rPr>
              <w:t>SS</w:t>
            </w:r>
          </w:p>
        </w:tc>
        <w:tc>
          <w:tcPr>
            <w:tcW w:w="2751" w:type="dxa"/>
            <w:tcBorders>
              <w:top w:val="single" w:color="auto" w:sz="4" w:space="0"/>
              <w:left w:val="single" w:color="auto" w:sz="4" w:space="0"/>
              <w:right w:val="single" w:color="auto" w:sz="4" w:space="0"/>
            </w:tcBorders>
            <w:vAlign w:val="center"/>
          </w:tcPr>
          <w:p w14:paraId="2EB9E9B7">
            <w:pPr>
              <w:spacing w:line="320" w:lineRule="exact"/>
              <w:jc w:val="center"/>
              <w:rPr>
                <w:color w:val="auto"/>
                <w:sz w:val="21"/>
                <w:szCs w:val="21"/>
              </w:rPr>
            </w:pPr>
            <w:r>
              <w:rPr>
                <w:rFonts w:hint="eastAsia"/>
                <w:color w:val="auto"/>
                <w:sz w:val="21"/>
                <w:szCs w:val="21"/>
              </w:rPr>
              <w:t>项目拟在厂区最低处（西南侧）建设</w:t>
            </w:r>
            <w:r>
              <w:rPr>
                <w:color w:val="auto"/>
                <w:sz w:val="21"/>
                <w:szCs w:val="21"/>
              </w:rPr>
              <w:t>1</w:t>
            </w:r>
            <w:r>
              <w:rPr>
                <w:rFonts w:hint="eastAsia"/>
                <w:color w:val="auto"/>
                <w:sz w:val="21"/>
                <w:szCs w:val="21"/>
              </w:rPr>
              <w:t>座150</w:t>
            </w:r>
            <w:r>
              <w:rPr>
                <w:color w:val="auto"/>
                <w:sz w:val="21"/>
                <w:szCs w:val="21"/>
              </w:rPr>
              <w:t>m</w:t>
            </w:r>
            <w:r>
              <w:rPr>
                <w:color w:val="auto"/>
                <w:sz w:val="21"/>
                <w:szCs w:val="21"/>
                <w:vertAlign w:val="superscript"/>
              </w:rPr>
              <w:t>3</w:t>
            </w:r>
            <w:r>
              <w:rPr>
                <w:rFonts w:hint="eastAsia"/>
                <w:color w:val="auto"/>
                <w:sz w:val="21"/>
                <w:szCs w:val="21"/>
              </w:rPr>
              <w:t>初期雨水池，收集的雨水经沉淀后回用于厂区空地洒水降尘。</w:t>
            </w:r>
          </w:p>
        </w:tc>
        <w:tc>
          <w:tcPr>
            <w:tcW w:w="2342" w:type="dxa"/>
            <w:tcBorders>
              <w:top w:val="single" w:color="auto" w:sz="4" w:space="0"/>
              <w:left w:val="single" w:color="auto" w:sz="4" w:space="0"/>
              <w:right w:val="single" w:color="auto" w:sz="4" w:space="0"/>
            </w:tcBorders>
            <w:vAlign w:val="center"/>
          </w:tcPr>
          <w:p w14:paraId="61B6D1F7">
            <w:pPr>
              <w:adjustRightInd w:val="0"/>
              <w:snapToGrid w:val="0"/>
              <w:spacing w:line="320" w:lineRule="exact"/>
              <w:jc w:val="center"/>
              <w:rPr>
                <w:color w:val="auto"/>
                <w:sz w:val="21"/>
                <w:szCs w:val="21"/>
              </w:rPr>
            </w:pPr>
            <w:r>
              <w:rPr>
                <w:color w:val="auto"/>
                <w:sz w:val="21"/>
                <w:szCs w:val="21"/>
              </w:rPr>
              <w:t>/</w:t>
            </w:r>
          </w:p>
        </w:tc>
      </w:tr>
      <w:tr w14:paraId="46496B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1" w:type="dxa"/>
            <w:tcBorders>
              <w:top w:val="single" w:color="auto" w:sz="4" w:space="0"/>
              <w:left w:val="single" w:color="auto" w:sz="4" w:space="0"/>
              <w:right w:val="single" w:color="auto" w:sz="4" w:space="0"/>
            </w:tcBorders>
            <w:vAlign w:val="center"/>
          </w:tcPr>
          <w:p w14:paraId="53E00BF4">
            <w:pPr>
              <w:adjustRightInd w:val="0"/>
              <w:snapToGrid w:val="0"/>
              <w:spacing w:line="320" w:lineRule="exact"/>
              <w:jc w:val="center"/>
              <w:rPr>
                <w:color w:val="auto"/>
                <w:sz w:val="21"/>
                <w:szCs w:val="21"/>
              </w:rPr>
            </w:pPr>
            <w:r>
              <w:rPr>
                <w:color w:val="auto"/>
                <w:sz w:val="21"/>
                <w:szCs w:val="21"/>
              </w:rPr>
              <w:t>声环境</w:t>
            </w:r>
          </w:p>
        </w:tc>
        <w:tc>
          <w:tcPr>
            <w:tcW w:w="1515" w:type="dxa"/>
            <w:tcBorders>
              <w:top w:val="single" w:color="auto" w:sz="4" w:space="0"/>
              <w:left w:val="single" w:color="auto" w:sz="4" w:space="0"/>
              <w:right w:val="single" w:color="auto" w:sz="4" w:space="0"/>
            </w:tcBorders>
            <w:vAlign w:val="center"/>
          </w:tcPr>
          <w:p w14:paraId="7BEC8E78">
            <w:pPr>
              <w:adjustRightInd w:val="0"/>
              <w:snapToGrid w:val="0"/>
              <w:spacing w:line="320" w:lineRule="exact"/>
              <w:jc w:val="center"/>
              <w:rPr>
                <w:color w:val="auto"/>
                <w:sz w:val="21"/>
                <w:szCs w:val="21"/>
              </w:rPr>
            </w:pPr>
            <w:r>
              <w:rPr>
                <w:color w:val="auto"/>
                <w:sz w:val="21"/>
                <w:szCs w:val="21"/>
              </w:rPr>
              <w:t>生产设备</w:t>
            </w:r>
          </w:p>
        </w:tc>
        <w:tc>
          <w:tcPr>
            <w:tcW w:w="1425" w:type="dxa"/>
            <w:tcBorders>
              <w:top w:val="single" w:color="auto" w:sz="4" w:space="0"/>
              <w:left w:val="single" w:color="auto" w:sz="4" w:space="0"/>
              <w:right w:val="single" w:color="auto" w:sz="4" w:space="0"/>
            </w:tcBorders>
            <w:vAlign w:val="center"/>
          </w:tcPr>
          <w:p w14:paraId="30DF48D7">
            <w:pPr>
              <w:adjustRightInd w:val="0"/>
              <w:snapToGrid w:val="0"/>
              <w:spacing w:line="320" w:lineRule="exact"/>
              <w:jc w:val="center"/>
              <w:rPr>
                <w:color w:val="auto"/>
                <w:sz w:val="21"/>
                <w:szCs w:val="21"/>
              </w:rPr>
            </w:pPr>
            <w:r>
              <w:rPr>
                <w:color w:val="auto"/>
                <w:sz w:val="21"/>
                <w:szCs w:val="21"/>
              </w:rPr>
              <w:t>噪声</w:t>
            </w:r>
          </w:p>
        </w:tc>
        <w:tc>
          <w:tcPr>
            <w:tcW w:w="2751" w:type="dxa"/>
            <w:tcBorders>
              <w:top w:val="single" w:color="auto" w:sz="4" w:space="0"/>
              <w:left w:val="single" w:color="auto" w:sz="4" w:space="0"/>
              <w:right w:val="single" w:color="auto" w:sz="4" w:space="0"/>
            </w:tcBorders>
            <w:vAlign w:val="center"/>
          </w:tcPr>
          <w:p w14:paraId="2073AED0">
            <w:pPr>
              <w:adjustRightInd w:val="0"/>
              <w:snapToGrid w:val="0"/>
              <w:spacing w:line="320" w:lineRule="exact"/>
              <w:jc w:val="center"/>
              <w:rPr>
                <w:color w:val="auto"/>
                <w:sz w:val="21"/>
                <w:szCs w:val="21"/>
              </w:rPr>
            </w:pPr>
            <w:r>
              <w:rPr>
                <w:color w:val="auto"/>
                <w:sz w:val="21"/>
                <w:szCs w:val="21"/>
              </w:rPr>
              <w:t>选用低噪声设备，采取</w:t>
            </w:r>
            <w:r>
              <w:rPr>
                <w:rFonts w:hint="eastAsia"/>
                <w:color w:val="auto"/>
                <w:sz w:val="21"/>
                <w:szCs w:val="21"/>
              </w:rPr>
              <w:t>隔声、减振</w:t>
            </w:r>
            <w:r>
              <w:rPr>
                <w:color w:val="auto"/>
                <w:sz w:val="21"/>
                <w:szCs w:val="21"/>
              </w:rPr>
              <w:t>，经距离衰减</w:t>
            </w:r>
          </w:p>
        </w:tc>
        <w:tc>
          <w:tcPr>
            <w:tcW w:w="2342" w:type="dxa"/>
            <w:tcBorders>
              <w:top w:val="single" w:color="auto" w:sz="4" w:space="0"/>
              <w:left w:val="single" w:color="auto" w:sz="4" w:space="0"/>
              <w:bottom w:val="single" w:color="auto" w:sz="4" w:space="0"/>
              <w:right w:val="single" w:color="auto" w:sz="4" w:space="0"/>
            </w:tcBorders>
            <w:vAlign w:val="center"/>
          </w:tcPr>
          <w:p w14:paraId="502BD736">
            <w:pPr>
              <w:adjustRightInd w:val="0"/>
              <w:snapToGrid w:val="0"/>
              <w:spacing w:line="320" w:lineRule="exact"/>
              <w:jc w:val="center"/>
              <w:rPr>
                <w:color w:val="auto"/>
                <w:sz w:val="21"/>
                <w:szCs w:val="21"/>
              </w:rPr>
            </w:pPr>
            <w:r>
              <w:rPr>
                <w:color w:val="auto"/>
                <w:sz w:val="21"/>
                <w:szCs w:val="21"/>
              </w:rPr>
              <w:t>《工业企业厂界环境噪声排放标准》（GB12348-2008）表1中的</w:t>
            </w:r>
            <w:r>
              <w:rPr>
                <w:rFonts w:hint="eastAsia"/>
                <w:color w:val="auto"/>
                <w:sz w:val="21"/>
                <w:szCs w:val="21"/>
              </w:rPr>
              <w:t>3</w:t>
            </w:r>
            <w:r>
              <w:rPr>
                <w:color w:val="auto"/>
                <w:sz w:val="21"/>
                <w:szCs w:val="21"/>
              </w:rPr>
              <w:t>类标准</w:t>
            </w:r>
          </w:p>
        </w:tc>
      </w:tr>
      <w:tr w14:paraId="1F7BB9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1" w:type="dxa"/>
            <w:tcBorders>
              <w:top w:val="single" w:color="auto" w:sz="4" w:space="0"/>
              <w:left w:val="single" w:color="auto" w:sz="4" w:space="0"/>
            </w:tcBorders>
            <w:vAlign w:val="center"/>
          </w:tcPr>
          <w:p w14:paraId="3325D3C9">
            <w:pPr>
              <w:adjustRightInd w:val="0"/>
              <w:snapToGrid w:val="0"/>
              <w:spacing w:line="320" w:lineRule="exact"/>
              <w:jc w:val="center"/>
              <w:rPr>
                <w:color w:val="auto"/>
                <w:sz w:val="21"/>
                <w:szCs w:val="21"/>
              </w:rPr>
            </w:pPr>
            <w:r>
              <w:rPr>
                <w:color w:val="auto"/>
                <w:sz w:val="21"/>
                <w:szCs w:val="21"/>
              </w:rPr>
              <w:t>固体废物</w:t>
            </w:r>
          </w:p>
        </w:tc>
        <w:tc>
          <w:tcPr>
            <w:tcW w:w="8033" w:type="dxa"/>
            <w:gridSpan w:val="4"/>
            <w:tcBorders>
              <w:top w:val="single" w:color="auto" w:sz="4" w:space="0"/>
            </w:tcBorders>
            <w:vAlign w:val="center"/>
          </w:tcPr>
          <w:p w14:paraId="0886ECC6">
            <w:pPr>
              <w:widowControl/>
              <w:spacing w:line="320" w:lineRule="exact"/>
              <w:jc w:val="left"/>
              <w:rPr>
                <w:color w:val="auto"/>
                <w:sz w:val="21"/>
                <w:szCs w:val="21"/>
              </w:rPr>
            </w:pPr>
            <w:r>
              <w:rPr>
                <w:color w:val="auto"/>
                <w:sz w:val="21"/>
                <w:szCs w:val="21"/>
              </w:rPr>
              <w:t>废机油、废制动液、废铅酸蓄电池、废机滤</w:t>
            </w:r>
            <w:r>
              <w:rPr>
                <w:rFonts w:hint="eastAsia"/>
                <w:color w:val="auto"/>
                <w:sz w:val="21"/>
                <w:szCs w:val="21"/>
              </w:rPr>
              <w:t>、废油、污泥</w:t>
            </w:r>
            <w:r>
              <w:rPr>
                <w:rFonts w:hint="eastAsia"/>
                <w:color w:val="auto"/>
                <w:sz w:val="21"/>
                <w:szCs w:val="21"/>
                <w:lang w:eastAsia="zh-CN"/>
              </w:rPr>
              <w:t>、</w:t>
            </w:r>
            <w:r>
              <w:rPr>
                <w:rFonts w:hint="eastAsia"/>
                <w:color w:val="auto"/>
                <w:sz w:val="21"/>
                <w:szCs w:val="21"/>
                <w:lang w:val="en-US" w:eastAsia="zh-CN"/>
              </w:rPr>
              <w:t>废膜、沾染油污的废零部件</w:t>
            </w:r>
            <w:r>
              <w:rPr>
                <w:rFonts w:hint="eastAsia"/>
                <w:color w:val="auto"/>
                <w:sz w:val="21"/>
                <w:szCs w:val="21"/>
              </w:rPr>
              <w:t>分类暂存于危废库（</w:t>
            </w:r>
            <w:r>
              <w:rPr>
                <w:rFonts w:hint="eastAsia"/>
                <w:color w:val="auto"/>
                <w:sz w:val="21"/>
                <w:szCs w:val="21"/>
                <w:lang w:val="en-US" w:eastAsia="zh-CN"/>
              </w:rPr>
              <w:t>50</w:t>
            </w:r>
            <w:r>
              <w:rPr>
                <w:rFonts w:hint="eastAsia"/>
                <w:color w:val="auto"/>
                <w:sz w:val="21"/>
                <w:szCs w:val="21"/>
              </w:rPr>
              <w:t>m</w:t>
            </w:r>
            <w:r>
              <w:rPr>
                <w:rFonts w:hint="eastAsia"/>
                <w:color w:val="auto"/>
                <w:sz w:val="21"/>
                <w:szCs w:val="21"/>
                <w:vertAlign w:val="superscript"/>
              </w:rPr>
              <w:t>2</w:t>
            </w:r>
            <w:r>
              <w:rPr>
                <w:rFonts w:hint="eastAsia"/>
                <w:color w:val="auto"/>
                <w:sz w:val="21"/>
                <w:szCs w:val="21"/>
              </w:rPr>
              <w:t>），定期交由有资质单位处置；非磁性物质暂存于</w:t>
            </w:r>
            <w:r>
              <w:rPr>
                <w:rFonts w:hint="eastAsia"/>
                <w:color w:val="auto"/>
                <w:sz w:val="21"/>
                <w:szCs w:val="21"/>
                <w:lang w:val="en-US" w:eastAsia="zh-CN"/>
              </w:rPr>
              <w:t>废钢储存库房</w:t>
            </w:r>
            <w:r>
              <w:rPr>
                <w:rFonts w:hint="eastAsia"/>
                <w:color w:val="auto"/>
                <w:sz w:val="21"/>
                <w:szCs w:val="21"/>
              </w:rPr>
              <w:t>，收集后外售废品回收公司综合利用</w:t>
            </w:r>
            <w:r>
              <w:rPr>
                <w:rFonts w:hint="eastAsia"/>
                <w:color w:val="auto"/>
                <w:sz w:val="21"/>
                <w:szCs w:val="21"/>
                <w:lang w:eastAsia="zh-CN"/>
              </w:rPr>
              <w:t>；</w:t>
            </w:r>
            <w:r>
              <w:rPr>
                <w:rFonts w:hint="eastAsia"/>
                <w:color w:val="auto"/>
                <w:sz w:val="21"/>
                <w:szCs w:val="21"/>
                <w:lang w:val="en-US" w:eastAsia="zh-CN"/>
              </w:rPr>
              <w:t>未沾染油污的</w:t>
            </w:r>
            <w:r>
              <w:rPr>
                <w:rFonts w:hint="eastAsia"/>
                <w:color w:val="auto"/>
                <w:sz w:val="21"/>
                <w:szCs w:val="21"/>
              </w:rPr>
              <w:t>废零部件暂存于一般固废暂存间（20m</w:t>
            </w:r>
            <w:r>
              <w:rPr>
                <w:rFonts w:hint="eastAsia"/>
                <w:color w:val="auto"/>
                <w:sz w:val="21"/>
                <w:szCs w:val="21"/>
                <w:vertAlign w:val="superscript"/>
              </w:rPr>
              <w:t>2</w:t>
            </w:r>
            <w:r>
              <w:rPr>
                <w:rFonts w:hint="eastAsia"/>
                <w:color w:val="auto"/>
                <w:sz w:val="21"/>
                <w:szCs w:val="21"/>
              </w:rPr>
              <w:t>），收</w:t>
            </w:r>
            <w:r>
              <w:rPr>
                <w:color w:val="auto"/>
                <w:sz w:val="21"/>
                <w:szCs w:val="21"/>
              </w:rPr>
              <w:t>集后外售废品回收公司综合利用</w:t>
            </w:r>
            <w:r>
              <w:rPr>
                <w:rFonts w:hint="eastAsia"/>
                <w:color w:val="auto"/>
                <w:sz w:val="21"/>
                <w:szCs w:val="21"/>
              </w:rPr>
              <w:t>；除尘器收集粉尘</w:t>
            </w:r>
            <w:r>
              <w:rPr>
                <w:rFonts w:hint="eastAsia"/>
                <w:color w:val="0000FF"/>
                <w:sz w:val="21"/>
                <w:szCs w:val="21"/>
                <w:lang w:val="en-US" w:eastAsia="zh-CN"/>
              </w:rPr>
              <w:t>收集后作为产品外售</w:t>
            </w:r>
            <w:r>
              <w:rPr>
                <w:rFonts w:hint="eastAsia"/>
                <w:color w:val="auto"/>
                <w:sz w:val="21"/>
                <w:szCs w:val="21"/>
              </w:rPr>
              <w:t>；生活垃圾由当地环卫部门定期清运。</w:t>
            </w:r>
          </w:p>
        </w:tc>
      </w:tr>
      <w:tr w14:paraId="6CE181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1" w:type="dxa"/>
            <w:tcBorders>
              <w:top w:val="single" w:color="auto" w:sz="4" w:space="0"/>
              <w:left w:val="single" w:color="auto" w:sz="4" w:space="0"/>
              <w:bottom w:val="single" w:color="auto" w:sz="4" w:space="0"/>
              <w:right w:val="single" w:color="auto" w:sz="4" w:space="0"/>
            </w:tcBorders>
            <w:vAlign w:val="center"/>
          </w:tcPr>
          <w:p w14:paraId="05C74058">
            <w:pPr>
              <w:adjustRightInd w:val="0"/>
              <w:snapToGrid w:val="0"/>
              <w:spacing w:line="320" w:lineRule="exact"/>
              <w:jc w:val="center"/>
              <w:rPr>
                <w:color w:val="auto"/>
                <w:sz w:val="21"/>
                <w:szCs w:val="21"/>
              </w:rPr>
            </w:pPr>
            <w:r>
              <w:rPr>
                <w:color w:val="auto"/>
                <w:sz w:val="21"/>
                <w:szCs w:val="21"/>
              </w:rPr>
              <w:t>土壤及地下水污染防治措施</w:t>
            </w:r>
          </w:p>
        </w:tc>
        <w:tc>
          <w:tcPr>
            <w:tcW w:w="8033" w:type="dxa"/>
            <w:gridSpan w:val="4"/>
            <w:tcBorders>
              <w:top w:val="single" w:color="auto" w:sz="4" w:space="0"/>
              <w:left w:val="single" w:color="auto" w:sz="4" w:space="0"/>
              <w:bottom w:val="single" w:color="auto" w:sz="4" w:space="0"/>
              <w:right w:val="single" w:color="auto" w:sz="4" w:space="0"/>
            </w:tcBorders>
            <w:vAlign w:val="center"/>
          </w:tcPr>
          <w:p w14:paraId="609D234A">
            <w:pPr>
              <w:adjustRightInd w:val="0"/>
              <w:snapToGrid w:val="0"/>
              <w:spacing w:line="320" w:lineRule="exact"/>
              <w:jc w:val="left"/>
              <w:rPr>
                <w:color w:val="auto"/>
                <w:sz w:val="21"/>
                <w:szCs w:val="21"/>
              </w:rPr>
            </w:pPr>
            <w:r>
              <w:rPr>
                <w:rFonts w:hint="eastAsia"/>
                <w:color w:val="auto"/>
                <w:sz w:val="21"/>
                <w:szCs w:val="21"/>
              </w:rPr>
              <w:t>危废暂存库为重点防渗区，</w:t>
            </w:r>
            <w:r>
              <w:rPr>
                <w:color w:val="auto"/>
                <w:sz w:val="21"/>
                <w:szCs w:val="21"/>
              </w:rPr>
              <w:t>按照《危险废物贮存污染控制标准》（GB18597-2023）相关内容进行防渗：</w:t>
            </w:r>
            <w:r>
              <w:rPr>
                <w:bCs/>
                <w:color w:val="auto"/>
                <w:sz w:val="21"/>
                <w:szCs w:val="21"/>
              </w:rPr>
              <w:t>地面由下至上依次为天然基础层+300mm</w:t>
            </w:r>
            <w:r>
              <w:rPr>
                <w:rFonts w:hint="eastAsia"/>
                <w:bCs/>
                <w:color w:val="auto"/>
                <w:sz w:val="21"/>
                <w:szCs w:val="21"/>
              </w:rPr>
              <w:t>土夯实</w:t>
            </w:r>
            <w:r>
              <w:rPr>
                <w:bCs/>
                <w:color w:val="auto"/>
                <w:sz w:val="21"/>
                <w:szCs w:val="21"/>
              </w:rPr>
              <w:t>+2mmHDPE土工膜+200mmC30混凝土地面+4mm环氧地坪，渗透系数满足≤10</w:t>
            </w:r>
            <w:r>
              <w:rPr>
                <w:bCs/>
                <w:color w:val="auto"/>
                <w:sz w:val="21"/>
                <w:szCs w:val="21"/>
                <w:vertAlign w:val="superscript"/>
              </w:rPr>
              <w:t>-10</w:t>
            </w:r>
            <w:r>
              <w:rPr>
                <w:bCs/>
                <w:color w:val="auto"/>
                <w:sz w:val="21"/>
                <w:szCs w:val="21"/>
              </w:rPr>
              <w:t>cm/s的要求，裙脚采用2mm厚高密度聚乙烯（HDPE）防渗膜渗透系数≤10</w:t>
            </w:r>
            <w:r>
              <w:rPr>
                <w:bCs/>
                <w:color w:val="auto"/>
                <w:sz w:val="21"/>
                <w:szCs w:val="21"/>
                <w:vertAlign w:val="superscript"/>
              </w:rPr>
              <w:t>-10</w:t>
            </w:r>
            <w:r>
              <w:rPr>
                <w:bCs/>
                <w:color w:val="auto"/>
                <w:sz w:val="21"/>
                <w:szCs w:val="21"/>
              </w:rPr>
              <w:t>cm/s，建筑材料与危险废物相容</w:t>
            </w:r>
            <w:r>
              <w:rPr>
                <w:rFonts w:hint="eastAsia"/>
                <w:color w:val="auto"/>
                <w:sz w:val="21"/>
                <w:szCs w:val="21"/>
              </w:rPr>
              <w:t>；维修车间、污水处理设施、初期雨水池和事故水池为重点防渗区，采用在防渗钢筋混凝土表面刷涂刷水泥基渗透结晶型防渗涂料等构成防渗层进行防渗，等效黏土防渗层Mb≥6.0m，K≤1×10</w:t>
            </w:r>
            <w:r>
              <w:rPr>
                <w:rFonts w:hint="eastAsia"/>
                <w:color w:val="auto"/>
                <w:sz w:val="21"/>
                <w:szCs w:val="21"/>
                <w:vertAlign w:val="superscript"/>
              </w:rPr>
              <w:t>-7</w:t>
            </w:r>
            <w:r>
              <w:rPr>
                <w:rFonts w:hint="eastAsia"/>
                <w:color w:val="auto"/>
                <w:sz w:val="21"/>
                <w:szCs w:val="21"/>
              </w:rPr>
              <w:t>cm/s；化粪池、破碎车间、废钢储存库为一般防渗区，</w:t>
            </w:r>
            <w:r>
              <w:rPr>
                <w:color w:val="auto"/>
                <w:sz w:val="21"/>
                <w:szCs w:val="21"/>
              </w:rPr>
              <w:t>防渗技术要求等效黏土防渗层Mb≥1.5m，K≤1×10</w:t>
            </w:r>
            <w:r>
              <w:rPr>
                <w:color w:val="auto"/>
                <w:sz w:val="21"/>
                <w:szCs w:val="21"/>
                <w:vertAlign w:val="superscript"/>
              </w:rPr>
              <w:t>-7</w:t>
            </w:r>
            <w:r>
              <w:rPr>
                <w:color w:val="auto"/>
                <w:sz w:val="21"/>
                <w:szCs w:val="21"/>
              </w:rPr>
              <w:t>cm/s；</w:t>
            </w:r>
            <w:r>
              <w:rPr>
                <w:rFonts w:hint="eastAsia"/>
                <w:color w:val="auto"/>
                <w:sz w:val="21"/>
                <w:szCs w:val="21"/>
              </w:rPr>
              <w:t>办公生活区及厂区空地等为简单防渗区，一般水泥硬化。</w:t>
            </w:r>
          </w:p>
        </w:tc>
      </w:tr>
      <w:tr w14:paraId="210914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1" w:type="dxa"/>
            <w:tcBorders>
              <w:top w:val="single" w:color="auto" w:sz="4" w:space="0"/>
              <w:left w:val="single" w:color="auto" w:sz="4" w:space="0"/>
              <w:bottom w:val="single" w:color="auto" w:sz="4" w:space="0"/>
              <w:right w:val="single" w:color="auto" w:sz="4" w:space="0"/>
            </w:tcBorders>
            <w:vAlign w:val="center"/>
          </w:tcPr>
          <w:p w14:paraId="3A3ED5D4">
            <w:pPr>
              <w:adjustRightInd w:val="0"/>
              <w:snapToGrid w:val="0"/>
              <w:spacing w:line="320" w:lineRule="exact"/>
              <w:jc w:val="center"/>
              <w:rPr>
                <w:color w:val="auto"/>
                <w:sz w:val="21"/>
                <w:szCs w:val="21"/>
              </w:rPr>
            </w:pPr>
            <w:r>
              <w:rPr>
                <w:color w:val="auto"/>
                <w:sz w:val="21"/>
                <w:szCs w:val="21"/>
              </w:rPr>
              <w:t>生态保护措施</w:t>
            </w:r>
          </w:p>
        </w:tc>
        <w:tc>
          <w:tcPr>
            <w:tcW w:w="8033" w:type="dxa"/>
            <w:gridSpan w:val="4"/>
            <w:tcBorders>
              <w:top w:val="single" w:color="auto" w:sz="4" w:space="0"/>
              <w:left w:val="single" w:color="auto" w:sz="4" w:space="0"/>
              <w:bottom w:val="single" w:color="auto" w:sz="4" w:space="0"/>
              <w:right w:val="single" w:color="auto" w:sz="4" w:space="0"/>
            </w:tcBorders>
            <w:vAlign w:val="center"/>
          </w:tcPr>
          <w:p w14:paraId="7919ADFF">
            <w:pPr>
              <w:pStyle w:val="24"/>
              <w:adjustRightInd w:val="0"/>
              <w:snapToGrid w:val="0"/>
              <w:spacing w:after="0" w:line="320" w:lineRule="exact"/>
              <w:ind w:left="0" w:leftChars="0" w:firstLine="0"/>
              <w:jc w:val="center"/>
              <w:rPr>
                <w:color w:val="auto"/>
                <w:sz w:val="21"/>
                <w:szCs w:val="21"/>
              </w:rPr>
            </w:pPr>
            <w:r>
              <w:rPr>
                <w:rFonts w:hint="eastAsia"/>
                <w:color w:val="auto"/>
                <w:sz w:val="21"/>
                <w:szCs w:val="21"/>
              </w:rPr>
              <w:t>/</w:t>
            </w:r>
          </w:p>
        </w:tc>
      </w:tr>
      <w:tr w14:paraId="2109C3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1" w:type="dxa"/>
            <w:tcBorders>
              <w:top w:val="single" w:color="auto" w:sz="4" w:space="0"/>
              <w:left w:val="single" w:color="auto" w:sz="4" w:space="0"/>
              <w:bottom w:val="single" w:color="auto" w:sz="4" w:space="0"/>
              <w:right w:val="single" w:color="auto" w:sz="4" w:space="0"/>
            </w:tcBorders>
            <w:vAlign w:val="center"/>
          </w:tcPr>
          <w:p w14:paraId="5741711E">
            <w:pPr>
              <w:adjustRightInd w:val="0"/>
              <w:snapToGrid w:val="0"/>
              <w:spacing w:line="320" w:lineRule="exact"/>
              <w:jc w:val="center"/>
              <w:rPr>
                <w:color w:val="auto"/>
                <w:spacing w:val="-8"/>
                <w:sz w:val="21"/>
                <w:szCs w:val="21"/>
              </w:rPr>
            </w:pPr>
            <w:r>
              <w:rPr>
                <w:color w:val="auto"/>
                <w:spacing w:val="-8"/>
                <w:sz w:val="21"/>
                <w:szCs w:val="21"/>
              </w:rPr>
              <w:t>环境风险防范措施</w:t>
            </w:r>
          </w:p>
        </w:tc>
        <w:tc>
          <w:tcPr>
            <w:tcW w:w="8033" w:type="dxa"/>
            <w:gridSpan w:val="4"/>
            <w:tcBorders>
              <w:top w:val="single" w:color="auto" w:sz="4" w:space="0"/>
              <w:left w:val="single" w:color="auto" w:sz="4" w:space="0"/>
              <w:bottom w:val="single" w:color="auto" w:sz="4" w:space="0"/>
              <w:right w:val="single" w:color="auto" w:sz="4" w:space="0"/>
            </w:tcBorders>
            <w:vAlign w:val="center"/>
          </w:tcPr>
          <w:p w14:paraId="34185076">
            <w:pPr>
              <w:spacing w:line="320" w:lineRule="exact"/>
              <w:ind w:firstLine="420" w:firstLineChars="200"/>
              <w:jc w:val="left"/>
              <w:rPr>
                <w:color w:val="auto"/>
                <w:kern w:val="0"/>
                <w:sz w:val="21"/>
                <w:szCs w:val="21"/>
              </w:rPr>
            </w:pPr>
            <w:r>
              <w:rPr>
                <w:color w:val="auto"/>
                <w:kern w:val="0"/>
                <w:sz w:val="21"/>
                <w:szCs w:val="21"/>
              </w:rPr>
              <w:t>①加强安全管理，提高员工的安全管理操作意识；</w:t>
            </w:r>
          </w:p>
          <w:p w14:paraId="111E6DB8">
            <w:pPr>
              <w:spacing w:line="320" w:lineRule="exact"/>
              <w:ind w:firstLine="420" w:firstLineChars="200"/>
              <w:jc w:val="left"/>
              <w:rPr>
                <w:color w:val="auto"/>
                <w:kern w:val="0"/>
                <w:sz w:val="21"/>
                <w:szCs w:val="21"/>
              </w:rPr>
            </w:pPr>
            <w:r>
              <w:rPr>
                <w:color w:val="auto"/>
                <w:kern w:val="0"/>
                <w:sz w:val="21"/>
                <w:szCs w:val="21"/>
              </w:rPr>
              <w:t>②严格按照《危险废物贮存污染控制标准》要求建设危废贮存</w:t>
            </w:r>
            <w:r>
              <w:rPr>
                <w:rFonts w:hint="eastAsia"/>
                <w:color w:val="auto"/>
                <w:kern w:val="0"/>
                <w:sz w:val="21"/>
                <w:szCs w:val="21"/>
              </w:rPr>
              <w:t>库</w:t>
            </w:r>
            <w:r>
              <w:rPr>
                <w:color w:val="auto"/>
                <w:kern w:val="0"/>
                <w:sz w:val="21"/>
                <w:szCs w:val="21"/>
              </w:rPr>
              <w:t>，库内设</w:t>
            </w:r>
            <w:r>
              <w:rPr>
                <w:rFonts w:hint="eastAsia"/>
                <w:color w:val="auto"/>
                <w:kern w:val="0"/>
                <w:sz w:val="21"/>
                <w:szCs w:val="21"/>
              </w:rPr>
              <w:t>2</w:t>
            </w:r>
            <w:r>
              <w:rPr>
                <w:color w:val="auto"/>
                <w:kern w:val="0"/>
                <w:sz w:val="21"/>
                <w:szCs w:val="21"/>
              </w:rPr>
              <w:t>0cm高墙裙作为围堰，库内</w:t>
            </w:r>
            <w:r>
              <w:rPr>
                <w:rFonts w:hint="eastAsia"/>
                <w:color w:val="auto"/>
                <w:kern w:val="0"/>
                <w:sz w:val="21"/>
                <w:szCs w:val="21"/>
              </w:rPr>
              <w:t>废矿物油区</w:t>
            </w:r>
            <w:r>
              <w:rPr>
                <w:color w:val="auto"/>
                <w:kern w:val="0"/>
                <w:sz w:val="21"/>
                <w:szCs w:val="21"/>
              </w:rPr>
              <w:t>设置导流槽和集液池，导流槽沿内墙墙壁布置，</w:t>
            </w:r>
            <w:r>
              <w:rPr>
                <w:rFonts w:hint="eastAsia"/>
                <w:color w:val="auto"/>
                <w:kern w:val="0"/>
                <w:sz w:val="21"/>
                <w:szCs w:val="21"/>
              </w:rPr>
              <w:t>导流槽长32m、</w:t>
            </w:r>
            <w:r>
              <w:rPr>
                <w:color w:val="auto"/>
                <w:kern w:val="0"/>
                <w:sz w:val="21"/>
                <w:szCs w:val="21"/>
              </w:rPr>
              <w:t>宽0.3m、深0.1m</w:t>
            </w:r>
            <w:r>
              <w:rPr>
                <w:rFonts w:hint="eastAsia"/>
                <w:color w:val="auto"/>
                <w:kern w:val="0"/>
                <w:sz w:val="21"/>
                <w:szCs w:val="21"/>
              </w:rPr>
              <w:t>，</w:t>
            </w:r>
            <w:r>
              <w:rPr>
                <w:color w:val="auto"/>
                <w:kern w:val="0"/>
                <w:sz w:val="21"/>
                <w:szCs w:val="21"/>
              </w:rPr>
              <w:t>集液池容积为</w:t>
            </w:r>
            <w:r>
              <w:rPr>
                <w:rFonts w:hint="eastAsia"/>
                <w:color w:val="auto"/>
                <w:kern w:val="0"/>
                <w:sz w:val="21"/>
                <w:szCs w:val="21"/>
                <w:lang w:val="en-US" w:eastAsia="zh-CN"/>
              </w:rPr>
              <w:t>5</w:t>
            </w:r>
            <w:r>
              <w:rPr>
                <w:color w:val="auto"/>
                <w:kern w:val="0"/>
                <w:sz w:val="21"/>
                <w:szCs w:val="21"/>
              </w:rPr>
              <w:t>m</w:t>
            </w:r>
            <w:r>
              <w:rPr>
                <w:color w:val="auto"/>
                <w:kern w:val="0"/>
                <w:sz w:val="21"/>
                <w:szCs w:val="21"/>
                <w:vertAlign w:val="superscript"/>
              </w:rPr>
              <w:t>3</w:t>
            </w:r>
            <w:r>
              <w:rPr>
                <w:color w:val="auto"/>
                <w:kern w:val="0"/>
                <w:sz w:val="21"/>
                <w:szCs w:val="21"/>
              </w:rPr>
              <w:t>，与集液池连通</w:t>
            </w:r>
            <w:r>
              <w:rPr>
                <w:rFonts w:hint="eastAsia"/>
                <w:color w:val="auto"/>
                <w:kern w:val="0"/>
                <w:sz w:val="21"/>
                <w:szCs w:val="21"/>
              </w:rPr>
              <w:t>，</w:t>
            </w:r>
            <w:r>
              <w:rPr>
                <w:color w:val="auto"/>
                <w:kern w:val="0"/>
                <w:sz w:val="21"/>
                <w:szCs w:val="21"/>
              </w:rPr>
              <w:t>收集事故情况下泄漏的</w:t>
            </w:r>
            <w:r>
              <w:rPr>
                <w:rFonts w:hint="eastAsia"/>
                <w:color w:val="auto"/>
                <w:kern w:val="0"/>
                <w:sz w:val="21"/>
                <w:szCs w:val="21"/>
              </w:rPr>
              <w:t>废油</w:t>
            </w:r>
            <w:r>
              <w:rPr>
                <w:color w:val="auto"/>
                <w:kern w:val="0"/>
                <w:sz w:val="21"/>
                <w:szCs w:val="21"/>
              </w:rPr>
              <w:t>；</w:t>
            </w:r>
          </w:p>
          <w:p w14:paraId="36198962">
            <w:pPr>
              <w:spacing w:line="320" w:lineRule="exact"/>
              <w:ind w:firstLine="420" w:firstLineChars="200"/>
              <w:jc w:val="left"/>
              <w:rPr>
                <w:color w:val="auto"/>
                <w:kern w:val="0"/>
                <w:sz w:val="21"/>
                <w:szCs w:val="21"/>
              </w:rPr>
            </w:pPr>
            <w:r>
              <w:rPr>
                <w:color w:val="auto"/>
                <w:kern w:val="0"/>
                <w:sz w:val="21"/>
                <w:szCs w:val="21"/>
              </w:rPr>
              <w:t>③盛装危险废物的容器材质和衬里要与危险废物相容（不相互反应）；容器外应贴上危险废物标签等警示标志，并对包装容器进行定期检查；</w:t>
            </w:r>
          </w:p>
          <w:p w14:paraId="73F0BF5E">
            <w:pPr>
              <w:adjustRightInd w:val="0"/>
              <w:snapToGrid w:val="0"/>
              <w:spacing w:line="320" w:lineRule="exact"/>
              <w:ind w:firstLine="420" w:firstLineChars="200"/>
              <w:rPr>
                <w:color w:val="auto"/>
                <w:kern w:val="0"/>
                <w:sz w:val="21"/>
                <w:szCs w:val="21"/>
              </w:rPr>
            </w:pPr>
            <w:r>
              <w:rPr>
                <w:rFonts w:hint="eastAsia"/>
                <w:color w:val="auto"/>
                <w:kern w:val="0"/>
                <w:sz w:val="21"/>
                <w:szCs w:val="21"/>
              </w:rPr>
              <w:t>④盐酸储存于HDPE桶内</w:t>
            </w:r>
            <w:r>
              <w:rPr>
                <w:rFonts w:hint="eastAsia"/>
                <w:color w:val="auto"/>
                <w:kern w:val="0"/>
                <w:sz w:val="21"/>
                <w:szCs w:val="21"/>
                <w:lang w:eastAsia="zh-CN"/>
              </w:rPr>
              <w:t>，</w:t>
            </w:r>
            <w:r>
              <w:rPr>
                <w:rFonts w:hint="eastAsia"/>
                <w:color w:val="auto"/>
                <w:kern w:val="0"/>
                <w:sz w:val="21"/>
                <w:szCs w:val="21"/>
                <w:lang w:val="en-US" w:eastAsia="zh-CN"/>
              </w:rPr>
              <w:t>并对储存地面座耐酸碱防渗处理，设置15cm高围堰+30L集液池，用于收集泄漏的盐酸</w:t>
            </w:r>
            <w:r>
              <w:rPr>
                <w:rFonts w:hint="eastAsia"/>
                <w:color w:val="auto"/>
                <w:kern w:val="0"/>
                <w:sz w:val="21"/>
                <w:szCs w:val="21"/>
              </w:rPr>
              <w:t>。</w:t>
            </w:r>
          </w:p>
          <w:p w14:paraId="3FDEAAD5">
            <w:pPr>
              <w:adjustRightInd w:val="0"/>
              <w:snapToGrid w:val="0"/>
              <w:spacing w:line="320" w:lineRule="exact"/>
              <w:ind w:firstLine="420" w:firstLineChars="200"/>
              <w:rPr>
                <w:color w:val="auto"/>
                <w:sz w:val="21"/>
                <w:szCs w:val="21"/>
              </w:rPr>
            </w:pPr>
            <w:r>
              <w:rPr>
                <w:rFonts w:hint="eastAsia"/>
                <w:color w:val="auto"/>
                <w:kern w:val="0"/>
                <w:sz w:val="21"/>
                <w:szCs w:val="21"/>
              </w:rPr>
              <w:t>⑤设置1座400m</w:t>
            </w:r>
            <w:r>
              <w:rPr>
                <w:rFonts w:hint="eastAsia"/>
                <w:color w:val="auto"/>
                <w:kern w:val="0"/>
                <w:sz w:val="21"/>
                <w:szCs w:val="21"/>
                <w:vertAlign w:val="superscript"/>
              </w:rPr>
              <w:t>3</w:t>
            </w:r>
            <w:r>
              <w:rPr>
                <w:rFonts w:hint="eastAsia"/>
                <w:color w:val="auto"/>
                <w:kern w:val="0"/>
                <w:sz w:val="21"/>
                <w:szCs w:val="21"/>
              </w:rPr>
              <w:t>事故水池，用于事故情况下废水收集。</w:t>
            </w:r>
          </w:p>
        </w:tc>
      </w:tr>
      <w:tr w14:paraId="284932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61" w:type="dxa"/>
            <w:tcBorders>
              <w:top w:val="single" w:color="auto" w:sz="4" w:space="0"/>
              <w:left w:val="single" w:color="auto" w:sz="4" w:space="0"/>
              <w:bottom w:val="single" w:color="auto" w:sz="4" w:space="0"/>
              <w:right w:val="single" w:color="auto" w:sz="4" w:space="0"/>
            </w:tcBorders>
            <w:vAlign w:val="center"/>
          </w:tcPr>
          <w:p w14:paraId="30DE0DE5">
            <w:pPr>
              <w:adjustRightInd w:val="0"/>
              <w:snapToGrid w:val="0"/>
              <w:spacing w:line="320" w:lineRule="exact"/>
              <w:jc w:val="center"/>
              <w:rPr>
                <w:color w:val="auto"/>
                <w:spacing w:val="-8"/>
                <w:sz w:val="21"/>
                <w:szCs w:val="21"/>
              </w:rPr>
            </w:pPr>
            <w:r>
              <w:rPr>
                <w:color w:val="auto"/>
                <w:spacing w:val="-8"/>
                <w:sz w:val="21"/>
                <w:szCs w:val="21"/>
              </w:rPr>
              <w:t>其他环境管理要求</w:t>
            </w:r>
          </w:p>
        </w:tc>
        <w:tc>
          <w:tcPr>
            <w:tcW w:w="8033" w:type="dxa"/>
            <w:gridSpan w:val="4"/>
            <w:tcBorders>
              <w:top w:val="single" w:color="auto" w:sz="4" w:space="0"/>
              <w:left w:val="single" w:color="auto" w:sz="4" w:space="0"/>
              <w:bottom w:val="single" w:color="auto" w:sz="4" w:space="0"/>
              <w:right w:val="single" w:color="auto" w:sz="4" w:space="0"/>
            </w:tcBorders>
            <w:vAlign w:val="center"/>
          </w:tcPr>
          <w:p w14:paraId="0A1315DC">
            <w:pPr>
              <w:adjustRightInd w:val="0"/>
              <w:snapToGrid w:val="0"/>
              <w:spacing w:line="320" w:lineRule="exact"/>
              <w:jc w:val="left"/>
              <w:rPr>
                <w:color w:val="auto"/>
                <w:sz w:val="21"/>
                <w:szCs w:val="21"/>
              </w:rPr>
            </w:pPr>
            <w:r>
              <w:rPr>
                <w:color w:val="auto"/>
                <w:sz w:val="21"/>
                <w:szCs w:val="21"/>
              </w:rPr>
              <w:t>项目建成后应设有环境保护管理部门，至少设专职环保人员1名，负责全厂的环境保护管理工作。监督并定期检车各车间环保设施的管理和运行情况，发现问题及时会同有关部门解决，保证全厂环保设施处于完好状态。</w:t>
            </w:r>
          </w:p>
        </w:tc>
      </w:tr>
    </w:tbl>
    <w:p w14:paraId="787EAE3A">
      <w:pPr>
        <w:pStyle w:val="21"/>
        <w:jc w:val="center"/>
        <w:outlineLvl w:val="0"/>
        <w:rPr>
          <w:rFonts w:ascii="Times New Roman" w:hAnsi="Times New Roman"/>
          <w:b/>
          <w:bCs/>
          <w:snapToGrid w:val="0"/>
          <w:color w:val="auto"/>
          <w:sz w:val="30"/>
          <w:szCs w:val="30"/>
        </w:rPr>
      </w:pPr>
      <w:r>
        <w:rPr>
          <w:rFonts w:ascii="Times New Roman" w:hAnsi="Times New Roman"/>
          <w:snapToGrid w:val="0"/>
          <w:color w:val="auto"/>
          <w:szCs w:val="24"/>
        </w:rPr>
        <w:br w:type="page"/>
      </w:r>
      <w:r>
        <w:rPr>
          <w:rFonts w:ascii="Times New Roman" w:hAnsi="Times New Roman"/>
          <w:b/>
          <w:bCs/>
          <w:snapToGrid w:val="0"/>
          <w:color w:val="auto"/>
          <w:sz w:val="30"/>
          <w:szCs w:val="30"/>
        </w:rPr>
        <w:t>六、结论</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0C77CD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0778F81D">
            <w:pPr>
              <w:pStyle w:val="10"/>
              <w:spacing w:before="0" w:after="0" w:line="360" w:lineRule="auto"/>
              <w:ind w:right="0" w:firstLine="480" w:firstLineChars="200"/>
              <w:jc w:val="left"/>
              <w:rPr>
                <w:rFonts w:hint="eastAsia" w:hAnsi="宋体"/>
                <w:color w:val="auto"/>
                <w:sz w:val="24"/>
              </w:rPr>
            </w:pPr>
            <w:r>
              <w:rPr>
                <w:rFonts w:hint="eastAsia" w:hAnsi="宋体"/>
                <w:color w:val="auto"/>
                <w:sz w:val="24"/>
              </w:rPr>
              <w:t>根据对本项目建设情况及环境影响分析，本项目建设符合国家产业政策，项目选址合理。经采取环保治理措施后，可实现污染物达标排放，对当地环境不会造成明显影响，从环境保护角度来看本项目建设可行。</w:t>
            </w:r>
          </w:p>
          <w:p w14:paraId="2AFBFAE0">
            <w:pPr>
              <w:pStyle w:val="24"/>
              <w:ind w:left="0" w:leftChars="0" w:firstLine="480" w:firstLineChars="200"/>
              <w:jc w:val="center"/>
              <w:rPr>
                <w:color w:val="auto"/>
                <w:szCs w:val="24"/>
              </w:rPr>
            </w:pPr>
          </w:p>
        </w:tc>
      </w:tr>
    </w:tbl>
    <w:p w14:paraId="117923B5">
      <w:pPr>
        <w:pStyle w:val="13"/>
        <w:jc w:val="left"/>
        <w:rPr>
          <w:rFonts w:ascii="Times New Roman" w:hAnsi="Times New Roman" w:cs="Times New Roman"/>
          <w:b/>
          <w:bCs/>
          <w:color w:val="auto"/>
          <w:sz w:val="24"/>
          <w:szCs w:val="24"/>
        </w:rPr>
        <w:sectPr>
          <w:pgSz w:w="11906" w:h="16838"/>
          <w:pgMar w:top="1417" w:right="1417" w:bottom="1417" w:left="1417" w:header="851" w:footer="851" w:gutter="0"/>
          <w:pgBorders>
            <w:top w:val="none" w:sz="0" w:space="0"/>
            <w:left w:val="none" w:sz="0" w:space="0"/>
            <w:bottom w:val="none" w:sz="0" w:space="0"/>
            <w:right w:val="none" w:sz="0" w:space="0"/>
          </w:pgBorders>
          <w:cols w:space="0" w:num="1"/>
          <w:docGrid w:linePitch="312" w:charSpace="0"/>
        </w:sectPr>
      </w:pPr>
    </w:p>
    <w:p w14:paraId="0A86B01A">
      <w:pPr>
        <w:pStyle w:val="21"/>
        <w:adjustRightInd w:val="0"/>
        <w:snapToGrid w:val="0"/>
        <w:spacing w:before="0" w:beforeAutospacing="0" w:after="0" w:afterAutospacing="0" w:line="360" w:lineRule="exact"/>
        <w:outlineLvl w:val="0"/>
        <w:rPr>
          <w:rFonts w:ascii="Times New Roman" w:hAnsi="Times New Roman"/>
          <w:b/>
          <w:bCs/>
          <w:snapToGrid w:val="0"/>
          <w:color w:val="auto"/>
          <w:szCs w:val="24"/>
        </w:rPr>
      </w:pPr>
      <w:r>
        <w:rPr>
          <w:rFonts w:ascii="Times New Roman" w:hAnsi="Times New Roman"/>
          <w:b/>
          <w:bCs/>
          <w:snapToGrid w:val="0"/>
          <w:color w:val="auto"/>
          <w:szCs w:val="24"/>
        </w:rPr>
        <w:t>附表</w:t>
      </w:r>
    </w:p>
    <w:p w14:paraId="5BA42AD6">
      <w:pPr>
        <w:pStyle w:val="21"/>
        <w:adjustRightInd w:val="0"/>
        <w:snapToGrid w:val="0"/>
        <w:spacing w:before="0" w:beforeAutospacing="0" w:after="0" w:afterAutospacing="0" w:line="360" w:lineRule="exact"/>
        <w:jc w:val="center"/>
        <w:outlineLvl w:val="0"/>
        <w:rPr>
          <w:rFonts w:ascii="Times New Roman" w:hAnsi="Times New Roman"/>
          <w:b/>
          <w:bCs/>
          <w:snapToGrid w:val="0"/>
          <w:color w:val="auto"/>
          <w:szCs w:val="24"/>
        </w:rPr>
      </w:pPr>
      <w:r>
        <w:rPr>
          <w:rFonts w:ascii="Times New Roman" w:hAnsi="Times New Roman"/>
          <w:b/>
          <w:bCs/>
          <w:snapToGrid w:val="0"/>
          <w:color w:val="auto"/>
          <w:szCs w:val="24"/>
        </w:rPr>
        <w:t>建设项目污染物排放量汇总表</w:t>
      </w:r>
    </w:p>
    <w:tbl>
      <w:tblPr>
        <w:tblStyle w:val="25"/>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323"/>
        <w:gridCol w:w="1832"/>
        <w:gridCol w:w="1243"/>
        <w:gridCol w:w="1184"/>
        <w:gridCol w:w="1612"/>
        <w:gridCol w:w="1531"/>
        <w:gridCol w:w="1688"/>
        <w:gridCol w:w="1892"/>
        <w:gridCol w:w="1671"/>
      </w:tblGrid>
      <w:tr w14:paraId="1E28E8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473" w:type="pct"/>
            <w:tcBorders>
              <w:tl2br w:val="single" w:color="auto" w:sz="4" w:space="0"/>
            </w:tcBorders>
            <w:tcMar>
              <w:left w:w="28" w:type="dxa"/>
              <w:right w:w="28" w:type="dxa"/>
            </w:tcMar>
            <w:vAlign w:val="center"/>
          </w:tcPr>
          <w:p w14:paraId="42557810">
            <w:pPr>
              <w:pStyle w:val="52"/>
              <w:keepNext w:val="0"/>
              <w:keepLines w:val="0"/>
              <w:pageBreakBefore w:val="0"/>
              <w:widowControl w:val="0"/>
              <w:kinsoku/>
              <w:wordWrap/>
              <w:overflowPunct/>
              <w:topLinePunct w:val="0"/>
              <w:autoSpaceDE/>
              <w:autoSpaceDN/>
              <w:bidi w:val="0"/>
              <w:spacing w:beforeLines="0" w:afterLines="0" w:line="340" w:lineRule="exact"/>
              <w:ind w:firstLine="594" w:firstLineChars="300"/>
              <w:jc w:val="both"/>
              <w:textAlignment w:val="auto"/>
              <w:rPr>
                <w:rFonts w:ascii="Times New Roman" w:hAnsi="Times New Roman" w:cs="Times New Roman"/>
                <w:snapToGrid w:val="0"/>
                <w:color w:val="auto"/>
                <w:spacing w:val="-6"/>
                <w:kern w:val="21"/>
                <w:sz w:val="21"/>
                <w:szCs w:val="21"/>
              </w:rPr>
            </w:pPr>
            <w:r>
              <w:rPr>
                <w:rFonts w:ascii="Times New Roman" w:hAnsi="Times New Roman" w:cs="Times New Roman"/>
                <w:snapToGrid w:val="0"/>
                <w:color w:val="auto"/>
                <w:spacing w:val="-6"/>
                <w:kern w:val="21"/>
                <w:sz w:val="21"/>
                <w:szCs w:val="21"/>
              </w:rPr>
              <w:t xml:space="preserve"> 项目</w:t>
            </w:r>
          </w:p>
          <w:p w14:paraId="5B71E0F1">
            <w:pPr>
              <w:pStyle w:val="52"/>
              <w:keepNext w:val="0"/>
              <w:keepLines w:val="0"/>
              <w:pageBreakBefore w:val="0"/>
              <w:widowControl w:val="0"/>
              <w:kinsoku/>
              <w:wordWrap/>
              <w:overflowPunct/>
              <w:topLinePunct w:val="0"/>
              <w:autoSpaceDE/>
              <w:autoSpaceDN/>
              <w:bidi w:val="0"/>
              <w:spacing w:beforeLines="0" w:afterLines="0" w:line="340" w:lineRule="exact"/>
              <w:jc w:val="both"/>
              <w:textAlignment w:val="auto"/>
              <w:rPr>
                <w:rFonts w:ascii="Times New Roman" w:hAnsi="Times New Roman" w:cs="Times New Roman"/>
                <w:snapToGrid w:val="0"/>
                <w:color w:val="auto"/>
                <w:spacing w:val="-6"/>
                <w:kern w:val="21"/>
                <w:sz w:val="21"/>
                <w:szCs w:val="21"/>
              </w:rPr>
            </w:pPr>
            <w:r>
              <w:rPr>
                <w:rFonts w:ascii="Times New Roman" w:hAnsi="Times New Roman" w:cs="Times New Roman"/>
                <w:snapToGrid w:val="0"/>
                <w:color w:val="auto"/>
                <w:spacing w:val="-6"/>
                <w:kern w:val="21"/>
                <w:sz w:val="21"/>
                <w:szCs w:val="21"/>
              </w:rPr>
              <w:t>分类</w:t>
            </w:r>
          </w:p>
        </w:tc>
        <w:tc>
          <w:tcPr>
            <w:tcW w:w="655" w:type="pct"/>
            <w:tcMar>
              <w:left w:w="28" w:type="dxa"/>
              <w:right w:w="28" w:type="dxa"/>
            </w:tcMar>
            <w:vAlign w:val="center"/>
          </w:tcPr>
          <w:p w14:paraId="7159CB1A">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6"/>
                <w:kern w:val="21"/>
                <w:sz w:val="21"/>
                <w:szCs w:val="21"/>
              </w:rPr>
            </w:pPr>
            <w:r>
              <w:rPr>
                <w:rFonts w:ascii="Times New Roman" w:hAnsi="Times New Roman" w:cs="Times New Roman"/>
                <w:snapToGrid w:val="0"/>
                <w:color w:val="auto"/>
                <w:spacing w:val="-6"/>
                <w:kern w:val="21"/>
                <w:sz w:val="21"/>
                <w:szCs w:val="21"/>
              </w:rPr>
              <w:t>污染物名称</w:t>
            </w:r>
          </w:p>
        </w:tc>
        <w:tc>
          <w:tcPr>
            <w:tcW w:w="444" w:type="pct"/>
            <w:tcMar>
              <w:left w:w="28" w:type="dxa"/>
              <w:right w:w="28" w:type="dxa"/>
            </w:tcMar>
            <w:vAlign w:val="center"/>
          </w:tcPr>
          <w:p w14:paraId="32887D5D">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6"/>
                <w:kern w:val="21"/>
                <w:sz w:val="21"/>
                <w:szCs w:val="21"/>
              </w:rPr>
            </w:pPr>
            <w:r>
              <w:rPr>
                <w:rFonts w:ascii="Times New Roman" w:hAnsi="Times New Roman" w:cs="Times New Roman"/>
                <w:snapToGrid w:val="0"/>
                <w:color w:val="auto"/>
                <w:spacing w:val="-6"/>
                <w:kern w:val="21"/>
                <w:sz w:val="21"/>
                <w:szCs w:val="21"/>
              </w:rPr>
              <w:t>现有工程</w:t>
            </w:r>
          </w:p>
          <w:p w14:paraId="695064D5">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6"/>
                <w:kern w:val="21"/>
                <w:sz w:val="21"/>
                <w:szCs w:val="21"/>
              </w:rPr>
            </w:pPr>
            <w:r>
              <w:rPr>
                <w:rFonts w:ascii="Times New Roman" w:hAnsi="Times New Roman" w:cs="Times New Roman"/>
                <w:snapToGrid w:val="0"/>
                <w:color w:val="auto"/>
                <w:spacing w:val="-6"/>
                <w:kern w:val="21"/>
                <w:sz w:val="21"/>
                <w:szCs w:val="21"/>
              </w:rPr>
              <w:t>排放量（固体废物产生量）</w:t>
            </w:r>
            <w:r>
              <w:rPr>
                <w:rFonts w:ascii="Times New Roman" w:hAnsi="Times New Roman" w:cs="Times New Roman"/>
                <w:snapToGrid w:val="0"/>
                <w:color w:val="auto"/>
                <w:spacing w:val="-6"/>
                <w:kern w:val="21"/>
                <w:sz w:val="21"/>
                <w:szCs w:val="21"/>
              </w:rPr>
              <w:fldChar w:fldCharType="begin"/>
            </w:r>
            <w:r>
              <w:rPr>
                <w:rFonts w:ascii="Times New Roman" w:hAnsi="Times New Roman" w:cs="Times New Roman"/>
                <w:snapToGrid w:val="0"/>
                <w:color w:val="auto"/>
                <w:spacing w:val="-6"/>
                <w:kern w:val="21"/>
                <w:sz w:val="21"/>
                <w:szCs w:val="21"/>
              </w:rPr>
              <w:instrText xml:space="preserve"> = 1 \* GB3 \* MERGEFORMAT </w:instrText>
            </w:r>
            <w:r>
              <w:rPr>
                <w:rFonts w:ascii="Times New Roman" w:hAnsi="Times New Roman" w:cs="Times New Roman"/>
                <w:snapToGrid w:val="0"/>
                <w:color w:val="auto"/>
                <w:spacing w:val="-6"/>
                <w:kern w:val="21"/>
                <w:sz w:val="21"/>
                <w:szCs w:val="21"/>
              </w:rPr>
              <w:fldChar w:fldCharType="separate"/>
            </w:r>
            <w:r>
              <w:rPr>
                <w:rFonts w:ascii="Times New Roman" w:hAnsi="Times New Roman" w:cs="Times New Roman"/>
                <w:color w:val="auto"/>
                <w:kern w:val="2"/>
                <w:sz w:val="21"/>
                <w:szCs w:val="21"/>
              </w:rPr>
              <w:t>①</w:t>
            </w:r>
            <w:r>
              <w:rPr>
                <w:rFonts w:ascii="Times New Roman" w:hAnsi="Times New Roman" w:cs="Times New Roman"/>
                <w:snapToGrid w:val="0"/>
                <w:color w:val="auto"/>
                <w:spacing w:val="-6"/>
                <w:kern w:val="21"/>
                <w:sz w:val="21"/>
                <w:szCs w:val="21"/>
              </w:rPr>
              <w:fldChar w:fldCharType="end"/>
            </w:r>
          </w:p>
        </w:tc>
        <w:tc>
          <w:tcPr>
            <w:tcW w:w="423" w:type="pct"/>
            <w:tcMar>
              <w:left w:w="28" w:type="dxa"/>
              <w:right w:w="28" w:type="dxa"/>
            </w:tcMar>
            <w:vAlign w:val="center"/>
          </w:tcPr>
          <w:p w14:paraId="60A3D8D2">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6"/>
                <w:kern w:val="21"/>
                <w:sz w:val="21"/>
                <w:szCs w:val="21"/>
              </w:rPr>
            </w:pPr>
            <w:r>
              <w:rPr>
                <w:rFonts w:ascii="Times New Roman" w:hAnsi="Times New Roman" w:cs="Times New Roman"/>
                <w:snapToGrid w:val="0"/>
                <w:color w:val="auto"/>
                <w:spacing w:val="-6"/>
                <w:kern w:val="21"/>
                <w:sz w:val="21"/>
                <w:szCs w:val="21"/>
              </w:rPr>
              <w:t>现有工程</w:t>
            </w:r>
          </w:p>
          <w:p w14:paraId="42F57B63">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6"/>
                <w:kern w:val="21"/>
                <w:sz w:val="21"/>
                <w:szCs w:val="21"/>
              </w:rPr>
            </w:pPr>
            <w:r>
              <w:rPr>
                <w:rFonts w:ascii="Times New Roman" w:hAnsi="Times New Roman" w:cs="Times New Roman"/>
                <w:snapToGrid w:val="0"/>
                <w:color w:val="auto"/>
                <w:spacing w:val="-6"/>
                <w:kern w:val="21"/>
                <w:sz w:val="21"/>
                <w:szCs w:val="21"/>
              </w:rPr>
              <w:t>许可排放量</w:t>
            </w:r>
          </w:p>
          <w:p w14:paraId="2A65315F">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6"/>
                <w:kern w:val="21"/>
                <w:sz w:val="21"/>
                <w:szCs w:val="21"/>
              </w:rPr>
            </w:pPr>
            <w:r>
              <w:rPr>
                <w:rFonts w:ascii="Times New Roman" w:hAnsi="Times New Roman" w:cs="Times New Roman"/>
                <w:snapToGrid w:val="0"/>
                <w:color w:val="auto"/>
                <w:spacing w:val="-6"/>
                <w:kern w:val="21"/>
                <w:sz w:val="21"/>
                <w:szCs w:val="21"/>
              </w:rPr>
              <w:fldChar w:fldCharType="begin"/>
            </w:r>
            <w:r>
              <w:rPr>
                <w:rFonts w:ascii="Times New Roman" w:hAnsi="Times New Roman" w:cs="Times New Roman"/>
                <w:snapToGrid w:val="0"/>
                <w:color w:val="auto"/>
                <w:spacing w:val="-6"/>
                <w:kern w:val="21"/>
                <w:sz w:val="21"/>
                <w:szCs w:val="21"/>
              </w:rPr>
              <w:instrText xml:space="preserve"> = 2 \* GB3 \* MERGEFORMAT </w:instrText>
            </w:r>
            <w:r>
              <w:rPr>
                <w:rFonts w:ascii="Times New Roman" w:hAnsi="Times New Roman" w:cs="Times New Roman"/>
                <w:snapToGrid w:val="0"/>
                <w:color w:val="auto"/>
                <w:spacing w:val="-6"/>
                <w:kern w:val="21"/>
                <w:sz w:val="21"/>
                <w:szCs w:val="21"/>
              </w:rPr>
              <w:fldChar w:fldCharType="separate"/>
            </w:r>
            <w:r>
              <w:rPr>
                <w:rFonts w:ascii="Times New Roman" w:hAnsi="Times New Roman" w:cs="Times New Roman"/>
                <w:snapToGrid w:val="0"/>
                <w:color w:val="auto"/>
                <w:spacing w:val="-6"/>
                <w:kern w:val="21"/>
                <w:sz w:val="21"/>
                <w:szCs w:val="21"/>
              </w:rPr>
              <w:t>②</w:t>
            </w:r>
            <w:r>
              <w:rPr>
                <w:rFonts w:ascii="Times New Roman" w:hAnsi="Times New Roman" w:cs="Times New Roman"/>
                <w:snapToGrid w:val="0"/>
                <w:color w:val="auto"/>
                <w:spacing w:val="-6"/>
                <w:kern w:val="21"/>
                <w:sz w:val="21"/>
                <w:szCs w:val="21"/>
              </w:rPr>
              <w:fldChar w:fldCharType="end"/>
            </w:r>
          </w:p>
        </w:tc>
        <w:tc>
          <w:tcPr>
            <w:tcW w:w="576" w:type="pct"/>
            <w:tcMar>
              <w:left w:w="28" w:type="dxa"/>
              <w:right w:w="28" w:type="dxa"/>
            </w:tcMar>
            <w:vAlign w:val="center"/>
          </w:tcPr>
          <w:p w14:paraId="41D3F31A">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6"/>
                <w:kern w:val="21"/>
                <w:sz w:val="21"/>
                <w:szCs w:val="21"/>
              </w:rPr>
            </w:pPr>
            <w:r>
              <w:rPr>
                <w:rFonts w:ascii="Times New Roman" w:hAnsi="Times New Roman" w:cs="Times New Roman"/>
                <w:snapToGrid w:val="0"/>
                <w:color w:val="auto"/>
                <w:spacing w:val="-6"/>
                <w:kern w:val="21"/>
                <w:sz w:val="21"/>
                <w:szCs w:val="21"/>
              </w:rPr>
              <w:t>在建工程</w:t>
            </w:r>
          </w:p>
          <w:p w14:paraId="462A06E2">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6"/>
                <w:kern w:val="21"/>
                <w:sz w:val="21"/>
                <w:szCs w:val="21"/>
              </w:rPr>
            </w:pPr>
            <w:r>
              <w:rPr>
                <w:rFonts w:ascii="Times New Roman" w:hAnsi="Times New Roman" w:cs="Times New Roman"/>
                <w:snapToGrid w:val="0"/>
                <w:color w:val="auto"/>
                <w:spacing w:val="-6"/>
                <w:kern w:val="21"/>
                <w:sz w:val="21"/>
                <w:szCs w:val="21"/>
              </w:rPr>
              <w:t>排放量（固体废物产生量）</w:t>
            </w:r>
            <w:r>
              <w:rPr>
                <w:rFonts w:ascii="Times New Roman" w:hAnsi="Times New Roman" w:cs="Times New Roman"/>
                <w:snapToGrid w:val="0"/>
                <w:color w:val="auto"/>
                <w:spacing w:val="-6"/>
                <w:kern w:val="21"/>
                <w:sz w:val="21"/>
                <w:szCs w:val="21"/>
              </w:rPr>
              <w:fldChar w:fldCharType="begin"/>
            </w:r>
            <w:r>
              <w:rPr>
                <w:rFonts w:ascii="Times New Roman" w:hAnsi="Times New Roman" w:cs="Times New Roman"/>
                <w:snapToGrid w:val="0"/>
                <w:color w:val="auto"/>
                <w:spacing w:val="-6"/>
                <w:kern w:val="21"/>
                <w:sz w:val="21"/>
                <w:szCs w:val="21"/>
              </w:rPr>
              <w:instrText xml:space="preserve"> = 3 \* GB3 \* MERGEFORMAT </w:instrText>
            </w:r>
            <w:r>
              <w:rPr>
                <w:rFonts w:ascii="Times New Roman" w:hAnsi="Times New Roman" w:cs="Times New Roman"/>
                <w:snapToGrid w:val="0"/>
                <w:color w:val="auto"/>
                <w:spacing w:val="-6"/>
                <w:kern w:val="21"/>
                <w:sz w:val="21"/>
                <w:szCs w:val="21"/>
              </w:rPr>
              <w:fldChar w:fldCharType="separate"/>
            </w:r>
            <w:r>
              <w:rPr>
                <w:rFonts w:ascii="Times New Roman" w:hAnsi="Times New Roman" w:cs="Times New Roman"/>
                <w:color w:val="auto"/>
                <w:kern w:val="2"/>
                <w:sz w:val="21"/>
                <w:szCs w:val="21"/>
              </w:rPr>
              <w:t>③</w:t>
            </w:r>
            <w:r>
              <w:rPr>
                <w:rFonts w:ascii="Times New Roman" w:hAnsi="Times New Roman" w:cs="Times New Roman"/>
                <w:snapToGrid w:val="0"/>
                <w:color w:val="auto"/>
                <w:spacing w:val="-6"/>
                <w:kern w:val="21"/>
                <w:sz w:val="21"/>
                <w:szCs w:val="21"/>
              </w:rPr>
              <w:fldChar w:fldCharType="end"/>
            </w:r>
          </w:p>
        </w:tc>
        <w:tc>
          <w:tcPr>
            <w:tcW w:w="547" w:type="pct"/>
            <w:tcMar>
              <w:left w:w="28" w:type="dxa"/>
              <w:right w:w="28" w:type="dxa"/>
            </w:tcMar>
            <w:vAlign w:val="center"/>
          </w:tcPr>
          <w:p w14:paraId="2C0D06CE">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6"/>
                <w:kern w:val="21"/>
                <w:sz w:val="21"/>
                <w:szCs w:val="21"/>
              </w:rPr>
            </w:pPr>
            <w:r>
              <w:rPr>
                <w:rFonts w:ascii="Times New Roman" w:hAnsi="Times New Roman" w:cs="Times New Roman"/>
                <w:snapToGrid w:val="0"/>
                <w:color w:val="auto"/>
                <w:spacing w:val="-6"/>
                <w:kern w:val="21"/>
                <w:sz w:val="21"/>
                <w:szCs w:val="21"/>
              </w:rPr>
              <w:t>本项目</w:t>
            </w:r>
          </w:p>
          <w:p w14:paraId="440C3892">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6"/>
                <w:kern w:val="21"/>
                <w:sz w:val="21"/>
                <w:szCs w:val="21"/>
              </w:rPr>
            </w:pPr>
            <w:r>
              <w:rPr>
                <w:rFonts w:ascii="Times New Roman" w:hAnsi="Times New Roman" w:cs="Times New Roman"/>
                <w:snapToGrid w:val="0"/>
                <w:color w:val="auto"/>
                <w:spacing w:val="-6"/>
                <w:kern w:val="21"/>
                <w:sz w:val="21"/>
                <w:szCs w:val="21"/>
              </w:rPr>
              <w:t>排放量（固体废物产生量）</w:t>
            </w:r>
            <w:r>
              <w:rPr>
                <w:rFonts w:ascii="Times New Roman" w:hAnsi="Times New Roman" w:cs="Times New Roman"/>
                <w:snapToGrid w:val="0"/>
                <w:color w:val="auto"/>
                <w:spacing w:val="-6"/>
                <w:kern w:val="21"/>
                <w:sz w:val="21"/>
                <w:szCs w:val="21"/>
              </w:rPr>
              <w:fldChar w:fldCharType="begin"/>
            </w:r>
            <w:r>
              <w:rPr>
                <w:rFonts w:ascii="Times New Roman" w:hAnsi="Times New Roman" w:cs="Times New Roman"/>
                <w:snapToGrid w:val="0"/>
                <w:color w:val="auto"/>
                <w:spacing w:val="-6"/>
                <w:kern w:val="21"/>
                <w:sz w:val="21"/>
                <w:szCs w:val="21"/>
              </w:rPr>
              <w:instrText xml:space="preserve"> = 4 \* GB3 \* MERGEFORMAT </w:instrText>
            </w:r>
            <w:r>
              <w:rPr>
                <w:rFonts w:ascii="Times New Roman" w:hAnsi="Times New Roman" w:cs="Times New Roman"/>
                <w:snapToGrid w:val="0"/>
                <w:color w:val="auto"/>
                <w:spacing w:val="-6"/>
                <w:kern w:val="21"/>
                <w:sz w:val="21"/>
                <w:szCs w:val="21"/>
              </w:rPr>
              <w:fldChar w:fldCharType="separate"/>
            </w:r>
            <w:r>
              <w:rPr>
                <w:rFonts w:ascii="Times New Roman" w:hAnsi="Times New Roman" w:cs="Times New Roman"/>
                <w:color w:val="auto"/>
                <w:kern w:val="2"/>
                <w:sz w:val="21"/>
                <w:szCs w:val="21"/>
              </w:rPr>
              <w:t>④</w:t>
            </w:r>
            <w:r>
              <w:rPr>
                <w:rFonts w:ascii="Times New Roman" w:hAnsi="Times New Roman" w:cs="Times New Roman"/>
                <w:snapToGrid w:val="0"/>
                <w:color w:val="auto"/>
                <w:spacing w:val="-6"/>
                <w:kern w:val="21"/>
                <w:sz w:val="21"/>
                <w:szCs w:val="21"/>
              </w:rPr>
              <w:fldChar w:fldCharType="end"/>
            </w:r>
          </w:p>
        </w:tc>
        <w:tc>
          <w:tcPr>
            <w:tcW w:w="603" w:type="pct"/>
            <w:tcMar>
              <w:left w:w="28" w:type="dxa"/>
              <w:right w:w="28" w:type="dxa"/>
            </w:tcMar>
            <w:vAlign w:val="center"/>
          </w:tcPr>
          <w:p w14:paraId="2A4FD502">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16"/>
                <w:kern w:val="21"/>
                <w:sz w:val="21"/>
                <w:szCs w:val="21"/>
              </w:rPr>
            </w:pPr>
            <w:r>
              <w:rPr>
                <w:rFonts w:ascii="Times New Roman" w:hAnsi="Times New Roman" w:cs="Times New Roman"/>
                <w:snapToGrid w:val="0"/>
                <w:color w:val="auto"/>
                <w:spacing w:val="-16"/>
                <w:kern w:val="21"/>
                <w:sz w:val="21"/>
                <w:szCs w:val="21"/>
              </w:rPr>
              <w:t>以新带老削减量</w:t>
            </w:r>
          </w:p>
          <w:p w14:paraId="093B638A">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16"/>
                <w:kern w:val="21"/>
                <w:sz w:val="21"/>
                <w:szCs w:val="21"/>
              </w:rPr>
            </w:pPr>
            <w:r>
              <w:rPr>
                <w:rFonts w:ascii="Times New Roman" w:hAnsi="Times New Roman" w:cs="Times New Roman"/>
                <w:snapToGrid w:val="0"/>
                <w:color w:val="auto"/>
                <w:spacing w:val="-16"/>
                <w:kern w:val="21"/>
                <w:sz w:val="21"/>
                <w:szCs w:val="21"/>
              </w:rPr>
              <w:t>（新建项目不填）</w:t>
            </w:r>
            <w:r>
              <w:rPr>
                <w:rFonts w:ascii="Times New Roman" w:hAnsi="Times New Roman" w:cs="Times New Roman"/>
                <w:snapToGrid w:val="0"/>
                <w:color w:val="auto"/>
                <w:spacing w:val="-16"/>
                <w:kern w:val="21"/>
                <w:sz w:val="21"/>
                <w:szCs w:val="21"/>
              </w:rPr>
              <w:fldChar w:fldCharType="begin"/>
            </w:r>
            <w:r>
              <w:rPr>
                <w:rFonts w:ascii="Times New Roman" w:hAnsi="Times New Roman" w:cs="Times New Roman"/>
                <w:snapToGrid w:val="0"/>
                <w:color w:val="auto"/>
                <w:spacing w:val="-16"/>
                <w:kern w:val="21"/>
                <w:sz w:val="21"/>
                <w:szCs w:val="21"/>
              </w:rPr>
              <w:instrText xml:space="preserve"> = 5 \* GB3 \* MERGEFORMAT </w:instrText>
            </w:r>
            <w:r>
              <w:rPr>
                <w:rFonts w:ascii="Times New Roman" w:hAnsi="Times New Roman" w:cs="Times New Roman"/>
                <w:snapToGrid w:val="0"/>
                <w:color w:val="auto"/>
                <w:spacing w:val="-16"/>
                <w:kern w:val="21"/>
                <w:sz w:val="21"/>
                <w:szCs w:val="21"/>
              </w:rPr>
              <w:fldChar w:fldCharType="separate"/>
            </w:r>
            <w:r>
              <w:rPr>
                <w:rFonts w:ascii="Times New Roman" w:hAnsi="Times New Roman" w:cs="Times New Roman"/>
                <w:color w:val="auto"/>
                <w:kern w:val="2"/>
                <w:sz w:val="21"/>
                <w:szCs w:val="21"/>
              </w:rPr>
              <w:t>⑤</w:t>
            </w:r>
            <w:r>
              <w:rPr>
                <w:rFonts w:ascii="Times New Roman" w:hAnsi="Times New Roman" w:cs="Times New Roman"/>
                <w:snapToGrid w:val="0"/>
                <w:color w:val="auto"/>
                <w:spacing w:val="-16"/>
                <w:kern w:val="21"/>
                <w:sz w:val="21"/>
                <w:szCs w:val="21"/>
              </w:rPr>
              <w:fldChar w:fldCharType="end"/>
            </w:r>
          </w:p>
        </w:tc>
        <w:tc>
          <w:tcPr>
            <w:tcW w:w="676" w:type="pct"/>
            <w:tcMar>
              <w:left w:w="28" w:type="dxa"/>
              <w:right w:w="28" w:type="dxa"/>
            </w:tcMar>
            <w:vAlign w:val="center"/>
          </w:tcPr>
          <w:p w14:paraId="10B452D4">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16"/>
                <w:kern w:val="21"/>
                <w:sz w:val="21"/>
                <w:szCs w:val="21"/>
              </w:rPr>
            </w:pPr>
            <w:r>
              <w:rPr>
                <w:rFonts w:ascii="Times New Roman" w:hAnsi="Times New Roman" w:cs="Times New Roman"/>
                <w:snapToGrid w:val="0"/>
                <w:color w:val="auto"/>
                <w:spacing w:val="-16"/>
                <w:kern w:val="21"/>
                <w:sz w:val="21"/>
                <w:szCs w:val="21"/>
              </w:rPr>
              <w:t>本项目建成后</w:t>
            </w:r>
          </w:p>
          <w:p w14:paraId="519F9E97">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16"/>
                <w:kern w:val="21"/>
                <w:sz w:val="21"/>
                <w:szCs w:val="21"/>
              </w:rPr>
            </w:pPr>
            <w:r>
              <w:rPr>
                <w:rFonts w:ascii="Times New Roman" w:hAnsi="Times New Roman" w:cs="Times New Roman"/>
                <w:snapToGrid w:val="0"/>
                <w:color w:val="auto"/>
                <w:spacing w:val="-16"/>
                <w:kern w:val="21"/>
                <w:sz w:val="21"/>
                <w:szCs w:val="21"/>
              </w:rPr>
              <w:t>全厂排放量（固体废物产生量）</w:t>
            </w:r>
            <w:r>
              <w:rPr>
                <w:rFonts w:ascii="Times New Roman" w:hAnsi="Times New Roman" w:cs="Times New Roman"/>
                <w:snapToGrid w:val="0"/>
                <w:color w:val="auto"/>
                <w:spacing w:val="-16"/>
                <w:kern w:val="21"/>
                <w:sz w:val="21"/>
                <w:szCs w:val="21"/>
              </w:rPr>
              <w:fldChar w:fldCharType="begin"/>
            </w:r>
            <w:r>
              <w:rPr>
                <w:rFonts w:ascii="Times New Roman" w:hAnsi="Times New Roman" w:cs="Times New Roman"/>
                <w:snapToGrid w:val="0"/>
                <w:color w:val="auto"/>
                <w:spacing w:val="-16"/>
                <w:kern w:val="21"/>
                <w:sz w:val="21"/>
                <w:szCs w:val="21"/>
              </w:rPr>
              <w:instrText xml:space="preserve"> = 6 \* GB3 \* MERGEFORMAT </w:instrText>
            </w:r>
            <w:r>
              <w:rPr>
                <w:rFonts w:ascii="Times New Roman" w:hAnsi="Times New Roman" w:cs="Times New Roman"/>
                <w:snapToGrid w:val="0"/>
                <w:color w:val="auto"/>
                <w:spacing w:val="-16"/>
                <w:kern w:val="21"/>
                <w:sz w:val="21"/>
                <w:szCs w:val="21"/>
              </w:rPr>
              <w:fldChar w:fldCharType="separate"/>
            </w:r>
            <w:r>
              <w:rPr>
                <w:rFonts w:ascii="Times New Roman" w:hAnsi="Times New Roman" w:cs="Times New Roman"/>
                <w:color w:val="auto"/>
                <w:kern w:val="2"/>
                <w:sz w:val="21"/>
                <w:szCs w:val="21"/>
              </w:rPr>
              <w:t>⑥</w:t>
            </w:r>
            <w:r>
              <w:rPr>
                <w:rFonts w:ascii="Times New Roman" w:hAnsi="Times New Roman" w:cs="Times New Roman"/>
                <w:snapToGrid w:val="0"/>
                <w:color w:val="auto"/>
                <w:spacing w:val="-16"/>
                <w:kern w:val="21"/>
                <w:sz w:val="21"/>
                <w:szCs w:val="21"/>
              </w:rPr>
              <w:fldChar w:fldCharType="end"/>
            </w:r>
          </w:p>
        </w:tc>
        <w:tc>
          <w:tcPr>
            <w:tcW w:w="597" w:type="pct"/>
            <w:tcMar>
              <w:left w:w="28" w:type="dxa"/>
              <w:right w:w="28" w:type="dxa"/>
            </w:tcMar>
            <w:vAlign w:val="center"/>
          </w:tcPr>
          <w:p w14:paraId="3408A064">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6"/>
                <w:kern w:val="21"/>
                <w:sz w:val="21"/>
                <w:szCs w:val="21"/>
              </w:rPr>
            </w:pPr>
            <w:r>
              <w:rPr>
                <w:rFonts w:ascii="Times New Roman" w:hAnsi="Times New Roman" w:cs="Times New Roman"/>
                <w:snapToGrid w:val="0"/>
                <w:color w:val="auto"/>
                <w:spacing w:val="-6"/>
                <w:kern w:val="21"/>
                <w:sz w:val="21"/>
                <w:szCs w:val="21"/>
              </w:rPr>
              <w:t>变化量</w:t>
            </w:r>
          </w:p>
          <w:p w14:paraId="162D06D8">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spacing w:val="-6"/>
                <w:kern w:val="21"/>
                <w:sz w:val="21"/>
                <w:szCs w:val="21"/>
              </w:rPr>
            </w:pPr>
            <w:r>
              <w:rPr>
                <w:rFonts w:ascii="Times New Roman" w:hAnsi="Times New Roman" w:cs="Times New Roman"/>
                <w:snapToGrid w:val="0"/>
                <w:color w:val="auto"/>
                <w:spacing w:val="-6"/>
                <w:kern w:val="21"/>
                <w:sz w:val="21"/>
                <w:szCs w:val="21"/>
              </w:rPr>
              <w:fldChar w:fldCharType="begin"/>
            </w:r>
            <w:r>
              <w:rPr>
                <w:rFonts w:ascii="Times New Roman" w:hAnsi="Times New Roman" w:cs="Times New Roman"/>
                <w:snapToGrid w:val="0"/>
                <w:color w:val="auto"/>
                <w:spacing w:val="-6"/>
                <w:kern w:val="21"/>
                <w:sz w:val="21"/>
                <w:szCs w:val="21"/>
              </w:rPr>
              <w:instrText xml:space="preserve"> = 7 \* GB3 \* MERGEFORMAT </w:instrText>
            </w:r>
            <w:r>
              <w:rPr>
                <w:rFonts w:ascii="Times New Roman" w:hAnsi="Times New Roman" w:cs="Times New Roman"/>
                <w:snapToGrid w:val="0"/>
                <w:color w:val="auto"/>
                <w:spacing w:val="-6"/>
                <w:kern w:val="21"/>
                <w:sz w:val="21"/>
                <w:szCs w:val="21"/>
              </w:rPr>
              <w:fldChar w:fldCharType="separate"/>
            </w:r>
            <w:r>
              <w:rPr>
                <w:rFonts w:ascii="Times New Roman" w:hAnsi="Times New Roman" w:cs="Times New Roman"/>
                <w:color w:val="auto"/>
                <w:kern w:val="2"/>
                <w:sz w:val="21"/>
                <w:szCs w:val="21"/>
              </w:rPr>
              <w:t>⑦</w:t>
            </w:r>
            <w:r>
              <w:rPr>
                <w:rFonts w:ascii="Times New Roman" w:hAnsi="Times New Roman" w:cs="Times New Roman"/>
                <w:snapToGrid w:val="0"/>
                <w:color w:val="auto"/>
                <w:spacing w:val="-6"/>
                <w:kern w:val="21"/>
                <w:sz w:val="21"/>
                <w:szCs w:val="21"/>
              </w:rPr>
              <w:fldChar w:fldCharType="end"/>
            </w:r>
          </w:p>
        </w:tc>
      </w:tr>
      <w:tr w14:paraId="46579A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473" w:type="pct"/>
            <w:vMerge w:val="restart"/>
            <w:vAlign w:val="center"/>
          </w:tcPr>
          <w:p w14:paraId="10682CA9">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r>
              <w:rPr>
                <w:rFonts w:ascii="Times New Roman" w:hAnsi="Times New Roman" w:cs="Times New Roman"/>
                <w:snapToGrid w:val="0"/>
                <w:color w:val="auto"/>
                <w:kern w:val="21"/>
                <w:sz w:val="21"/>
                <w:szCs w:val="21"/>
              </w:rPr>
              <w:t>废气</w:t>
            </w:r>
          </w:p>
        </w:tc>
        <w:tc>
          <w:tcPr>
            <w:tcW w:w="655" w:type="pct"/>
            <w:vAlign w:val="center"/>
          </w:tcPr>
          <w:p w14:paraId="4912846C">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粉尘</w:t>
            </w:r>
          </w:p>
        </w:tc>
        <w:tc>
          <w:tcPr>
            <w:tcW w:w="444" w:type="pct"/>
            <w:vAlign w:val="center"/>
          </w:tcPr>
          <w:p w14:paraId="55EBBAD4">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587B527D">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16A4866E">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547" w:type="pct"/>
            <w:vAlign w:val="center"/>
          </w:tcPr>
          <w:p w14:paraId="7C323AC5">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4.81</w:t>
            </w:r>
            <w:r>
              <w:rPr>
                <w:rFonts w:ascii="Times New Roman" w:hAnsi="Times New Roman" w:eastAsia="宋体" w:cs="Times New Roman"/>
                <w:snapToGrid w:val="0"/>
                <w:color w:val="auto"/>
                <w:kern w:val="21"/>
                <w:sz w:val="21"/>
                <w:szCs w:val="21"/>
              </w:rPr>
              <w:t>t/a</w:t>
            </w:r>
          </w:p>
        </w:tc>
        <w:tc>
          <w:tcPr>
            <w:tcW w:w="603" w:type="pct"/>
            <w:vAlign w:val="center"/>
          </w:tcPr>
          <w:p w14:paraId="6B1A0CAA">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676" w:type="pct"/>
            <w:vAlign w:val="center"/>
          </w:tcPr>
          <w:p w14:paraId="221D1044">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4.81</w:t>
            </w:r>
            <w:r>
              <w:rPr>
                <w:rFonts w:ascii="Times New Roman" w:hAnsi="Times New Roman" w:eastAsia="宋体" w:cs="Times New Roman"/>
                <w:snapToGrid w:val="0"/>
                <w:color w:val="auto"/>
                <w:kern w:val="21"/>
                <w:sz w:val="21"/>
                <w:szCs w:val="21"/>
              </w:rPr>
              <w:t>t/a</w:t>
            </w:r>
          </w:p>
        </w:tc>
        <w:tc>
          <w:tcPr>
            <w:tcW w:w="597" w:type="pct"/>
            <w:vAlign w:val="center"/>
          </w:tcPr>
          <w:p w14:paraId="4A4A14F5">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r>
              <w:rPr>
                <w:rFonts w:hint="eastAsia" w:ascii="Times New Roman" w:hAnsi="Times New Roman" w:eastAsia="宋体" w:cs="Times New Roman"/>
                <w:snapToGrid w:val="0"/>
                <w:color w:val="auto"/>
                <w:kern w:val="21"/>
                <w:sz w:val="21"/>
                <w:szCs w:val="21"/>
                <w:lang w:val="en-US" w:eastAsia="zh-CN"/>
              </w:rPr>
              <w:t>4.81</w:t>
            </w:r>
            <w:r>
              <w:rPr>
                <w:rFonts w:ascii="Times New Roman" w:hAnsi="Times New Roman" w:eastAsia="宋体" w:cs="Times New Roman"/>
                <w:snapToGrid w:val="0"/>
                <w:color w:val="auto"/>
                <w:kern w:val="21"/>
                <w:sz w:val="21"/>
                <w:szCs w:val="21"/>
              </w:rPr>
              <w:t>t/a</w:t>
            </w:r>
          </w:p>
        </w:tc>
      </w:tr>
      <w:tr w14:paraId="08ED9B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473" w:type="pct"/>
            <w:vMerge w:val="continue"/>
            <w:vAlign w:val="center"/>
          </w:tcPr>
          <w:p w14:paraId="3D690F76">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p>
        </w:tc>
        <w:tc>
          <w:tcPr>
            <w:tcW w:w="655" w:type="pct"/>
            <w:vAlign w:val="center"/>
          </w:tcPr>
          <w:p w14:paraId="28D4EAE8">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烟尘</w:t>
            </w:r>
          </w:p>
        </w:tc>
        <w:tc>
          <w:tcPr>
            <w:tcW w:w="444" w:type="pct"/>
            <w:vAlign w:val="center"/>
          </w:tcPr>
          <w:p w14:paraId="5137290D">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6CFD2CDB">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363CADEC">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547" w:type="pct"/>
            <w:vAlign w:val="center"/>
          </w:tcPr>
          <w:p w14:paraId="5BEA042C">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cs="Times New Roman"/>
                <w:color w:val="auto"/>
              </w:rPr>
              <w:t>0.007</w:t>
            </w:r>
            <w:r>
              <w:rPr>
                <w:rFonts w:cs="Times New Roman"/>
                <w:snapToGrid w:val="0"/>
                <w:color w:val="auto"/>
                <w:kern w:val="21"/>
              </w:rPr>
              <w:t>t/a</w:t>
            </w:r>
          </w:p>
        </w:tc>
        <w:tc>
          <w:tcPr>
            <w:tcW w:w="603" w:type="pct"/>
            <w:vAlign w:val="center"/>
          </w:tcPr>
          <w:p w14:paraId="28CCDFF3">
            <w:pPr>
              <w:keepNext w:val="0"/>
              <w:keepLines w:val="0"/>
              <w:pageBreakBefore w:val="0"/>
              <w:widowControl w:val="0"/>
              <w:kinsoku/>
              <w:wordWrap/>
              <w:overflowPunct/>
              <w:topLinePunct w:val="0"/>
              <w:autoSpaceDE/>
              <w:autoSpaceDN/>
              <w:bidi w:val="0"/>
              <w:spacing w:line="340" w:lineRule="exact"/>
              <w:jc w:val="center"/>
              <w:textAlignment w:val="auto"/>
              <w:rPr>
                <w:snapToGrid w:val="0"/>
                <w:color w:val="auto"/>
                <w:kern w:val="21"/>
                <w:sz w:val="21"/>
                <w:szCs w:val="21"/>
              </w:rPr>
            </w:pPr>
            <w:r>
              <w:rPr>
                <w:snapToGrid w:val="0"/>
                <w:color w:val="auto"/>
                <w:kern w:val="21"/>
                <w:sz w:val="21"/>
                <w:szCs w:val="21"/>
              </w:rPr>
              <w:t>/</w:t>
            </w:r>
          </w:p>
        </w:tc>
        <w:tc>
          <w:tcPr>
            <w:tcW w:w="676" w:type="pct"/>
            <w:vAlign w:val="center"/>
          </w:tcPr>
          <w:p w14:paraId="1EAF68D9">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cs="Times New Roman"/>
                <w:color w:val="auto"/>
              </w:rPr>
              <w:t>0.007</w:t>
            </w:r>
            <w:r>
              <w:rPr>
                <w:rFonts w:cs="Times New Roman"/>
                <w:snapToGrid w:val="0"/>
                <w:color w:val="auto"/>
                <w:kern w:val="21"/>
              </w:rPr>
              <w:t>t/a</w:t>
            </w:r>
          </w:p>
        </w:tc>
        <w:tc>
          <w:tcPr>
            <w:tcW w:w="597" w:type="pct"/>
            <w:vAlign w:val="center"/>
          </w:tcPr>
          <w:p w14:paraId="3FC66847">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cs="Times New Roman"/>
                <w:snapToGrid w:val="0"/>
                <w:color w:val="auto"/>
                <w:kern w:val="21"/>
              </w:rPr>
              <w:t>+</w:t>
            </w:r>
            <w:r>
              <w:rPr>
                <w:rFonts w:cs="Times New Roman"/>
                <w:color w:val="auto"/>
              </w:rPr>
              <w:t>0.007</w:t>
            </w:r>
            <w:r>
              <w:rPr>
                <w:rFonts w:cs="Times New Roman"/>
                <w:snapToGrid w:val="0"/>
                <w:color w:val="auto"/>
                <w:kern w:val="21"/>
              </w:rPr>
              <w:t>t/a</w:t>
            </w:r>
          </w:p>
        </w:tc>
      </w:tr>
      <w:tr w14:paraId="4A926A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473" w:type="pct"/>
            <w:vMerge w:val="continue"/>
            <w:vAlign w:val="center"/>
          </w:tcPr>
          <w:p w14:paraId="71D1BB05">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p>
        </w:tc>
        <w:tc>
          <w:tcPr>
            <w:tcW w:w="655" w:type="pct"/>
            <w:vAlign w:val="center"/>
          </w:tcPr>
          <w:p w14:paraId="39D47704">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非甲烷总烃</w:t>
            </w:r>
          </w:p>
        </w:tc>
        <w:tc>
          <w:tcPr>
            <w:tcW w:w="444" w:type="pct"/>
            <w:vAlign w:val="center"/>
          </w:tcPr>
          <w:p w14:paraId="1622814B">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7B28A883">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23EC9C86">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547" w:type="pct"/>
            <w:vAlign w:val="center"/>
          </w:tcPr>
          <w:p w14:paraId="196A829B">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cs="Times New Roman"/>
                <w:color w:val="auto"/>
              </w:rPr>
              <w:t>0.0</w:t>
            </w:r>
            <w:r>
              <w:rPr>
                <w:rFonts w:hint="eastAsia" w:cs="Times New Roman"/>
                <w:color w:val="auto"/>
                <w:lang w:val="en-US" w:eastAsia="zh-CN"/>
              </w:rPr>
              <w:t>01</w:t>
            </w:r>
            <w:r>
              <w:rPr>
                <w:rFonts w:cs="Times New Roman"/>
                <w:snapToGrid w:val="0"/>
                <w:color w:val="auto"/>
                <w:kern w:val="21"/>
              </w:rPr>
              <w:t>t/a</w:t>
            </w:r>
          </w:p>
        </w:tc>
        <w:tc>
          <w:tcPr>
            <w:tcW w:w="603" w:type="pct"/>
            <w:vAlign w:val="center"/>
          </w:tcPr>
          <w:p w14:paraId="775CA314">
            <w:pPr>
              <w:keepNext w:val="0"/>
              <w:keepLines w:val="0"/>
              <w:pageBreakBefore w:val="0"/>
              <w:widowControl w:val="0"/>
              <w:kinsoku/>
              <w:wordWrap/>
              <w:overflowPunct/>
              <w:topLinePunct w:val="0"/>
              <w:autoSpaceDE/>
              <w:autoSpaceDN/>
              <w:bidi w:val="0"/>
              <w:spacing w:line="340" w:lineRule="exact"/>
              <w:jc w:val="center"/>
              <w:textAlignment w:val="auto"/>
              <w:rPr>
                <w:snapToGrid w:val="0"/>
                <w:color w:val="auto"/>
                <w:kern w:val="21"/>
                <w:sz w:val="21"/>
                <w:szCs w:val="21"/>
              </w:rPr>
            </w:pPr>
            <w:r>
              <w:rPr>
                <w:snapToGrid w:val="0"/>
                <w:color w:val="auto"/>
                <w:kern w:val="21"/>
                <w:sz w:val="21"/>
                <w:szCs w:val="21"/>
              </w:rPr>
              <w:t>/</w:t>
            </w:r>
          </w:p>
        </w:tc>
        <w:tc>
          <w:tcPr>
            <w:tcW w:w="676" w:type="pct"/>
            <w:vAlign w:val="center"/>
          </w:tcPr>
          <w:p w14:paraId="20802A38">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cs="Times New Roman"/>
                <w:color w:val="auto"/>
              </w:rPr>
              <w:t>0.0</w:t>
            </w:r>
            <w:r>
              <w:rPr>
                <w:rFonts w:hint="eastAsia" w:cs="Times New Roman"/>
                <w:color w:val="auto"/>
                <w:lang w:val="en-US" w:eastAsia="zh-CN"/>
              </w:rPr>
              <w:t>01</w:t>
            </w:r>
            <w:r>
              <w:rPr>
                <w:rFonts w:cs="Times New Roman"/>
                <w:snapToGrid w:val="0"/>
                <w:color w:val="auto"/>
                <w:kern w:val="21"/>
              </w:rPr>
              <w:t>t/a</w:t>
            </w:r>
          </w:p>
        </w:tc>
        <w:tc>
          <w:tcPr>
            <w:tcW w:w="597" w:type="pct"/>
            <w:vAlign w:val="center"/>
          </w:tcPr>
          <w:p w14:paraId="3ADBE439">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cs="Times New Roman"/>
                <w:snapToGrid w:val="0"/>
                <w:color w:val="auto"/>
                <w:kern w:val="21"/>
              </w:rPr>
              <w:t>+</w:t>
            </w:r>
            <w:r>
              <w:rPr>
                <w:rFonts w:cs="Times New Roman"/>
                <w:color w:val="auto"/>
              </w:rPr>
              <w:t>0.0</w:t>
            </w:r>
            <w:r>
              <w:rPr>
                <w:rFonts w:hint="eastAsia" w:cs="Times New Roman"/>
                <w:color w:val="auto"/>
                <w:lang w:val="en-US" w:eastAsia="zh-CN"/>
              </w:rPr>
              <w:t>01</w:t>
            </w:r>
            <w:r>
              <w:rPr>
                <w:rFonts w:cs="Times New Roman"/>
                <w:snapToGrid w:val="0"/>
                <w:color w:val="auto"/>
                <w:kern w:val="21"/>
              </w:rPr>
              <w:t>t/a</w:t>
            </w:r>
          </w:p>
        </w:tc>
      </w:tr>
      <w:tr w14:paraId="2B2D22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9" w:hRule="atLeast"/>
        </w:trPr>
        <w:tc>
          <w:tcPr>
            <w:tcW w:w="473" w:type="pct"/>
            <w:vMerge w:val="restart"/>
            <w:vAlign w:val="center"/>
          </w:tcPr>
          <w:p w14:paraId="100A2B45">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r>
              <w:rPr>
                <w:rFonts w:ascii="Times New Roman" w:hAnsi="Times New Roman" w:cs="Times New Roman"/>
                <w:snapToGrid w:val="0"/>
                <w:color w:val="auto"/>
                <w:kern w:val="21"/>
                <w:sz w:val="21"/>
                <w:szCs w:val="21"/>
              </w:rPr>
              <w:t>废水</w:t>
            </w:r>
          </w:p>
        </w:tc>
        <w:tc>
          <w:tcPr>
            <w:tcW w:w="655" w:type="pct"/>
            <w:vAlign w:val="center"/>
          </w:tcPr>
          <w:p w14:paraId="10FC66BF">
            <w:pPr>
              <w:keepNext w:val="0"/>
              <w:keepLines w:val="0"/>
              <w:pageBreakBefore w:val="0"/>
              <w:widowControl w:val="0"/>
              <w:kinsoku/>
              <w:wordWrap/>
              <w:overflowPunct/>
              <w:topLinePunct w:val="0"/>
              <w:autoSpaceDE/>
              <w:autoSpaceDN/>
              <w:bidi w:val="0"/>
              <w:spacing w:line="340" w:lineRule="exact"/>
              <w:jc w:val="center"/>
              <w:textAlignment w:val="auto"/>
              <w:rPr>
                <w:color w:val="auto"/>
                <w:sz w:val="21"/>
                <w:szCs w:val="21"/>
              </w:rPr>
            </w:pPr>
            <w:r>
              <w:rPr>
                <w:color w:val="auto"/>
                <w:sz w:val="21"/>
                <w:szCs w:val="21"/>
              </w:rPr>
              <w:t>CODcr</w:t>
            </w:r>
          </w:p>
        </w:tc>
        <w:tc>
          <w:tcPr>
            <w:tcW w:w="444" w:type="pct"/>
            <w:vAlign w:val="center"/>
          </w:tcPr>
          <w:p w14:paraId="1B583DF2">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4820B475">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4ECFFEB6">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1539" w:type="dxa"/>
            <w:vAlign w:val="center"/>
          </w:tcPr>
          <w:p w14:paraId="08FB9FA8">
            <w:pPr>
              <w:pStyle w:val="96"/>
              <w:keepNext w:val="0"/>
              <w:keepLines w:val="0"/>
              <w:pageBreakBefore w:val="0"/>
              <w:widowControl w:val="0"/>
              <w:kinsoku/>
              <w:wordWrap/>
              <w:overflowPunct/>
              <w:topLinePunct w:val="0"/>
              <w:autoSpaceDE/>
              <w:autoSpaceDN/>
              <w:bidi w:val="0"/>
              <w:spacing w:line="340" w:lineRule="exact"/>
              <w:textAlignment w:val="auto"/>
              <w:rPr>
                <w:rFonts w:ascii="Times New Roman" w:hAnsi="Times New Roman" w:eastAsia="宋体" w:cs="Times New Roman"/>
                <w:color w:val="auto"/>
              </w:rPr>
            </w:pPr>
            <w:r>
              <w:rPr>
                <w:rFonts w:hint="default" w:ascii="Times New Roman" w:hAnsi="Times New Roman" w:eastAsia="宋体" w:cs="Times New Roman"/>
                <w:color w:val="auto"/>
                <w:lang w:val="en-US" w:eastAsia="zh-CN"/>
              </w:rPr>
              <w:t>0.423</w:t>
            </w:r>
            <w:r>
              <w:rPr>
                <w:rFonts w:ascii="Times New Roman" w:hAnsi="Times New Roman" w:eastAsia="宋体" w:cs="Times New Roman"/>
                <w:color w:val="auto"/>
              </w:rPr>
              <w:t>t/a</w:t>
            </w:r>
            <w:r>
              <w:rPr>
                <w:rFonts w:hint="default" w:ascii="Times New Roman" w:hAnsi="Times New Roman" w:eastAsia="宋体" w:cs="Times New Roman"/>
                <w:color w:val="auto"/>
                <w:lang w:val="en-US" w:eastAsia="zh-CN"/>
              </w:rPr>
              <w:t xml:space="preserve"> </w:t>
            </w:r>
          </w:p>
        </w:tc>
        <w:tc>
          <w:tcPr>
            <w:tcW w:w="603" w:type="pct"/>
            <w:vAlign w:val="center"/>
          </w:tcPr>
          <w:p w14:paraId="79AA4911">
            <w:pPr>
              <w:keepNext w:val="0"/>
              <w:keepLines w:val="0"/>
              <w:pageBreakBefore w:val="0"/>
              <w:widowControl w:val="0"/>
              <w:kinsoku/>
              <w:wordWrap/>
              <w:overflowPunct/>
              <w:topLinePunct w:val="0"/>
              <w:autoSpaceDE/>
              <w:autoSpaceDN/>
              <w:bidi w:val="0"/>
              <w:spacing w:line="340" w:lineRule="exact"/>
              <w:jc w:val="center"/>
              <w:textAlignment w:val="auto"/>
              <w:rPr>
                <w:snapToGrid w:val="0"/>
                <w:color w:val="auto"/>
                <w:kern w:val="21"/>
                <w:sz w:val="21"/>
                <w:szCs w:val="21"/>
              </w:rPr>
            </w:pPr>
            <w:r>
              <w:rPr>
                <w:snapToGrid w:val="0"/>
                <w:color w:val="auto"/>
                <w:kern w:val="21"/>
                <w:sz w:val="21"/>
                <w:szCs w:val="21"/>
              </w:rPr>
              <w:t>/</w:t>
            </w:r>
          </w:p>
        </w:tc>
        <w:tc>
          <w:tcPr>
            <w:tcW w:w="1902" w:type="dxa"/>
            <w:vAlign w:val="center"/>
          </w:tcPr>
          <w:p w14:paraId="08420856">
            <w:pPr>
              <w:pStyle w:val="96"/>
              <w:keepNext w:val="0"/>
              <w:keepLines w:val="0"/>
              <w:pageBreakBefore w:val="0"/>
              <w:widowControl w:val="0"/>
              <w:kinsoku/>
              <w:wordWrap/>
              <w:overflowPunct/>
              <w:topLinePunct w:val="0"/>
              <w:autoSpaceDE/>
              <w:autoSpaceDN/>
              <w:bidi w:val="0"/>
              <w:spacing w:line="340" w:lineRule="exact"/>
              <w:textAlignment w:val="auto"/>
              <w:rPr>
                <w:color w:val="auto"/>
                <w:sz w:val="21"/>
                <w:szCs w:val="21"/>
              </w:rPr>
            </w:pPr>
            <w:r>
              <w:rPr>
                <w:rFonts w:hint="default" w:ascii="Times New Roman" w:hAnsi="Times New Roman" w:eastAsia="宋体" w:cs="Times New Roman"/>
                <w:color w:val="auto"/>
                <w:lang w:val="en-US" w:eastAsia="zh-CN"/>
              </w:rPr>
              <w:t>0.423</w:t>
            </w:r>
            <w:r>
              <w:rPr>
                <w:rFonts w:ascii="Times New Roman" w:hAnsi="Times New Roman" w:eastAsia="宋体" w:cs="Times New Roman"/>
                <w:color w:val="auto"/>
              </w:rPr>
              <w:t>t/a</w:t>
            </w:r>
            <w:r>
              <w:rPr>
                <w:rFonts w:hint="default" w:ascii="Times New Roman" w:hAnsi="Times New Roman" w:eastAsia="宋体" w:cs="Times New Roman"/>
                <w:color w:val="auto"/>
                <w:lang w:val="en-US" w:eastAsia="zh-CN"/>
              </w:rPr>
              <w:t xml:space="preserve"> </w:t>
            </w:r>
          </w:p>
        </w:tc>
        <w:tc>
          <w:tcPr>
            <w:tcW w:w="1680" w:type="dxa"/>
            <w:vAlign w:val="center"/>
          </w:tcPr>
          <w:p w14:paraId="61CA144F">
            <w:pPr>
              <w:pStyle w:val="96"/>
              <w:keepNext w:val="0"/>
              <w:keepLines w:val="0"/>
              <w:pageBreakBefore w:val="0"/>
              <w:widowControl w:val="0"/>
              <w:kinsoku/>
              <w:wordWrap/>
              <w:overflowPunct/>
              <w:topLinePunct w:val="0"/>
              <w:autoSpaceDE/>
              <w:autoSpaceDN/>
              <w:bidi w:val="0"/>
              <w:spacing w:line="340" w:lineRule="exact"/>
              <w:textAlignment w:val="auto"/>
              <w:rPr>
                <w:color w:val="auto"/>
                <w:sz w:val="21"/>
                <w:szCs w:val="21"/>
              </w:rPr>
            </w:pPr>
            <w:r>
              <w:rPr>
                <w:rFonts w:cs="Times New Roman"/>
                <w:snapToGrid w:val="0"/>
                <w:color w:val="auto"/>
                <w:kern w:val="21"/>
              </w:rPr>
              <w:t>+</w:t>
            </w:r>
            <w:r>
              <w:rPr>
                <w:rFonts w:hint="default" w:ascii="Times New Roman" w:hAnsi="Times New Roman" w:eastAsia="宋体" w:cs="Times New Roman"/>
                <w:color w:val="auto"/>
                <w:lang w:val="en-US" w:eastAsia="zh-CN"/>
              </w:rPr>
              <w:t>0.423</w:t>
            </w:r>
            <w:r>
              <w:rPr>
                <w:rFonts w:ascii="Times New Roman" w:hAnsi="Times New Roman" w:eastAsia="宋体" w:cs="Times New Roman"/>
                <w:color w:val="auto"/>
              </w:rPr>
              <w:t>t/a</w:t>
            </w:r>
            <w:r>
              <w:rPr>
                <w:rFonts w:hint="default" w:ascii="Times New Roman" w:hAnsi="Times New Roman" w:eastAsia="宋体" w:cs="Times New Roman"/>
                <w:color w:val="auto"/>
                <w:lang w:val="en-US" w:eastAsia="zh-CN"/>
              </w:rPr>
              <w:t xml:space="preserve"> </w:t>
            </w:r>
          </w:p>
        </w:tc>
      </w:tr>
      <w:tr w14:paraId="53CC16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9" w:hRule="atLeast"/>
        </w:trPr>
        <w:tc>
          <w:tcPr>
            <w:tcW w:w="473" w:type="pct"/>
            <w:vMerge w:val="continue"/>
            <w:vAlign w:val="center"/>
          </w:tcPr>
          <w:p w14:paraId="3FFAF8DC">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p>
        </w:tc>
        <w:tc>
          <w:tcPr>
            <w:tcW w:w="655" w:type="pct"/>
            <w:vAlign w:val="center"/>
          </w:tcPr>
          <w:p w14:paraId="0D435BEC">
            <w:pPr>
              <w:keepNext w:val="0"/>
              <w:keepLines w:val="0"/>
              <w:pageBreakBefore w:val="0"/>
              <w:widowControl w:val="0"/>
              <w:kinsoku/>
              <w:wordWrap/>
              <w:overflowPunct/>
              <w:topLinePunct w:val="0"/>
              <w:autoSpaceDE/>
              <w:autoSpaceDN/>
              <w:bidi w:val="0"/>
              <w:spacing w:line="340" w:lineRule="exact"/>
              <w:jc w:val="center"/>
              <w:textAlignment w:val="auto"/>
              <w:rPr>
                <w:color w:val="auto"/>
                <w:sz w:val="21"/>
                <w:szCs w:val="21"/>
              </w:rPr>
            </w:pPr>
            <w:r>
              <w:rPr>
                <w:color w:val="auto"/>
                <w:sz w:val="21"/>
                <w:szCs w:val="21"/>
              </w:rPr>
              <w:t>BOD</w:t>
            </w:r>
            <w:r>
              <w:rPr>
                <w:color w:val="auto"/>
                <w:sz w:val="21"/>
                <w:szCs w:val="21"/>
                <w:vertAlign w:val="subscript"/>
              </w:rPr>
              <w:t>5</w:t>
            </w:r>
          </w:p>
        </w:tc>
        <w:tc>
          <w:tcPr>
            <w:tcW w:w="444" w:type="pct"/>
            <w:vAlign w:val="center"/>
          </w:tcPr>
          <w:p w14:paraId="46FACFF8">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7507C8E1">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76EC8CE4">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1539" w:type="dxa"/>
            <w:vAlign w:val="center"/>
          </w:tcPr>
          <w:p w14:paraId="07E71414">
            <w:pPr>
              <w:pStyle w:val="96"/>
              <w:keepNext w:val="0"/>
              <w:keepLines w:val="0"/>
              <w:pageBreakBefore w:val="0"/>
              <w:widowControl w:val="0"/>
              <w:kinsoku/>
              <w:wordWrap/>
              <w:overflowPunct/>
              <w:topLinePunct w:val="0"/>
              <w:autoSpaceDE/>
              <w:autoSpaceDN/>
              <w:bidi w:val="0"/>
              <w:spacing w:line="340" w:lineRule="exact"/>
              <w:textAlignment w:val="auto"/>
              <w:rPr>
                <w:rFonts w:ascii="Times New Roman" w:hAnsi="Times New Roman" w:eastAsia="宋体" w:cs="Times New Roman"/>
                <w:color w:val="auto"/>
              </w:rPr>
            </w:pPr>
            <w:r>
              <w:rPr>
                <w:rFonts w:hint="default" w:ascii="Times New Roman" w:hAnsi="Times New Roman" w:eastAsia="宋体" w:cs="Times New Roman"/>
                <w:color w:val="auto"/>
                <w:lang w:val="en-US" w:eastAsia="zh-CN"/>
              </w:rPr>
              <w:t>0.252</w:t>
            </w:r>
            <w:r>
              <w:rPr>
                <w:rFonts w:ascii="Times New Roman" w:hAnsi="Times New Roman" w:eastAsia="宋体" w:cs="Times New Roman"/>
                <w:color w:val="auto"/>
              </w:rPr>
              <w:t>t/a</w:t>
            </w:r>
          </w:p>
        </w:tc>
        <w:tc>
          <w:tcPr>
            <w:tcW w:w="603" w:type="pct"/>
            <w:vAlign w:val="center"/>
          </w:tcPr>
          <w:p w14:paraId="3DC6949A">
            <w:pPr>
              <w:keepNext w:val="0"/>
              <w:keepLines w:val="0"/>
              <w:pageBreakBefore w:val="0"/>
              <w:widowControl w:val="0"/>
              <w:kinsoku/>
              <w:wordWrap/>
              <w:overflowPunct/>
              <w:topLinePunct w:val="0"/>
              <w:autoSpaceDE/>
              <w:autoSpaceDN/>
              <w:bidi w:val="0"/>
              <w:spacing w:line="340" w:lineRule="exact"/>
              <w:jc w:val="center"/>
              <w:textAlignment w:val="auto"/>
              <w:rPr>
                <w:snapToGrid w:val="0"/>
                <w:color w:val="auto"/>
                <w:kern w:val="21"/>
                <w:sz w:val="21"/>
                <w:szCs w:val="21"/>
              </w:rPr>
            </w:pPr>
            <w:r>
              <w:rPr>
                <w:snapToGrid w:val="0"/>
                <w:color w:val="auto"/>
                <w:kern w:val="21"/>
                <w:sz w:val="21"/>
                <w:szCs w:val="21"/>
              </w:rPr>
              <w:t>/</w:t>
            </w:r>
          </w:p>
        </w:tc>
        <w:tc>
          <w:tcPr>
            <w:tcW w:w="1902" w:type="dxa"/>
            <w:vAlign w:val="center"/>
          </w:tcPr>
          <w:p w14:paraId="20764ED3">
            <w:pPr>
              <w:pStyle w:val="96"/>
              <w:keepNext w:val="0"/>
              <w:keepLines w:val="0"/>
              <w:pageBreakBefore w:val="0"/>
              <w:widowControl w:val="0"/>
              <w:kinsoku/>
              <w:wordWrap/>
              <w:overflowPunct/>
              <w:topLinePunct w:val="0"/>
              <w:autoSpaceDE/>
              <w:autoSpaceDN/>
              <w:bidi w:val="0"/>
              <w:spacing w:line="340" w:lineRule="exact"/>
              <w:textAlignment w:val="auto"/>
              <w:rPr>
                <w:color w:val="auto"/>
                <w:sz w:val="21"/>
                <w:szCs w:val="21"/>
              </w:rPr>
            </w:pPr>
            <w:r>
              <w:rPr>
                <w:rFonts w:hint="default" w:ascii="Times New Roman" w:hAnsi="Times New Roman" w:eastAsia="宋体" w:cs="Times New Roman"/>
                <w:color w:val="auto"/>
                <w:lang w:val="en-US" w:eastAsia="zh-CN"/>
              </w:rPr>
              <w:t>0.252</w:t>
            </w:r>
            <w:r>
              <w:rPr>
                <w:rFonts w:ascii="Times New Roman" w:hAnsi="Times New Roman" w:eastAsia="宋体" w:cs="Times New Roman"/>
                <w:color w:val="auto"/>
              </w:rPr>
              <w:t>t/a</w:t>
            </w:r>
          </w:p>
        </w:tc>
        <w:tc>
          <w:tcPr>
            <w:tcW w:w="1680" w:type="dxa"/>
            <w:vAlign w:val="center"/>
          </w:tcPr>
          <w:p w14:paraId="33FF7A19">
            <w:pPr>
              <w:pStyle w:val="96"/>
              <w:keepNext w:val="0"/>
              <w:keepLines w:val="0"/>
              <w:pageBreakBefore w:val="0"/>
              <w:widowControl w:val="0"/>
              <w:kinsoku/>
              <w:wordWrap/>
              <w:overflowPunct/>
              <w:topLinePunct w:val="0"/>
              <w:autoSpaceDE/>
              <w:autoSpaceDN/>
              <w:bidi w:val="0"/>
              <w:spacing w:line="340" w:lineRule="exact"/>
              <w:textAlignment w:val="auto"/>
              <w:rPr>
                <w:color w:val="auto"/>
                <w:sz w:val="21"/>
                <w:szCs w:val="21"/>
              </w:rPr>
            </w:pPr>
            <w:r>
              <w:rPr>
                <w:rFonts w:cs="Times New Roman"/>
                <w:snapToGrid w:val="0"/>
                <w:color w:val="auto"/>
                <w:kern w:val="21"/>
              </w:rPr>
              <w:t>+</w:t>
            </w:r>
            <w:r>
              <w:rPr>
                <w:rFonts w:hint="default" w:ascii="Times New Roman" w:hAnsi="Times New Roman" w:eastAsia="宋体" w:cs="Times New Roman"/>
                <w:color w:val="auto"/>
                <w:lang w:val="en-US" w:eastAsia="zh-CN"/>
              </w:rPr>
              <w:t>0.252</w:t>
            </w:r>
            <w:r>
              <w:rPr>
                <w:rFonts w:ascii="Times New Roman" w:hAnsi="Times New Roman" w:eastAsia="宋体" w:cs="Times New Roman"/>
                <w:color w:val="auto"/>
              </w:rPr>
              <w:t>t/a</w:t>
            </w:r>
          </w:p>
        </w:tc>
      </w:tr>
      <w:tr w14:paraId="1185B3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9" w:hRule="atLeast"/>
        </w:trPr>
        <w:tc>
          <w:tcPr>
            <w:tcW w:w="473" w:type="pct"/>
            <w:vMerge w:val="continue"/>
            <w:vAlign w:val="center"/>
          </w:tcPr>
          <w:p w14:paraId="73BFA508">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p>
        </w:tc>
        <w:tc>
          <w:tcPr>
            <w:tcW w:w="655" w:type="pct"/>
            <w:vAlign w:val="center"/>
          </w:tcPr>
          <w:p w14:paraId="52507A5B">
            <w:pPr>
              <w:keepNext w:val="0"/>
              <w:keepLines w:val="0"/>
              <w:pageBreakBefore w:val="0"/>
              <w:widowControl w:val="0"/>
              <w:kinsoku/>
              <w:wordWrap/>
              <w:overflowPunct/>
              <w:topLinePunct w:val="0"/>
              <w:autoSpaceDE/>
              <w:autoSpaceDN/>
              <w:bidi w:val="0"/>
              <w:spacing w:line="340" w:lineRule="exact"/>
              <w:jc w:val="center"/>
              <w:textAlignment w:val="auto"/>
              <w:rPr>
                <w:color w:val="auto"/>
                <w:sz w:val="21"/>
                <w:szCs w:val="21"/>
              </w:rPr>
            </w:pPr>
            <w:r>
              <w:rPr>
                <w:color w:val="auto"/>
                <w:sz w:val="21"/>
                <w:szCs w:val="21"/>
              </w:rPr>
              <w:t>SS</w:t>
            </w:r>
          </w:p>
        </w:tc>
        <w:tc>
          <w:tcPr>
            <w:tcW w:w="444" w:type="pct"/>
            <w:vAlign w:val="center"/>
          </w:tcPr>
          <w:p w14:paraId="455FC849">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1AB2F6FF">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12B47F84">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1539" w:type="dxa"/>
            <w:vAlign w:val="center"/>
          </w:tcPr>
          <w:p w14:paraId="0BEB4426">
            <w:pPr>
              <w:pStyle w:val="96"/>
              <w:keepNext w:val="0"/>
              <w:keepLines w:val="0"/>
              <w:pageBreakBefore w:val="0"/>
              <w:widowControl w:val="0"/>
              <w:kinsoku/>
              <w:wordWrap/>
              <w:overflowPunct/>
              <w:topLinePunct w:val="0"/>
              <w:autoSpaceDE/>
              <w:autoSpaceDN/>
              <w:bidi w:val="0"/>
              <w:spacing w:line="340" w:lineRule="exact"/>
              <w:textAlignment w:val="auto"/>
              <w:rPr>
                <w:rFonts w:ascii="Times New Roman" w:hAnsi="Times New Roman" w:eastAsia="宋体" w:cs="Times New Roman"/>
                <w:color w:val="auto"/>
              </w:rPr>
            </w:pPr>
            <w:r>
              <w:rPr>
                <w:rFonts w:hint="default" w:ascii="Times New Roman" w:hAnsi="Times New Roman" w:eastAsia="宋体" w:cs="Times New Roman"/>
                <w:color w:val="auto"/>
                <w:lang w:val="en-US" w:eastAsia="zh-CN"/>
              </w:rPr>
              <w:t>0.302</w:t>
            </w:r>
            <w:r>
              <w:rPr>
                <w:rFonts w:ascii="Times New Roman" w:hAnsi="Times New Roman" w:eastAsia="宋体" w:cs="Times New Roman"/>
                <w:color w:val="auto"/>
              </w:rPr>
              <w:t>t/a</w:t>
            </w:r>
            <w:r>
              <w:rPr>
                <w:rFonts w:hint="default" w:ascii="Times New Roman" w:hAnsi="Times New Roman" w:eastAsia="宋体" w:cs="Times New Roman"/>
                <w:color w:val="auto"/>
                <w:lang w:val="en-US" w:eastAsia="zh-CN"/>
              </w:rPr>
              <w:t xml:space="preserve"> </w:t>
            </w:r>
          </w:p>
        </w:tc>
        <w:tc>
          <w:tcPr>
            <w:tcW w:w="603" w:type="pct"/>
            <w:vAlign w:val="center"/>
          </w:tcPr>
          <w:p w14:paraId="4ABD0029">
            <w:pPr>
              <w:keepNext w:val="0"/>
              <w:keepLines w:val="0"/>
              <w:pageBreakBefore w:val="0"/>
              <w:widowControl w:val="0"/>
              <w:kinsoku/>
              <w:wordWrap/>
              <w:overflowPunct/>
              <w:topLinePunct w:val="0"/>
              <w:autoSpaceDE/>
              <w:autoSpaceDN/>
              <w:bidi w:val="0"/>
              <w:spacing w:line="340" w:lineRule="exact"/>
              <w:jc w:val="center"/>
              <w:textAlignment w:val="auto"/>
              <w:rPr>
                <w:snapToGrid w:val="0"/>
                <w:color w:val="auto"/>
                <w:kern w:val="21"/>
                <w:sz w:val="21"/>
                <w:szCs w:val="21"/>
              </w:rPr>
            </w:pPr>
            <w:r>
              <w:rPr>
                <w:snapToGrid w:val="0"/>
                <w:color w:val="auto"/>
                <w:kern w:val="21"/>
                <w:sz w:val="21"/>
                <w:szCs w:val="21"/>
              </w:rPr>
              <w:t>/</w:t>
            </w:r>
          </w:p>
        </w:tc>
        <w:tc>
          <w:tcPr>
            <w:tcW w:w="1902" w:type="dxa"/>
            <w:vAlign w:val="center"/>
          </w:tcPr>
          <w:p w14:paraId="0A01C7E3">
            <w:pPr>
              <w:pStyle w:val="96"/>
              <w:keepNext w:val="0"/>
              <w:keepLines w:val="0"/>
              <w:pageBreakBefore w:val="0"/>
              <w:widowControl w:val="0"/>
              <w:kinsoku/>
              <w:wordWrap/>
              <w:overflowPunct/>
              <w:topLinePunct w:val="0"/>
              <w:autoSpaceDE/>
              <w:autoSpaceDN/>
              <w:bidi w:val="0"/>
              <w:spacing w:line="340" w:lineRule="exact"/>
              <w:textAlignment w:val="auto"/>
              <w:rPr>
                <w:color w:val="auto"/>
                <w:sz w:val="21"/>
                <w:szCs w:val="21"/>
              </w:rPr>
            </w:pPr>
            <w:r>
              <w:rPr>
                <w:rFonts w:hint="default" w:ascii="Times New Roman" w:hAnsi="Times New Roman" w:eastAsia="宋体" w:cs="Times New Roman"/>
                <w:color w:val="auto"/>
                <w:lang w:val="en-US" w:eastAsia="zh-CN"/>
              </w:rPr>
              <w:t>0.302</w:t>
            </w:r>
            <w:r>
              <w:rPr>
                <w:rFonts w:ascii="Times New Roman" w:hAnsi="Times New Roman" w:eastAsia="宋体" w:cs="Times New Roman"/>
                <w:color w:val="auto"/>
              </w:rPr>
              <w:t>t/a</w:t>
            </w:r>
            <w:r>
              <w:rPr>
                <w:rFonts w:hint="default" w:ascii="Times New Roman" w:hAnsi="Times New Roman" w:eastAsia="宋体" w:cs="Times New Roman"/>
                <w:color w:val="auto"/>
                <w:lang w:val="en-US" w:eastAsia="zh-CN"/>
              </w:rPr>
              <w:t xml:space="preserve"> </w:t>
            </w:r>
          </w:p>
        </w:tc>
        <w:tc>
          <w:tcPr>
            <w:tcW w:w="1680" w:type="dxa"/>
            <w:vAlign w:val="center"/>
          </w:tcPr>
          <w:p w14:paraId="1C493830">
            <w:pPr>
              <w:pStyle w:val="96"/>
              <w:keepNext w:val="0"/>
              <w:keepLines w:val="0"/>
              <w:pageBreakBefore w:val="0"/>
              <w:widowControl w:val="0"/>
              <w:kinsoku/>
              <w:wordWrap/>
              <w:overflowPunct/>
              <w:topLinePunct w:val="0"/>
              <w:autoSpaceDE/>
              <w:autoSpaceDN/>
              <w:bidi w:val="0"/>
              <w:spacing w:line="340" w:lineRule="exact"/>
              <w:textAlignment w:val="auto"/>
              <w:rPr>
                <w:color w:val="auto"/>
                <w:sz w:val="21"/>
                <w:szCs w:val="21"/>
              </w:rPr>
            </w:pPr>
            <w:r>
              <w:rPr>
                <w:rFonts w:cs="Times New Roman"/>
                <w:snapToGrid w:val="0"/>
                <w:color w:val="auto"/>
                <w:kern w:val="21"/>
              </w:rPr>
              <w:t>+</w:t>
            </w:r>
            <w:r>
              <w:rPr>
                <w:rFonts w:hint="default" w:ascii="Times New Roman" w:hAnsi="Times New Roman" w:eastAsia="宋体" w:cs="Times New Roman"/>
                <w:color w:val="auto"/>
                <w:lang w:val="en-US" w:eastAsia="zh-CN"/>
              </w:rPr>
              <w:t>0.302</w:t>
            </w:r>
            <w:r>
              <w:rPr>
                <w:rFonts w:ascii="Times New Roman" w:hAnsi="Times New Roman" w:eastAsia="宋体" w:cs="Times New Roman"/>
                <w:color w:val="auto"/>
              </w:rPr>
              <w:t>t/a</w:t>
            </w:r>
            <w:r>
              <w:rPr>
                <w:rFonts w:hint="default" w:ascii="Times New Roman" w:hAnsi="Times New Roman" w:eastAsia="宋体" w:cs="Times New Roman"/>
                <w:color w:val="auto"/>
                <w:lang w:val="en-US" w:eastAsia="zh-CN"/>
              </w:rPr>
              <w:t xml:space="preserve"> </w:t>
            </w:r>
          </w:p>
        </w:tc>
      </w:tr>
      <w:tr w14:paraId="1CD8A5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9" w:hRule="atLeast"/>
        </w:trPr>
        <w:tc>
          <w:tcPr>
            <w:tcW w:w="473" w:type="pct"/>
            <w:vMerge w:val="continue"/>
            <w:vAlign w:val="center"/>
          </w:tcPr>
          <w:p w14:paraId="4D410F72">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p>
        </w:tc>
        <w:tc>
          <w:tcPr>
            <w:tcW w:w="655" w:type="pct"/>
            <w:vAlign w:val="center"/>
          </w:tcPr>
          <w:p w14:paraId="198A54DE">
            <w:pPr>
              <w:keepNext w:val="0"/>
              <w:keepLines w:val="0"/>
              <w:pageBreakBefore w:val="0"/>
              <w:widowControl w:val="0"/>
              <w:kinsoku/>
              <w:wordWrap/>
              <w:overflowPunct/>
              <w:topLinePunct w:val="0"/>
              <w:autoSpaceDE/>
              <w:autoSpaceDN/>
              <w:bidi w:val="0"/>
              <w:spacing w:line="340" w:lineRule="exact"/>
              <w:jc w:val="center"/>
              <w:textAlignment w:val="auto"/>
              <w:rPr>
                <w:color w:val="auto"/>
                <w:sz w:val="21"/>
                <w:szCs w:val="21"/>
              </w:rPr>
            </w:pPr>
            <w:r>
              <w:rPr>
                <w:color w:val="auto"/>
                <w:sz w:val="21"/>
                <w:szCs w:val="21"/>
              </w:rPr>
              <w:t>NH</w:t>
            </w:r>
            <w:r>
              <w:rPr>
                <w:color w:val="auto"/>
                <w:sz w:val="21"/>
                <w:szCs w:val="21"/>
                <w:vertAlign w:val="subscript"/>
              </w:rPr>
              <w:t>3</w:t>
            </w:r>
            <w:r>
              <w:rPr>
                <w:color w:val="auto"/>
                <w:sz w:val="21"/>
                <w:szCs w:val="21"/>
              </w:rPr>
              <w:t>-N</w:t>
            </w:r>
          </w:p>
        </w:tc>
        <w:tc>
          <w:tcPr>
            <w:tcW w:w="444" w:type="pct"/>
            <w:vAlign w:val="center"/>
          </w:tcPr>
          <w:p w14:paraId="7F63EE6F">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264F3989">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290B5AD8">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color w:val="auto"/>
                <w:sz w:val="21"/>
                <w:szCs w:val="21"/>
              </w:rPr>
            </w:pPr>
            <w:r>
              <w:rPr>
                <w:rFonts w:ascii="Times New Roman" w:hAnsi="Times New Roman" w:eastAsia="宋体" w:cs="Times New Roman"/>
                <w:snapToGrid w:val="0"/>
                <w:color w:val="auto"/>
                <w:kern w:val="21"/>
                <w:sz w:val="21"/>
                <w:szCs w:val="21"/>
              </w:rPr>
              <w:t>/</w:t>
            </w:r>
          </w:p>
        </w:tc>
        <w:tc>
          <w:tcPr>
            <w:tcW w:w="1539" w:type="dxa"/>
            <w:vAlign w:val="center"/>
          </w:tcPr>
          <w:p w14:paraId="0D73A5A8">
            <w:pPr>
              <w:pStyle w:val="96"/>
              <w:keepNext w:val="0"/>
              <w:keepLines w:val="0"/>
              <w:pageBreakBefore w:val="0"/>
              <w:widowControl w:val="0"/>
              <w:kinsoku/>
              <w:wordWrap/>
              <w:overflowPunct/>
              <w:topLinePunct w:val="0"/>
              <w:autoSpaceDE/>
              <w:autoSpaceDN/>
              <w:bidi w:val="0"/>
              <w:spacing w:line="340" w:lineRule="exact"/>
              <w:textAlignment w:val="auto"/>
              <w:rPr>
                <w:rFonts w:ascii="Times New Roman" w:hAnsi="Times New Roman" w:eastAsia="宋体" w:cs="Times New Roman"/>
                <w:color w:val="auto"/>
              </w:rPr>
            </w:pPr>
            <w:r>
              <w:rPr>
                <w:rFonts w:hint="default" w:ascii="Times New Roman" w:hAnsi="Times New Roman" w:eastAsia="宋体" w:cs="Times New Roman"/>
                <w:color w:val="auto"/>
                <w:lang w:val="en-US" w:eastAsia="zh-CN"/>
              </w:rPr>
              <w:t>0.0</w:t>
            </w:r>
            <w:r>
              <w:rPr>
                <w:rFonts w:hint="eastAsia" w:ascii="Times New Roman" w:hAnsi="Times New Roman" w:eastAsia="宋体" w:cs="Times New Roman"/>
                <w:color w:val="auto"/>
                <w:lang w:val="en-US" w:eastAsia="zh-CN"/>
              </w:rPr>
              <w:t>30</w:t>
            </w:r>
            <w:r>
              <w:rPr>
                <w:rFonts w:ascii="Times New Roman" w:hAnsi="Times New Roman" w:eastAsia="宋体" w:cs="Times New Roman"/>
                <w:color w:val="auto"/>
              </w:rPr>
              <w:t>t/a</w:t>
            </w:r>
          </w:p>
        </w:tc>
        <w:tc>
          <w:tcPr>
            <w:tcW w:w="603" w:type="pct"/>
            <w:vAlign w:val="center"/>
          </w:tcPr>
          <w:p w14:paraId="39E0700B">
            <w:pPr>
              <w:keepNext w:val="0"/>
              <w:keepLines w:val="0"/>
              <w:pageBreakBefore w:val="0"/>
              <w:widowControl w:val="0"/>
              <w:kinsoku/>
              <w:wordWrap/>
              <w:overflowPunct/>
              <w:topLinePunct w:val="0"/>
              <w:autoSpaceDE/>
              <w:autoSpaceDN/>
              <w:bidi w:val="0"/>
              <w:spacing w:line="340" w:lineRule="exact"/>
              <w:jc w:val="center"/>
              <w:textAlignment w:val="auto"/>
              <w:rPr>
                <w:snapToGrid w:val="0"/>
                <w:color w:val="auto"/>
                <w:kern w:val="21"/>
                <w:sz w:val="21"/>
                <w:szCs w:val="21"/>
              </w:rPr>
            </w:pPr>
            <w:r>
              <w:rPr>
                <w:snapToGrid w:val="0"/>
                <w:color w:val="auto"/>
                <w:kern w:val="21"/>
                <w:sz w:val="21"/>
                <w:szCs w:val="21"/>
              </w:rPr>
              <w:t>/</w:t>
            </w:r>
          </w:p>
        </w:tc>
        <w:tc>
          <w:tcPr>
            <w:tcW w:w="1902" w:type="dxa"/>
            <w:vAlign w:val="center"/>
          </w:tcPr>
          <w:p w14:paraId="3AD8877A">
            <w:pPr>
              <w:pStyle w:val="96"/>
              <w:keepNext w:val="0"/>
              <w:keepLines w:val="0"/>
              <w:pageBreakBefore w:val="0"/>
              <w:widowControl w:val="0"/>
              <w:kinsoku/>
              <w:wordWrap/>
              <w:overflowPunct/>
              <w:topLinePunct w:val="0"/>
              <w:autoSpaceDE/>
              <w:autoSpaceDN/>
              <w:bidi w:val="0"/>
              <w:spacing w:line="340" w:lineRule="exact"/>
              <w:textAlignment w:val="auto"/>
              <w:rPr>
                <w:color w:val="auto"/>
                <w:sz w:val="21"/>
                <w:szCs w:val="21"/>
              </w:rPr>
            </w:pPr>
            <w:r>
              <w:rPr>
                <w:rFonts w:hint="default" w:ascii="Times New Roman" w:hAnsi="Times New Roman" w:eastAsia="宋体" w:cs="Times New Roman"/>
                <w:color w:val="auto"/>
                <w:lang w:val="en-US" w:eastAsia="zh-CN"/>
              </w:rPr>
              <w:t>0.0</w:t>
            </w:r>
            <w:r>
              <w:rPr>
                <w:rFonts w:hint="eastAsia" w:ascii="Times New Roman" w:hAnsi="Times New Roman" w:eastAsia="宋体" w:cs="Times New Roman"/>
                <w:color w:val="auto"/>
                <w:lang w:val="en-US" w:eastAsia="zh-CN"/>
              </w:rPr>
              <w:t>30</w:t>
            </w:r>
            <w:r>
              <w:rPr>
                <w:rFonts w:ascii="Times New Roman" w:hAnsi="Times New Roman" w:eastAsia="宋体" w:cs="Times New Roman"/>
                <w:color w:val="auto"/>
              </w:rPr>
              <w:t>t/a</w:t>
            </w:r>
          </w:p>
        </w:tc>
        <w:tc>
          <w:tcPr>
            <w:tcW w:w="1680" w:type="dxa"/>
            <w:vAlign w:val="center"/>
          </w:tcPr>
          <w:p w14:paraId="74478CEC">
            <w:pPr>
              <w:pStyle w:val="96"/>
              <w:keepNext w:val="0"/>
              <w:keepLines w:val="0"/>
              <w:pageBreakBefore w:val="0"/>
              <w:widowControl w:val="0"/>
              <w:kinsoku/>
              <w:wordWrap/>
              <w:overflowPunct/>
              <w:topLinePunct w:val="0"/>
              <w:autoSpaceDE/>
              <w:autoSpaceDN/>
              <w:bidi w:val="0"/>
              <w:spacing w:line="340" w:lineRule="exact"/>
              <w:textAlignment w:val="auto"/>
              <w:rPr>
                <w:color w:val="auto"/>
                <w:sz w:val="21"/>
                <w:szCs w:val="21"/>
              </w:rPr>
            </w:pPr>
            <w:r>
              <w:rPr>
                <w:rFonts w:cs="Times New Roman"/>
                <w:snapToGrid w:val="0"/>
                <w:color w:val="auto"/>
                <w:kern w:val="21"/>
              </w:rPr>
              <w:t>+</w:t>
            </w:r>
            <w:r>
              <w:rPr>
                <w:rFonts w:hint="default" w:ascii="Times New Roman" w:hAnsi="Times New Roman" w:eastAsia="宋体" w:cs="Times New Roman"/>
                <w:color w:val="auto"/>
                <w:lang w:val="en-US" w:eastAsia="zh-CN"/>
              </w:rPr>
              <w:t>0.0</w:t>
            </w:r>
            <w:r>
              <w:rPr>
                <w:rFonts w:hint="eastAsia" w:ascii="Times New Roman" w:hAnsi="Times New Roman" w:eastAsia="宋体" w:cs="Times New Roman"/>
                <w:color w:val="auto"/>
                <w:lang w:val="en-US" w:eastAsia="zh-CN"/>
              </w:rPr>
              <w:t>30</w:t>
            </w:r>
            <w:r>
              <w:rPr>
                <w:rFonts w:ascii="Times New Roman" w:hAnsi="Times New Roman" w:eastAsia="宋体" w:cs="Times New Roman"/>
                <w:color w:val="auto"/>
              </w:rPr>
              <w:t>t/a</w:t>
            </w:r>
          </w:p>
        </w:tc>
      </w:tr>
      <w:tr w14:paraId="159021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473" w:type="pct"/>
            <w:vMerge w:val="restart"/>
            <w:vAlign w:val="center"/>
          </w:tcPr>
          <w:p w14:paraId="0A024C44">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r>
              <w:rPr>
                <w:rFonts w:ascii="Times New Roman" w:hAnsi="Times New Roman" w:cs="Times New Roman"/>
                <w:snapToGrid w:val="0"/>
                <w:color w:val="auto"/>
                <w:kern w:val="21"/>
                <w:sz w:val="21"/>
                <w:szCs w:val="21"/>
              </w:rPr>
              <w:t>一般工业</w:t>
            </w:r>
          </w:p>
          <w:p w14:paraId="3A4C148D">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r>
              <w:rPr>
                <w:rFonts w:ascii="Times New Roman" w:hAnsi="Times New Roman" w:cs="Times New Roman"/>
                <w:snapToGrid w:val="0"/>
                <w:color w:val="auto"/>
                <w:kern w:val="21"/>
                <w:sz w:val="21"/>
                <w:szCs w:val="21"/>
              </w:rPr>
              <w:t>固体废物</w:t>
            </w:r>
          </w:p>
        </w:tc>
        <w:tc>
          <w:tcPr>
            <w:tcW w:w="655" w:type="pct"/>
            <w:vAlign w:val="center"/>
          </w:tcPr>
          <w:p w14:paraId="46AED608">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cs="Times New Roman"/>
                <w:color w:val="auto"/>
              </w:rPr>
              <w:t>非磁性物质</w:t>
            </w:r>
          </w:p>
        </w:tc>
        <w:tc>
          <w:tcPr>
            <w:tcW w:w="444" w:type="pct"/>
            <w:vAlign w:val="center"/>
          </w:tcPr>
          <w:p w14:paraId="25AB851E">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5FFE56E8">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0B179934">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47" w:type="pct"/>
            <w:vAlign w:val="center"/>
          </w:tcPr>
          <w:p w14:paraId="6E40CAAA">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hint="eastAsia" w:cs="Times New Roman"/>
                <w:color w:val="auto"/>
                <w:lang w:val="en-US" w:eastAsia="zh-CN"/>
              </w:rPr>
              <w:t>2000</w:t>
            </w:r>
            <w:r>
              <w:rPr>
                <w:rFonts w:cs="Times New Roman"/>
                <w:snapToGrid w:val="0"/>
                <w:color w:val="auto"/>
                <w:kern w:val="21"/>
              </w:rPr>
              <w:t>t/a</w:t>
            </w:r>
          </w:p>
        </w:tc>
        <w:tc>
          <w:tcPr>
            <w:tcW w:w="603" w:type="pct"/>
            <w:vAlign w:val="center"/>
          </w:tcPr>
          <w:p w14:paraId="40DADB21">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676" w:type="pct"/>
            <w:vAlign w:val="center"/>
          </w:tcPr>
          <w:p w14:paraId="02FB4964">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hint="eastAsia" w:cs="Times New Roman"/>
                <w:color w:val="auto"/>
                <w:lang w:val="en-US" w:eastAsia="zh-CN"/>
              </w:rPr>
              <w:t>2000</w:t>
            </w:r>
            <w:r>
              <w:rPr>
                <w:rFonts w:cs="Times New Roman"/>
                <w:snapToGrid w:val="0"/>
                <w:color w:val="auto"/>
                <w:kern w:val="21"/>
              </w:rPr>
              <w:t>t/a</w:t>
            </w:r>
          </w:p>
        </w:tc>
        <w:tc>
          <w:tcPr>
            <w:tcW w:w="597" w:type="pct"/>
            <w:vAlign w:val="center"/>
          </w:tcPr>
          <w:p w14:paraId="15FC3651">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hint="eastAsia" w:cs="Times New Roman"/>
                <w:color w:val="auto"/>
                <w:lang w:val="en-US" w:eastAsia="zh-CN"/>
              </w:rPr>
              <w:t>+2000</w:t>
            </w:r>
            <w:r>
              <w:rPr>
                <w:rFonts w:cs="Times New Roman"/>
                <w:snapToGrid w:val="0"/>
                <w:color w:val="auto"/>
                <w:kern w:val="21"/>
              </w:rPr>
              <w:t>t/a</w:t>
            </w:r>
          </w:p>
        </w:tc>
      </w:tr>
      <w:tr w14:paraId="1D9CA7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473" w:type="pct"/>
            <w:vMerge w:val="continue"/>
            <w:vAlign w:val="center"/>
          </w:tcPr>
          <w:p w14:paraId="0D9591B8">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p>
        </w:tc>
        <w:tc>
          <w:tcPr>
            <w:tcW w:w="655" w:type="pct"/>
            <w:vAlign w:val="center"/>
          </w:tcPr>
          <w:p w14:paraId="553C4302">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cs="Times New Roman"/>
                <w:color w:val="auto"/>
              </w:rPr>
              <w:t>未沾染油污的废零部件</w:t>
            </w:r>
          </w:p>
        </w:tc>
        <w:tc>
          <w:tcPr>
            <w:tcW w:w="444" w:type="pct"/>
            <w:vAlign w:val="center"/>
          </w:tcPr>
          <w:p w14:paraId="0BC3FFA3">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4FF62EB0">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3D275864">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47" w:type="pct"/>
            <w:vAlign w:val="center"/>
          </w:tcPr>
          <w:p w14:paraId="7E91BF79">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cs="Times New Roman"/>
                <w:color w:val="auto"/>
              </w:rPr>
              <w:t>1</w:t>
            </w:r>
            <w:r>
              <w:rPr>
                <w:rFonts w:hint="eastAsia" w:cs="Times New Roman"/>
                <w:color w:val="auto"/>
                <w:lang w:val="en-US" w:eastAsia="zh-CN"/>
              </w:rPr>
              <w:t>.</w:t>
            </w:r>
            <w:r>
              <w:rPr>
                <w:rFonts w:cs="Times New Roman"/>
                <w:color w:val="auto"/>
              </w:rPr>
              <w:t>6</w:t>
            </w:r>
            <w:r>
              <w:rPr>
                <w:rFonts w:cs="Times New Roman"/>
                <w:snapToGrid w:val="0"/>
                <w:color w:val="auto"/>
                <w:kern w:val="21"/>
              </w:rPr>
              <w:t>t/a</w:t>
            </w:r>
          </w:p>
        </w:tc>
        <w:tc>
          <w:tcPr>
            <w:tcW w:w="603" w:type="pct"/>
            <w:vAlign w:val="center"/>
          </w:tcPr>
          <w:p w14:paraId="0FA1AAEF">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676" w:type="pct"/>
            <w:vAlign w:val="center"/>
          </w:tcPr>
          <w:p w14:paraId="1BF0C468">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cs="Times New Roman"/>
                <w:color w:val="auto"/>
              </w:rPr>
              <w:t>1</w:t>
            </w:r>
            <w:r>
              <w:rPr>
                <w:rFonts w:hint="eastAsia" w:cs="Times New Roman"/>
                <w:color w:val="auto"/>
                <w:lang w:val="en-US" w:eastAsia="zh-CN"/>
              </w:rPr>
              <w:t>.</w:t>
            </w:r>
            <w:r>
              <w:rPr>
                <w:rFonts w:cs="Times New Roman"/>
                <w:color w:val="auto"/>
              </w:rPr>
              <w:t>6</w:t>
            </w:r>
            <w:r>
              <w:rPr>
                <w:rFonts w:cs="Times New Roman"/>
                <w:snapToGrid w:val="0"/>
                <w:color w:val="auto"/>
                <w:kern w:val="21"/>
              </w:rPr>
              <w:t>t/a</w:t>
            </w:r>
          </w:p>
        </w:tc>
        <w:tc>
          <w:tcPr>
            <w:tcW w:w="597" w:type="pct"/>
            <w:vAlign w:val="center"/>
          </w:tcPr>
          <w:p w14:paraId="7F6EA5E4">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w:t>
            </w:r>
            <w:r>
              <w:rPr>
                <w:rFonts w:cs="Times New Roman"/>
                <w:color w:val="auto"/>
              </w:rPr>
              <w:t>1</w:t>
            </w:r>
            <w:r>
              <w:rPr>
                <w:rFonts w:hint="eastAsia" w:cs="Times New Roman"/>
                <w:color w:val="auto"/>
                <w:lang w:val="en-US" w:eastAsia="zh-CN"/>
              </w:rPr>
              <w:t>.</w:t>
            </w:r>
            <w:r>
              <w:rPr>
                <w:rFonts w:cs="Times New Roman"/>
                <w:color w:val="auto"/>
              </w:rPr>
              <w:t>6</w:t>
            </w:r>
            <w:r>
              <w:rPr>
                <w:rFonts w:cs="Times New Roman"/>
                <w:snapToGrid w:val="0"/>
                <w:color w:val="auto"/>
                <w:kern w:val="21"/>
              </w:rPr>
              <w:t>t/a</w:t>
            </w:r>
          </w:p>
        </w:tc>
      </w:tr>
      <w:tr w14:paraId="2E9A8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73" w:type="pct"/>
            <w:vMerge w:val="continue"/>
            <w:vAlign w:val="center"/>
          </w:tcPr>
          <w:p w14:paraId="5017F369">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p>
        </w:tc>
        <w:tc>
          <w:tcPr>
            <w:tcW w:w="655" w:type="pct"/>
            <w:vAlign w:val="center"/>
          </w:tcPr>
          <w:p w14:paraId="46AD326E">
            <w:pPr>
              <w:pStyle w:val="96"/>
              <w:keepNext w:val="0"/>
              <w:keepLines w:val="0"/>
              <w:pageBreakBefore w:val="0"/>
              <w:widowControl w:val="0"/>
              <w:kinsoku/>
              <w:wordWrap/>
              <w:overflowPunct/>
              <w:topLinePunct w:val="0"/>
              <w:autoSpaceDE/>
              <w:autoSpaceDN/>
              <w:bidi w:val="0"/>
              <w:spacing w:line="340" w:lineRule="exact"/>
              <w:ind w:left="-48" w:leftChars="-20" w:right="-48" w:rightChars="-20"/>
              <w:textAlignment w:val="auto"/>
              <w:rPr>
                <w:rFonts w:cs="Times New Roman"/>
                <w:bCs/>
                <w:color w:val="auto"/>
              </w:rPr>
            </w:pPr>
            <w:r>
              <w:rPr>
                <w:rFonts w:cs="Times New Roman"/>
                <w:color w:val="auto"/>
              </w:rPr>
              <w:t>除尘器收集粉尘</w:t>
            </w:r>
          </w:p>
        </w:tc>
        <w:tc>
          <w:tcPr>
            <w:tcW w:w="444" w:type="pct"/>
            <w:vAlign w:val="center"/>
          </w:tcPr>
          <w:p w14:paraId="72314980">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798EF638">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380A0391">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47" w:type="pct"/>
            <w:vAlign w:val="center"/>
          </w:tcPr>
          <w:p w14:paraId="7E1BB029">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hint="eastAsia" w:cs="Times New Roman"/>
                <w:color w:val="auto"/>
                <w:lang w:eastAsia="zh-CN"/>
              </w:rPr>
              <w:t>225.65</w:t>
            </w:r>
            <w:r>
              <w:rPr>
                <w:rFonts w:cs="Times New Roman"/>
                <w:snapToGrid w:val="0"/>
                <w:color w:val="auto"/>
                <w:kern w:val="21"/>
              </w:rPr>
              <w:t>t/a</w:t>
            </w:r>
          </w:p>
        </w:tc>
        <w:tc>
          <w:tcPr>
            <w:tcW w:w="603" w:type="pct"/>
            <w:vAlign w:val="center"/>
          </w:tcPr>
          <w:p w14:paraId="44773F92">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676" w:type="pct"/>
            <w:vAlign w:val="center"/>
          </w:tcPr>
          <w:p w14:paraId="044A4D60">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hint="eastAsia" w:cs="Times New Roman"/>
                <w:color w:val="auto"/>
                <w:lang w:eastAsia="zh-CN"/>
              </w:rPr>
              <w:t>225.65</w:t>
            </w:r>
            <w:r>
              <w:rPr>
                <w:rFonts w:cs="Times New Roman"/>
                <w:snapToGrid w:val="0"/>
                <w:color w:val="auto"/>
                <w:kern w:val="21"/>
              </w:rPr>
              <w:t>t/a</w:t>
            </w:r>
          </w:p>
        </w:tc>
        <w:tc>
          <w:tcPr>
            <w:tcW w:w="597" w:type="pct"/>
            <w:vAlign w:val="center"/>
          </w:tcPr>
          <w:p w14:paraId="71C51A6D">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hint="eastAsia" w:cs="Times New Roman"/>
                <w:color w:val="auto"/>
                <w:lang w:val="en-US" w:eastAsia="zh-CN"/>
              </w:rPr>
              <w:t>+</w:t>
            </w:r>
            <w:r>
              <w:rPr>
                <w:rFonts w:hint="eastAsia" w:cs="Times New Roman"/>
                <w:color w:val="auto"/>
                <w:lang w:eastAsia="zh-CN"/>
              </w:rPr>
              <w:t>225.65</w:t>
            </w:r>
            <w:r>
              <w:rPr>
                <w:rFonts w:cs="Times New Roman"/>
                <w:snapToGrid w:val="0"/>
                <w:color w:val="auto"/>
                <w:kern w:val="21"/>
              </w:rPr>
              <w:t>t/a</w:t>
            </w:r>
          </w:p>
        </w:tc>
      </w:tr>
      <w:tr w14:paraId="04B8BD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473" w:type="pct"/>
            <w:vMerge w:val="restart"/>
            <w:vAlign w:val="center"/>
          </w:tcPr>
          <w:p w14:paraId="6414917C">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r>
              <w:rPr>
                <w:rFonts w:ascii="Times New Roman" w:hAnsi="Times New Roman" w:cs="Times New Roman"/>
                <w:snapToGrid w:val="0"/>
                <w:color w:val="auto"/>
                <w:kern w:val="21"/>
                <w:sz w:val="21"/>
                <w:szCs w:val="21"/>
              </w:rPr>
              <w:t>危险废物</w:t>
            </w:r>
          </w:p>
        </w:tc>
        <w:tc>
          <w:tcPr>
            <w:tcW w:w="655" w:type="pct"/>
            <w:vAlign w:val="center"/>
          </w:tcPr>
          <w:p w14:paraId="684099F2">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cs="Times New Roman"/>
                <w:color w:val="auto"/>
              </w:rPr>
              <w:t>废机油</w:t>
            </w:r>
          </w:p>
        </w:tc>
        <w:tc>
          <w:tcPr>
            <w:tcW w:w="444" w:type="pct"/>
            <w:vAlign w:val="center"/>
          </w:tcPr>
          <w:p w14:paraId="3E64700C">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1EA52B85">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68A7005C">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47" w:type="pct"/>
            <w:vAlign w:val="center"/>
          </w:tcPr>
          <w:p w14:paraId="3F5001DA">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2</w:t>
            </w:r>
            <w:r>
              <w:rPr>
                <w:rFonts w:cs="Times New Roman"/>
                <w:snapToGrid w:val="0"/>
                <w:color w:val="auto"/>
                <w:kern w:val="21"/>
              </w:rPr>
              <w:t>t/a</w:t>
            </w:r>
          </w:p>
        </w:tc>
        <w:tc>
          <w:tcPr>
            <w:tcW w:w="603" w:type="pct"/>
            <w:vAlign w:val="center"/>
          </w:tcPr>
          <w:p w14:paraId="36369573">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676" w:type="pct"/>
            <w:vAlign w:val="center"/>
          </w:tcPr>
          <w:p w14:paraId="3D0800AF">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2</w:t>
            </w:r>
            <w:r>
              <w:rPr>
                <w:rFonts w:cs="Times New Roman"/>
                <w:snapToGrid w:val="0"/>
                <w:color w:val="auto"/>
                <w:kern w:val="21"/>
              </w:rPr>
              <w:t>t/a</w:t>
            </w:r>
          </w:p>
        </w:tc>
        <w:tc>
          <w:tcPr>
            <w:tcW w:w="597" w:type="pct"/>
            <w:vAlign w:val="center"/>
          </w:tcPr>
          <w:p w14:paraId="4F6A3DEB">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+2</w:t>
            </w:r>
            <w:r>
              <w:rPr>
                <w:rFonts w:cs="Times New Roman"/>
                <w:snapToGrid w:val="0"/>
                <w:color w:val="auto"/>
                <w:kern w:val="21"/>
              </w:rPr>
              <w:t>t/a</w:t>
            </w:r>
          </w:p>
        </w:tc>
      </w:tr>
      <w:tr w14:paraId="5D5337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473" w:type="pct"/>
            <w:vMerge w:val="continue"/>
            <w:vAlign w:val="center"/>
          </w:tcPr>
          <w:p w14:paraId="58D34ABC">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p>
        </w:tc>
        <w:tc>
          <w:tcPr>
            <w:tcW w:w="655" w:type="pct"/>
            <w:vAlign w:val="center"/>
          </w:tcPr>
          <w:p w14:paraId="4F147C61">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cs="Times New Roman"/>
                <w:color w:val="auto"/>
              </w:rPr>
              <w:t>废制动液</w:t>
            </w:r>
          </w:p>
        </w:tc>
        <w:tc>
          <w:tcPr>
            <w:tcW w:w="444" w:type="pct"/>
            <w:vAlign w:val="center"/>
          </w:tcPr>
          <w:p w14:paraId="7F5D28F0">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snapToGrid w:val="0"/>
                <w:color w:val="auto"/>
                <w:kern w:val="21"/>
                <w:sz w:val="21"/>
                <w:szCs w:val="21"/>
              </w:rPr>
            </w:pPr>
            <w:r>
              <w:rPr>
                <w:snapToGrid w:val="0"/>
                <w:color w:val="auto"/>
                <w:kern w:val="21"/>
                <w:sz w:val="21"/>
                <w:szCs w:val="21"/>
              </w:rPr>
              <w:t>/</w:t>
            </w:r>
          </w:p>
        </w:tc>
        <w:tc>
          <w:tcPr>
            <w:tcW w:w="423" w:type="pct"/>
            <w:vAlign w:val="center"/>
          </w:tcPr>
          <w:p w14:paraId="167B6E3C">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snapToGrid w:val="0"/>
                <w:color w:val="auto"/>
                <w:kern w:val="21"/>
                <w:sz w:val="21"/>
                <w:szCs w:val="21"/>
              </w:rPr>
            </w:pPr>
            <w:r>
              <w:rPr>
                <w:snapToGrid w:val="0"/>
                <w:color w:val="auto"/>
                <w:kern w:val="21"/>
                <w:sz w:val="21"/>
                <w:szCs w:val="21"/>
              </w:rPr>
              <w:t>/</w:t>
            </w:r>
          </w:p>
        </w:tc>
        <w:tc>
          <w:tcPr>
            <w:tcW w:w="576" w:type="pct"/>
            <w:vAlign w:val="center"/>
          </w:tcPr>
          <w:p w14:paraId="0FB04888">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snapToGrid w:val="0"/>
                <w:color w:val="auto"/>
                <w:kern w:val="21"/>
                <w:sz w:val="21"/>
                <w:szCs w:val="21"/>
              </w:rPr>
            </w:pPr>
            <w:r>
              <w:rPr>
                <w:snapToGrid w:val="0"/>
                <w:color w:val="auto"/>
                <w:kern w:val="21"/>
                <w:sz w:val="21"/>
                <w:szCs w:val="21"/>
              </w:rPr>
              <w:t>/</w:t>
            </w:r>
          </w:p>
        </w:tc>
        <w:tc>
          <w:tcPr>
            <w:tcW w:w="547" w:type="pct"/>
            <w:vAlign w:val="center"/>
          </w:tcPr>
          <w:p w14:paraId="1F036911">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0.2</w:t>
            </w:r>
            <w:r>
              <w:rPr>
                <w:rFonts w:cs="Times New Roman"/>
                <w:snapToGrid w:val="0"/>
                <w:color w:val="auto"/>
                <w:kern w:val="21"/>
              </w:rPr>
              <w:t>t/a</w:t>
            </w:r>
          </w:p>
        </w:tc>
        <w:tc>
          <w:tcPr>
            <w:tcW w:w="603" w:type="pct"/>
            <w:vAlign w:val="center"/>
          </w:tcPr>
          <w:p w14:paraId="5C3DBD2C">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676" w:type="pct"/>
            <w:vAlign w:val="center"/>
          </w:tcPr>
          <w:p w14:paraId="049E7158">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0.2</w:t>
            </w:r>
            <w:r>
              <w:rPr>
                <w:rFonts w:cs="Times New Roman"/>
                <w:snapToGrid w:val="0"/>
                <w:color w:val="auto"/>
                <w:kern w:val="21"/>
              </w:rPr>
              <w:t>t/a</w:t>
            </w:r>
          </w:p>
        </w:tc>
        <w:tc>
          <w:tcPr>
            <w:tcW w:w="597" w:type="pct"/>
            <w:vAlign w:val="center"/>
          </w:tcPr>
          <w:p w14:paraId="5ABFD3DA">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+0.2</w:t>
            </w:r>
            <w:r>
              <w:rPr>
                <w:rFonts w:cs="Times New Roman"/>
                <w:snapToGrid w:val="0"/>
                <w:color w:val="auto"/>
                <w:kern w:val="21"/>
              </w:rPr>
              <w:t>t/a</w:t>
            </w:r>
          </w:p>
        </w:tc>
      </w:tr>
      <w:tr w14:paraId="43457D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473" w:type="pct"/>
            <w:vMerge w:val="continue"/>
            <w:vAlign w:val="center"/>
          </w:tcPr>
          <w:p w14:paraId="5B6DD324">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p>
        </w:tc>
        <w:tc>
          <w:tcPr>
            <w:tcW w:w="655" w:type="pct"/>
            <w:vAlign w:val="center"/>
          </w:tcPr>
          <w:p w14:paraId="0061F9D2">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cs="Times New Roman"/>
                <w:color w:val="auto"/>
              </w:rPr>
              <w:t>废铅酸蓄电池</w:t>
            </w:r>
          </w:p>
        </w:tc>
        <w:tc>
          <w:tcPr>
            <w:tcW w:w="444" w:type="pct"/>
            <w:vAlign w:val="center"/>
          </w:tcPr>
          <w:p w14:paraId="008E892B">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38BE59A9">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26E7CA98">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47" w:type="pct"/>
            <w:vAlign w:val="center"/>
          </w:tcPr>
          <w:p w14:paraId="08F6900B">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1.5</w:t>
            </w:r>
            <w:r>
              <w:rPr>
                <w:rFonts w:cs="Times New Roman"/>
                <w:snapToGrid w:val="0"/>
                <w:color w:val="auto"/>
                <w:kern w:val="21"/>
              </w:rPr>
              <w:t>t/a</w:t>
            </w:r>
          </w:p>
        </w:tc>
        <w:tc>
          <w:tcPr>
            <w:tcW w:w="603" w:type="pct"/>
            <w:vAlign w:val="center"/>
          </w:tcPr>
          <w:p w14:paraId="32F38F5D">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676" w:type="pct"/>
            <w:vAlign w:val="center"/>
          </w:tcPr>
          <w:p w14:paraId="08AEA527">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1.5</w:t>
            </w:r>
            <w:r>
              <w:rPr>
                <w:rFonts w:cs="Times New Roman"/>
                <w:snapToGrid w:val="0"/>
                <w:color w:val="auto"/>
                <w:kern w:val="21"/>
              </w:rPr>
              <w:t>t/a</w:t>
            </w:r>
          </w:p>
        </w:tc>
        <w:tc>
          <w:tcPr>
            <w:tcW w:w="597" w:type="pct"/>
            <w:vAlign w:val="center"/>
          </w:tcPr>
          <w:p w14:paraId="0A25B753">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+1.5</w:t>
            </w:r>
            <w:r>
              <w:rPr>
                <w:rFonts w:cs="Times New Roman"/>
                <w:snapToGrid w:val="0"/>
                <w:color w:val="auto"/>
                <w:kern w:val="21"/>
              </w:rPr>
              <w:t>t/a</w:t>
            </w:r>
          </w:p>
        </w:tc>
      </w:tr>
      <w:tr w14:paraId="734A08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473" w:type="pct"/>
            <w:vMerge w:val="continue"/>
            <w:vAlign w:val="center"/>
          </w:tcPr>
          <w:p w14:paraId="5F715E71">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p>
        </w:tc>
        <w:tc>
          <w:tcPr>
            <w:tcW w:w="655" w:type="pct"/>
            <w:vAlign w:val="center"/>
          </w:tcPr>
          <w:p w14:paraId="5400FC7D">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cs="Times New Roman"/>
                <w:color w:val="auto"/>
              </w:rPr>
              <w:t>废机滤</w:t>
            </w:r>
          </w:p>
        </w:tc>
        <w:tc>
          <w:tcPr>
            <w:tcW w:w="444" w:type="pct"/>
            <w:vAlign w:val="center"/>
          </w:tcPr>
          <w:p w14:paraId="077B92A1">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7F06639D">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205C68AF">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47" w:type="pct"/>
            <w:vAlign w:val="center"/>
          </w:tcPr>
          <w:p w14:paraId="56A58B67">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0.5</w:t>
            </w:r>
            <w:r>
              <w:rPr>
                <w:rFonts w:cs="Times New Roman"/>
                <w:snapToGrid w:val="0"/>
                <w:color w:val="auto"/>
                <w:kern w:val="21"/>
              </w:rPr>
              <w:t>t/a</w:t>
            </w:r>
          </w:p>
        </w:tc>
        <w:tc>
          <w:tcPr>
            <w:tcW w:w="603" w:type="pct"/>
            <w:vAlign w:val="center"/>
          </w:tcPr>
          <w:p w14:paraId="3C977237">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676" w:type="pct"/>
            <w:vAlign w:val="center"/>
          </w:tcPr>
          <w:p w14:paraId="14113253">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0.5</w:t>
            </w:r>
            <w:r>
              <w:rPr>
                <w:rFonts w:cs="Times New Roman"/>
                <w:snapToGrid w:val="0"/>
                <w:color w:val="auto"/>
                <w:kern w:val="21"/>
              </w:rPr>
              <w:t>t/a</w:t>
            </w:r>
          </w:p>
        </w:tc>
        <w:tc>
          <w:tcPr>
            <w:tcW w:w="597" w:type="pct"/>
            <w:vAlign w:val="center"/>
          </w:tcPr>
          <w:p w14:paraId="5D75E5EE">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+0.5</w:t>
            </w:r>
            <w:r>
              <w:rPr>
                <w:rFonts w:cs="Times New Roman"/>
                <w:snapToGrid w:val="0"/>
                <w:color w:val="auto"/>
                <w:kern w:val="21"/>
              </w:rPr>
              <w:t>t/a</w:t>
            </w:r>
          </w:p>
        </w:tc>
      </w:tr>
      <w:tr w14:paraId="2B3FE0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473" w:type="pct"/>
            <w:vMerge w:val="continue"/>
            <w:vAlign w:val="center"/>
          </w:tcPr>
          <w:p w14:paraId="2CC5BA6B">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p>
        </w:tc>
        <w:tc>
          <w:tcPr>
            <w:tcW w:w="655" w:type="pct"/>
            <w:vAlign w:val="center"/>
          </w:tcPr>
          <w:p w14:paraId="53AA5940">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cs="Times New Roman"/>
                <w:color w:val="auto"/>
              </w:rPr>
              <w:t>废油</w:t>
            </w:r>
          </w:p>
        </w:tc>
        <w:tc>
          <w:tcPr>
            <w:tcW w:w="444" w:type="pct"/>
            <w:vAlign w:val="center"/>
          </w:tcPr>
          <w:p w14:paraId="4CE39FC0">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731D0C07">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404F8B71">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47" w:type="pct"/>
            <w:vAlign w:val="center"/>
          </w:tcPr>
          <w:p w14:paraId="525CC374">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cs="Times New Roman"/>
                <w:color w:val="auto"/>
              </w:rPr>
              <w:t>0.</w:t>
            </w:r>
            <w:r>
              <w:rPr>
                <w:rFonts w:hint="eastAsia" w:cs="Times New Roman"/>
                <w:color w:val="auto"/>
                <w:lang w:val="en-US" w:eastAsia="zh-CN"/>
              </w:rPr>
              <w:t>73</w:t>
            </w:r>
            <w:r>
              <w:rPr>
                <w:rFonts w:cs="Times New Roman"/>
                <w:snapToGrid w:val="0"/>
                <w:color w:val="auto"/>
                <w:kern w:val="21"/>
              </w:rPr>
              <w:t>t/a</w:t>
            </w:r>
          </w:p>
        </w:tc>
        <w:tc>
          <w:tcPr>
            <w:tcW w:w="603" w:type="pct"/>
            <w:vAlign w:val="center"/>
          </w:tcPr>
          <w:p w14:paraId="05E2131C">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676" w:type="pct"/>
            <w:vAlign w:val="center"/>
          </w:tcPr>
          <w:p w14:paraId="222EF4AF">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cs="Times New Roman"/>
                <w:color w:val="auto"/>
              </w:rPr>
              <w:t>0.</w:t>
            </w:r>
            <w:r>
              <w:rPr>
                <w:rFonts w:hint="eastAsia" w:cs="Times New Roman"/>
                <w:color w:val="auto"/>
                <w:lang w:val="en-US" w:eastAsia="zh-CN"/>
              </w:rPr>
              <w:t>73</w:t>
            </w:r>
            <w:r>
              <w:rPr>
                <w:rFonts w:cs="Times New Roman"/>
                <w:snapToGrid w:val="0"/>
                <w:color w:val="auto"/>
                <w:kern w:val="21"/>
              </w:rPr>
              <w:t>t/a</w:t>
            </w:r>
          </w:p>
        </w:tc>
        <w:tc>
          <w:tcPr>
            <w:tcW w:w="597" w:type="pct"/>
            <w:vAlign w:val="center"/>
          </w:tcPr>
          <w:p w14:paraId="3C92FA61">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w:t>
            </w:r>
            <w:r>
              <w:rPr>
                <w:rFonts w:cs="Times New Roman"/>
                <w:color w:val="auto"/>
              </w:rPr>
              <w:t>0.</w:t>
            </w:r>
            <w:r>
              <w:rPr>
                <w:rFonts w:hint="eastAsia" w:cs="Times New Roman"/>
                <w:color w:val="auto"/>
                <w:lang w:val="en-US" w:eastAsia="zh-CN"/>
              </w:rPr>
              <w:t>73</w:t>
            </w:r>
            <w:r>
              <w:rPr>
                <w:rFonts w:cs="Times New Roman"/>
                <w:snapToGrid w:val="0"/>
                <w:color w:val="auto"/>
                <w:kern w:val="21"/>
              </w:rPr>
              <w:t>t/a</w:t>
            </w:r>
          </w:p>
        </w:tc>
      </w:tr>
      <w:tr w14:paraId="08D248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473" w:type="pct"/>
            <w:vMerge w:val="continue"/>
            <w:vAlign w:val="center"/>
          </w:tcPr>
          <w:p w14:paraId="5940E401">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p>
        </w:tc>
        <w:tc>
          <w:tcPr>
            <w:tcW w:w="655" w:type="pct"/>
            <w:vAlign w:val="center"/>
          </w:tcPr>
          <w:p w14:paraId="168A05C7">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cs="Times New Roman"/>
                <w:color w:val="auto"/>
              </w:rPr>
              <w:t>污泥</w:t>
            </w:r>
          </w:p>
        </w:tc>
        <w:tc>
          <w:tcPr>
            <w:tcW w:w="444" w:type="pct"/>
            <w:vAlign w:val="center"/>
          </w:tcPr>
          <w:p w14:paraId="208D7ED9">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12B616A3">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770C5921">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47" w:type="pct"/>
            <w:vAlign w:val="center"/>
          </w:tcPr>
          <w:p w14:paraId="53C5A4DE">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hint="eastAsia" w:cs="Times New Roman"/>
                <w:color w:val="auto"/>
                <w:lang w:val="en-US" w:eastAsia="zh-CN"/>
              </w:rPr>
              <w:t>4</w:t>
            </w:r>
            <w:r>
              <w:rPr>
                <w:rFonts w:cs="Times New Roman"/>
                <w:color w:val="auto"/>
              </w:rPr>
              <w:t>.0</w:t>
            </w:r>
            <w:r>
              <w:rPr>
                <w:rFonts w:cs="Times New Roman"/>
                <w:snapToGrid w:val="0"/>
                <w:color w:val="auto"/>
                <w:kern w:val="21"/>
              </w:rPr>
              <w:t>t/a</w:t>
            </w:r>
          </w:p>
        </w:tc>
        <w:tc>
          <w:tcPr>
            <w:tcW w:w="603" w:type="pct"/>
            <w:vAlign w:val="center"/>
          </w:tcPr>
          <w:p w14:paraId="66D3CBE7">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676" w:type="pct"/>
            <w:vAlign w:val="center"/>
          </w:tcPr>
          <w:p w14:paraId="381C81E2">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hint="eastAsia" w:cs="Times New Roman"/>
                <w:color w:val="auto"/>
                <w:lang w:val="en-US" w:eastAsia="zh-CN"/>
              </w:rPr>
              <w:t>4</w:t>
            </w:r>
            <w:r>
              <w:rPr>
                <w:rFonts w:cs="Times New Roman"/>
                <w:color w:val="auto"/>
              </w:rPr>
              <w:t>.0</w:t>
            </w:r>
            <w:r>
              <w:rPr>
                <w:rFonts w:cs="Times New Roman"/>
                <w:snapToGrid w:val="0"/>
                <w:color w:val="auto"/>
                <w:kern w:val="21"/>
              </w:rPr>
              <w:t>t/a</w:t>
            </w:r>
          </w:p>
        </w:tc>
        <w:tc>
          <w:tcPr>
            <w:tcW w:w="597" w:type="pct"/>
            <w:vAlign w:val="center"/>
          </w:tcPr>
          <w:p w14:paraId="0D1CE4CF">
            <w:pPr>
              <w:pStyle w:val="96"/>
              <w:keepNext w:val="0"/>
              <w:keepLines w:val="0"/>
              <w:pageBreakBefore w:val="0"/>
              <w:widowControl w:val="0"/>
              <w:kinsoku/>
              <w:wordWrap/>
              <w:overflowPunct/>
              <w:topLinePunct w:val="0"/>
              <w:autoSpaceDE/>
              <w:autoSpaceDN/>
              <w:bidi w:val="0"/>
              <w:spacing w:line="340" w:lineRule="exact"/>
              <w:textAlignment w:val="auto"/>
              <w:rPr>
                <w:rFonts w:cs="Times New Roman"/>
                <w:snapToGrid w:val="0"/>
                <w:color w:val="auto"/>
                <w:kern w:val="21"/>
              </w:rPr>
            </w:pPr>
            <w:r>
              <w:rPr>
                <w:rFonts w:hint="eastAsia" w:cs="Times New Roman"/>
                <w:color w:val="auto"/>
                <w:lang w:val="en-US" w:eastAsia="zh-CN"/>
              </w:rPr>
              <w:t>+4</w:t>
            </w:r>
            <w:r>
              <w:rPr>
                <w:rFonts w:cs="Times New Roman"/>
                <w:color w:val="auto"/>
              </w:rPr>
              <w:t>.0</w:t>
            </w:r>
            <w:r>
              <w:rPr>
                <w:rFonts w:cs="Times New Roman"/>
                <w:snapToGrid w:val="0"/>
                <w:color w:val="auto"/>
                <w:kern w:val="21"/>
              </w:rPr>
              <w:t>t/a</w:t>
            </w:r>
          </w:p>
        </w:tc>
      </w:tr>
      <w:tr w14:paraId="2BADB9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473" w:type="pct"/>
            <w:vMerge w:val="continue"/>
            <w:vAlign w:val="center"/>
          </w:tcPr>
          <w:p w14:paraId="463BB038">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cs="Times New Roman"/>
                <w:snapToGrid w:val="0"/>
                <w:color w:val="auto"/>
                <w:kern w:val="21"/>
                <w:sz w:val="21"/>
                <w:szCs w:val="21"/>
              </w:rPr>
            </w:pPr>
          </w:p>
        </w:tc>
        <w:tc>
          <w:tcPr>
            <w:tcW w:w="655" w:type="pct"/>
            <w:vAlign w:val="center"/>
          </w:tcPr>
          <w:p w14:paraId="3EE259A4">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cs="Times New Roman"/>
                <w:color w:val="auto"/>
              </w:rPr>
              <w:t>沾染油污的废零部件</w:t>
            </w:r>
          </w:p>
        </w:tc>
        <w:tc>
          <w:tcPr>
            <w:tcW w:w="444" w:type="pct"/>
            <w:vAlign w:val="center"/>
          </w:tcPr>
          <w:p w14:paraId="611427C2">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423" w:type="pct"/>
            <w:vAlign w:val="center"/>
          </w:tcPr>
          <w:p w14:paraId="06F096AB">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76" w:type="pct"/>
            <w:vAlign w:val="center"/>
          </w:tcPr>
          <w:p w14:paraId="55263149">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547" w:type="pct"/>
            <w:vAlign w:val="center"/>
          </w:tcPr>
          <w:p w14:paraId="512227B1">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hint="eastAsia" w:cs="Times New Roman"/>
                <w:color w:val="auto"/>
                <w:lang w:val="en-US" w:eastAsia="zh-CN"/>
              </w:rPr>
              <w:t>0.</w:t>
            </w:r>
            <w:r>
              <w:rPr>
                <w:rFonts w:cs="Times New Roman"/>
                <w:color w:val="auto"/>
              </w:rPr>
              <w:t>4</w:t>
            </w:r>
            <w:r>
              <w:rPr>
                <w:rFonts w:cs="Times New Roman"/>
                <w:snapToGrid w:val="0"/>
                <w:color w:val="auto"/>
                <w:kern w:val="21"/>
              </w:rPr>
              <w:t>t/a</w:t>
            </w:r>
          </w:p>
        </w:tc>
        <w:tc>
          <w:tcPr>
            <w:tcW w:w="603" w:type="pct"/>
            <w:vAlign w:val="center"/>
          </w:tcPr>
          <w:p w14:paraId="2678D08B">
            <w:pPr>
              <w:pStyle w:val="52"/>
              <w:keepNext w:val="0"/>
              <w:keepLines w:val="0"/>
              <w:pageBreakBefore w:val="0"/>
              <w:widowControl w:val="0"/>
              <w:kinsoku/>
              <w:wordWrap/>
              <w:overflowPunct/>
              <w:topLinePunct w:val="0"/>
              <w:autoSpaceDE/>
              <w:autoSpaceDN/>
              <w:bidi w:val="0"/>
              <w:spacing w:beforeLines="0" w:afterLines="0" w:line="340" w:lineRule="exact"/>
              <w:textAlignment w:val="auto"/>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w:t>
            </w:r>
          </w:p>
        </w:tc>
        <w:tc>
          <w:tcPr>
            <w:tcW w:w="676" w:type="pct"/>
            <w:vAlign w:val="center"/>
          </w:tcPr>
          <w:p w14:paraId="1182CFBB">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hint="eastAsia" w:cs="Times New Roman"/>
                <w:color w:val="auto"/>
                <w:lang w:val="en-US" w:eastAsia="zh-CN"/>
              </w:rPr>
              <w:t>0.</w:t>
            </w:r>
            <w:r>
              <w:rPr>
                <w:rFonts w:cs="Times New Roman"/>
                <w:color w:val="auto"/>
              </w:rPr>
              <w:t>4</w:t>
            </w:r>
            <w:r>
              <w:rPr>
                <w:rFonts w:cs="Times New Roman"/>
                <w:snapToGrid w:val="0"/>
                <w:color w:val="auto"/>
                <w:kern w:val="21"/>
              </w:rPr>
              <w:t>t/a</w:t>
            </w:r>
          </w:p>
        </w:tc>
        <w:tc>
          <w:tcPr>
            <w:tcW w:w="597" w:type="pct"/>
            <w:vAlign w:val="center"/>
          </w:tcPr>
          <w:p w14:paraId="3C573238">
            <w:pPr>
              <w:pStyle w:val="96"/>
              <w:keepNext w:val="0"/>
              <w:keepLines w:val="0"/>
              <w:pageBreakBefore w:val="0"/>
              <w:widowControl w:val="0"/>
              <w:kinsoku/>
              <w:wordWrap/>
              <w:overflowPunct/>
              <w:topLinePunct w:val="0"/>
              <w:autoSpaceDE/>
              <w:autoSpaceDN/>
              <w:bidi w:val="0"/>
              <w:spacing w:line="340" w:lineRule="exact"/>
              <w:textAlignment w:val="auto"/>
              <w:rPr>
                <w:rFonts w:cs="Times New Roman"/>
                <w:color w:val="auto"/>
              </w:rPr>
            </w:pPr>
            <w:r>
              <w:rPr>
                <w:rFonts w:hint="eastAsia" w:cs="Times New Roman"/>
                <w:color w:val="auto"/>
                <w:lang w:val="en-US" w:eastAsia="zh-CN"/>
              </w:rPr>
              <w:t>+0.</w:t>
            </w:r>
            <w:r>
              <w:rPr>
                <w:rFonts w:cs="Times New Roman"/>
                <w:color w:val="auto"/>
              </w:rPr>
              <w:t>4</w:t>
            </w:r>
            <w:r>
              <w:rPr>
                <w:rFonts w:cs="Times New Roman"/>
                <w:snapToGrid w:val="0"/>
                <w:color w:val="auto"/>
                <w:kern w:val="21"/>
              </w:rPr>
              <w:t>t/a</w:t>
            </w:r>
          </w:p>
        </w:tc>
      </w:tr>
    </w:tbl>
    <w:p w14:paraId="277C35F3">
      <w:pPr>
        <w:pStyle w:val="52"/>
        <w:spacing w:beforeLines="0" w:afterLines="0" w:line="240" w:lineRule="auto"/>
        <w:jc w:val="left"/>
        <w:rPr>
          <w:rFonts w:ascii="仿宋_GB2312" w:eastAsia="仿宋_GB2312"/>
          <w:color w:val="auto"/>
          <w:sz w:val="28"/>
        </w:rPr>
        <w:sectPr>
          <w:footerReference r:id="rId10" w:type="default"/>
          <w:pgSz w:w="16838" w:h="11906" w:orient="landscape"/>
          <w:pgMar w:top="1417" w:right="1417" w:bottom="1417" w:left="1417" w:header="851" w:footer="851" w:gutter="0"/>
          <w:pgBorders>
            <w:top w:val="none" w:sz="0" w:space="0"/>
            <w:left w:val="none" w:sz="0" w:space="0"/>
            <w:bottom w:val="none" w:sz="0" w:space="0"/>
            <w:right w:val="none" w:sz="0" w:space="0"/>
          </w:pgBorders>
          <w:cols w:space="0" w:num="1"/>
          <w:docGrid w:linePitch="312" w:charSpace="0"/>
        </w:sectPr>
      </w:pPr>
      <w:r>
        <w:rPr>
          <w:rFonts w:ascii="Times New Roman"/>
          <w:snapToGrid w:val="0"/>
          <w:color w:val="auto"/>
          <w:kern w:val="21"/>
          <w:szCs w:val="24"/>
        </w:rPr>
        <w:t>注：</w:t>
      </w:r>
      <w:r>
        <w:rPr>
          <w:rFonts w:ascii="Times New Roman"/>
          <w:snapToGrid w:val="0"/>
          <w:color w:val="auto"/>
          <w:spacing w:val="-16"/>
          <w:kern w:val="21"/>
          <w:szCs w:val="24"/>
        </w:rPr>
        <w:fldChar w:fldCharType="begin"/>
      </w:r>
      <w:r>
        <w:rPr>
          <w:rFonts w:ascii="Times New Roman"/>
          <w:snapToGrid w:val="0"/>
          <w:color w:val="auto"/>
          <w:spacing w:val="-16"/>
          <w:kern w:val="21"/>
          <w:szCs w:val="24"/>
        </w:rPr>
        <w:instrText xml:space="preserve"> = 6 \* GB3 \* MERGEFORMAT </w:instrText>
      </w:r>
      <w:r>
        <w:rPr>
          <w:rFonts w:ascii="Times New Roman"/>
          <w:snapToGrid w:val="0"/>
          <w:color w:val="auto"/>
          <w:spacing w:val="-16"/>
          <w:kern w:val="21"/>
          <w:szCs w:val="24"/>
        </w:rPr>
        <w:fldChar w:fldCharType="separate"/>
      </w:r>
      <w:r>
        <w:rPr>
          <w:rFonts w:ascii="Times New Roman"/>
          <w:color w:val="auto"/>
          <w:szCs w:val="24"/>
        </w:rPr>
        <w:t>⑥</w:t>
      </w:r>
      <w:r>
        <w:rPr>
          <w:rFonts w:ascii="Times New Roman"/>
          <w:snapToGrid w:val="0"/>
          <w:color w:val="auto"/>
          <w:spacing w:val="-16"/>
          <w:kern w:val="21"/>
          <w:szCs w:val="24"/>
        </w:rPr>
        <w:fldChar w:fldCharType="end"/>
      </w:r>
      <w:r>
        <w:rPr>
          <w:rFonts w:ascii="Times New Roman"/>
          <w:snapToGrid w:val="0"/>
          <w:color w:val="auto"/>
          <w:spacing w:val="-16"/>
          <w:kern w:val="21"/>
          <w:szCs w:val="24"/>
        </w:rPr>
        <w:t>=</w:t>
      </w:r>
      <w:r>
        <w:rPr>
          <w:rFonts w:ascii="Times New Roman"/>
          <w:snapToGrid w:val="0"/>
          <w:color w:val="auto"/>
          <w:spacing w:val="-6"/>
          <w:kern w:val="21"/>
          <w:szCs w:val="24"/>
        </w:rPr>
        <w:fldChar w:fldCharType="begin"/>
      </w:r>
      <w:r>
        <w:rPr>
          <w:rFonts w:ascii="Times New Roman"/>
          <w:snapToGrid w:val="0"/>
          <w:color w:val="auto"/>
          <w:spacing w:val="-6"/>
          <w:kern w:val="21"/>
          <w:szCs w:val="24"/>
        </w:rPr>
        <w:instrText xml:space="preserve"> = 1 \* GB3 \* MERGEFORMAT </w:instrText>
      </w:r>
      <w:r>
        <w:rPr>
          <w:rFonts w:ascii="Times New Roman"/>
          <w:snapToGrid w:val="0"/>
          <w:color w:val="auto"/>
          <w:spacing w:val="-6"/>
          <w:kern w:val="21"/>
          <w:szCs w:val="24"/>
        </w:rPr>
        <w:fldChar w:fldCharType="separate"/>
      </w:r>
      <w:r>
        <w:rPr>
          <w:rFonts w:ascii="Times New Roman"/>
          <w:color w:val="auto"/>
          <w:szCs w:val="24"/>
        </w:rPr>
        <w:t>①</w:t>
      </w:r>
      <w:r>
        <w:rPr>
          <w:rFonts w:ascii="Times New Roman"/>
          <w:snapToGrid w:val="0"/>
          <w:color w:val="auto"/>
          <w:spacing w:val="-6"/>
          <w:kern w:val="21"/>
          <w:szCs w:val="24"/>
        </w:rPr>
        <w:fldChar w:fldCharType="end"/>
      </w:r>
      <w:r>
        <w:rPr>
          <w:rFonts w:ascii="Times New Roman"/>
          <w:snapToGrid w:val="0"/>
          <w:color w:val="auto"/>
          <w:spacing w:val="-6"/>
          <w:kern w:val="21"/>
          <w:szCs w:val="24"/>
        </w:rPr>
        <w:t>+</w:t>
      </w:r>
      <w:r>
        <w:rPr>
          <w:rFonts w:ascii="Times New Roman"/>
          <w:snapToGrid w:val="0"/>
          <w:color w:val="auto"/>
          <w:spacing w:val="-6"/>
          <w:kern w:val="21"/>
          <w:szCs w:val="24"/>
        </w:rPr>
        <w:fldChar w:fldCharType="begin"/>
      </w:r>
      <w:r>
        <w:rPr>
          <w:rFonts w:ascii="Times New Roman"/>
          <w:snapToGrid w:val="0"/>
          <w:color w:val="auto"/>
          <w:spacing w:val="-6"/>
          <w:kern w:val="21"/>
          <w:szCs w:val="24"/>
        </w:rPr>
        <w:instrText xml:space="preserve"> = 3 \* GB3 \* MERGEFORMAT </w:instrText>
      </w:r>
      <w:r>
        <w:rPr>
          <w:rFonts w:ascii="Times New Roman"/>
          <w:snapToGrid w:val="0"/>
          <w:color w:val="auto"/>
          <w:spacing w:val="-6"/>
          <w:kern w:val="21"/>
          <w:szCs w:val="24"/>
        </w:rPr>
        <w:fldChar w:fldCharType="separate"/>
      </w:r>
      <w:r>
        <w:rPr>
          <w:rFonts w:ascii="Times New Roman"/>
          <w:color w:val="auto"/>
          <w:szCs w:val="24"/>
        </w:rPr>
        <w:t>③</w:t>
      </w:r>
      <w:r>
        <w:rPr>
          <w:rFonts w:ascii="Times New Roman"/>
          <w:snapToGrid w:val="0"/>
          <w:color w:val="auto"/>
          <w:spacing w:val="-6"/>
          <w:kern w:val="21"/>
          <w:szCs w:val="24"/>
        </w:rPr>
        <w:fldChar w:fldCharType="end"/>
      </w:r>
      <w:r>
        <w:rPr>
          <w:rFonts w:ascii="Times New Roman"/>
          <w:snapToGrid w:val="0"/>
          <w:color w:val="auto"/>
          <w:spacing w:val="-6"/>
          <w:kern w:val="21"/>
          <w:szCs w:val="24"/>
        </w:rPr>
        <w:t>+</w:t>
      </w:r>
      <w:r>
        <w:rPr>
          <w:rFonts w:ascii="Times New Roman"/>
          <w:snapToGrid w:val="0"/>
          <w:color w:val="auto"/>
          <w:spacing w:val="-6"/>
          <w:kern w:val="21"/>
          <w:szCs w:val="24"/>
        </w:rPr>
        <w:fldChar w:fldCharType="begin"/>
      </w:r>
      <w:r>
        <w:rPr>
          <w:rFonts w:ascii="Times New Roman"/>
          <w:snapToGrid w:val="0"/>
          <w:color w:val="auto"/>
          <w:spacing w:val="-6"/>
          <w:kern w:val="21"/>
          <w:szCs w:val="24"/>
        </w:rPr>
        <w:instrText xml:space="preserve"> = 4 \* GB3 \* MERGEFORMAT </w:instrText>
      </w:r>
      <w:r>
        <w:rPr>
          <w:rFonts w:ascii="Times New Roman"/>
          <w:snapToGrid w:val="0"/>
          <w:color w:val="auto"/>
          <w:spacing w:val="-6"/>
          <w:kern w:val="21"/>
          <w:szCs w:val="24"/>
        </w:rPr>
        <w:fldChar w:fldCharType="separate"/>
      </w:r>
      <w:r>
        <w:rPr>
          <w:rFonts w:ascii="Times New Roman"/>
          <w:color w:val="auto"/>
          <w:szCs w:val="24"/>
        </w:rPr>
        <w:t>④</w:t>
      </w:r>
      <w:r>
        <w:rPr>
          <w:rFonts w:ascii="Times New Roman"/>
          <w:snapToGrid w:val="0"/>
          <w:color w:val="auto"/>
          <w:spacing w:val="-6"/>
          <w:kern w:val="21"/>
          <w:szCs w:val="24"/>
        </w:rPr>
        <w:fldChar w:fldCharType="end"/>
      </w:r>
      <w:r>
        <w:rPr>
          <w:rFonts w:ascii="Times New Roman"/>
          <w:snapToGrid w:val="0"/>
          <w:color w:val="auto"/>
          <w:spacing w:val="-6"/>
          <w:kern w:val="21"/>
          <w:szCs w:val="24"/>
        </w:rPr>
        <w:t>-</w:t>
      </w:r>
      <w:r>
        <w:rPr>
          <w:rFonts w:ascii="Times New Roman"/>
          <w:snapToGrid w:val="0"/>
          <w:color w:val="auto"/>
          <w:spacing w:val="-16"/>
          <w:kern w:val="21"/>
          <w:szCs w:val="24"/>
        </w:rPr>
        <w:fldChar w:fldCharType="begin"/>
      </w:r>
      <w:r>
        <w:rPr>
          <w:rFonts w:ascii="Times New Roman"/>
          <w:snapToGrid w:val="0"/>
          <w:color w:val="auto"/>
          <w:spacing w:val="-16"/>
          <w:kern w:val="21"/>
          <w:szCs w:val="24"/>
        </w:rPr>
        <w:instrText xml:space="preserve"> = 5 \* GB3 \* MERGEFORMAT </w:instrText>
      </w:r>
      <w:r>
        <w:rPr>
          <w:rFonts w:ascii="Times New Roman"/>
          <w:snapToGrid w:val="0"/>
          <w:color w:val="auto"/>
          <w:spacing w:val="-16"/>
          <w:kern w:val="21"/>
          <w:szCs w:val="24"/>
        </w:rPr>
        <w:fldChar w:fldCharType="separate"/>
      </w:r>
      <w:r>
        <w:rPr>
          <w:rFonts w:ascii="Times New Roman"/>
          <w:color w:val="auto"/>
          <w:szCs w:val="24"/>
        </w:rPr>
        <w:t>⑤</w:t>
      </w:r>
      <w:r>
        <w:rPr>
          <w:rFonts w:ascii="Times New Roman"/>
          <w:snapToGrid w:val="0"/>
          <w:color w:val="auto"/>
          <w:spacing w:val="-16"/>
          <w:kern w:val="21"/>
          <w:szCs w:val="24"/>
        </w:rPr>
        <w:fldChar w:fldCharType="end"/>
      </w:r>
      <w:r>
        <w:rPr>
          <w:rFonts w:ascii="Times New Roman"/>
          <w:snapToGrid w:val="0"/>
          <w:color w:val="auto"/>
          <w:spacing w:val="-16"/>
          <w:kern w:val="21"/>
          <w:szCs w:val="24"/>
        </w:rPr>
        <w:t>；</w:t>
      </w:r>
      <w:r>
        <w:rPr>
          <w:rFonts w:ascii="Times New Roman"/>
          <w:snapToGrid w:val="0"/>
          <w:color w:val="auto"/>
          <w:spacing w:val="-6"/>
          <w:kern w:val="21"/>
          <w:szCs w:val="24"/>
        </w:rPr>
        <w:fldChar w:fldCharType="begin"/>
      </w:r>
      <w:r>
        <w:rPr>
          <w:rFonts w:ascii="Times New Roman"/>
          <w:snapToGrid w:val="0"/>
          <w:color w:val="auto"/>
          <w:spacing w:val="-6"/>
          <w:kern w:val="21"/>
          <w:szCs w:val="24"/>
        </w:rPr>
        <w:instrText xml:space="preserve"> = 7 \* GB3 \* MERGEFORMAT </w:instrText>
      </w:r>
      <w:r>
        <w:rPr>
          <w:rFonts w:ascii="Times New Roman"/>
          <w:snapToGrid w:val="0"/>
          <w:color w:val="auto"/>
          <w:spacing w:val="-6"/>
          <w:kern w:val="21"/>
          <w:szCs w:val="24"/>
        </w:rPr>
        <w:fldChar w:fldCharType="separate"/>
      </w:r>
      <w:r>
        <w:rPr>
          <w:rFonts w:ascii="Times New Roman"/>
          <w:color w:val="auto"/>
          <w:szCs w:val="24"/>
        </w:rPr>
        <w:t>⑦</w:t>
      </w:r>
      <w:r>
        <w:rPr>
          <w:rFonts w:ascii="Times New Roman"/>
          <w:snapToGrid w:val="0"/>
          <w:color w:val="auto"/>
          <w:spacing w:val="-6"/>
          <w:kern w:val="21"/>
          <w:szCs w:val="24"/>
        </w:rPr>
        <w:fldChar w:fldCharType="end"/>
      </w:r>
      <w:r>
        <w:rPr>
          <w:rFonts w:ascii="Times New Roman"/>
          <w:snapToGrid w:val="0"/>
          <w:color w:val="auto"/>
          <w:spacing w:val="-6"/>
          <w:kern w:val="21"/>
          <w:szCs w:val="24"/>
        </w:rPr>
        <w:t>=</w:t>
      </w:r>
      <w:r>
        <w:rPr>
          <w:rFonts w:ascii="Times New Roman"/>
          <w:snapToGrid w:val="0"/>
          <w:color w:val="auto"/>
          <w:spacing w:val="-16"/>
          <w:kern w:val="21"/>
          <w:szCs w:val="24"/>
        </w:rPr>
        <w:fldChar w:fldCharType="begin"/>
      </w:r>
      <w:r>
        <w:rPr>
          <w:rFonts w:ascii="Times New Roman"/>
          <w:snapToGrid w:val="0"/>
          <w:color w:val="auto"/>
          <w:spacing w:val="-16"/>
          <w:kern w:val="21"/>
          <w:szCs w:val="24"/>
        </w:rPr>
        <w:instrText xml:space="preserve"> = 6 \* GB3 \* MERGEFORMAT </w:instrText>
      </w:r>
      <w:r>
        <w:rPr>
          <w:rFonts w:ascii="Times New Roman"/>
          <w:snapToGrid w:val="0"/>
          <w:color w:val="auto"/>
          <w:spacing w:val="-16"/>
          <w:kern w:val="21"/>
          <w:szCs w:val="24"/>
        </w:rPr>
        <w:fldChar w:fldCharType="separate"/>
      </w:r>
      <w:r>
        <w:rPr>
          <w:rFonts w:ascii="Times New Roman"/>
          <w:color w:val="auto"/>
          <w:szCs w:val="24"/>
        </w:rPr>
        <w:t>⑥</w:t>
      </w:r>
      <w:r>
        <w:rPr>
          <w:rFonts w:ascii="Times New Roman"/>
          <w:snapToGrid w:val="0"/>
          <w:color w:val="auto"/>
          <w:spacing w:val="-16"/>
          <w:kern w:val="21"/>
          <w:szCs w:val="24"/>
        </w:rPr>
        <w:fldChar w:fldCharType="end"/>
      </w:r>
      <w:r>
        <w:rPr>
          <w:rFonts w:ascii="Times New Roman"/>
          <w:snapToGrid w:val="0"/>
          <w:color w:val="auto"/>
          <w:spacing w:val="-16"/>
          <w:kern w:val="21"/>
          <w:szCs w:val="24"/>
        </w:rPr>
        <w:t>-</w:t>
      </w:r>
      <w:r>
        <w:rPr>
          <w:rFonts w:ascii="Times New Roman"/>
          <w:snapToGrid w:val="0"/>
          <w:color w:val="auto"/>
          <w:spacing w:val="-6"/>
          <w:kern w:val="21"/>
          <w:sz w:val="21"/>
          <w:szCs w:val="21"/>
        </w:rPr>
        <w:fldChar w:fldCharType="begin"/>
      </w:r>
      <w:r>
        <w:rPr>
          <w:rFonts w:ascii="Times New Roman"/>
          <w:snapToGrid w:val="0"/>
          <w:color w:val="auto"/>
          <w:spacing w:val="-6"/>
          <w:kern w:val="21"/>
          <w:sz w:val="21"/>
          <w:szCs w:val="21"/>
        </w:rPr>
        <w:instrText xml:space="preserve"> = 1 \* GB3 \* MERGEFORMAT </w:instrText>
      </w:r>
      <w:r>
        <w:rPr>
          <w:rFonts w:ascii="Times New Roman"/>
          <w:snapToGrid w:val="0"/>
          <w:color w:val="auto"/>
          <w:spacing w:val="-6"/>
          <w:kern w:val="21"/>
          <w:sz w:val="21"/>
          <w:szCs w:val="21"/>
        </w:rPr>
        <w:fldChar w:fldCharType="separate"/>
      </w:r>
      <w:r>
        <w:rPr>
          <w:rFonts w:ascii="Times New Roman"/>
          <w:color w:val="auto"/>
          <w:kern w:val="2"/>
          <w:sz w:val="21"/>
          <w:szCs w:val="21"/>
        </w:rPr>
        <w:t>①</w:t>
      </w:r>
      <w:r>
        <w:rPr>
          <w:rFonts w:ascii="Times New Roman"/>
          <w:snapToGrid w:val="0"/>
          <w:color w:val="auto"/>
          <w:spacing w:val="-6"/>
          <w:kern w:val="21"/>
          <w:sz w:val="21"/>
          <w:szCs w:val="21"/>
        </w:rPr>
        <w:fldChar w:fldCharType="end"/>
      </w:r>
      <w:r>
        <w:rPr>
          <w:color w:val="auto"/>
        </w:rPr>
        <mc:AlternateContent>
          <mc:Choice Requires="wps">
            <w:drawing>
              <wp:anchor distT="0" distB="0" distL="114300" distR="114300" simplePos="0" relativeHeight="251663360" behindDoc="0" locked="0" layoutInCell="1" allowOverlap="1">
                <wp:simplePos x="0" y="0"/>
                <wp:positionH relativeFrom="column">
                  <wp:posOffset>6595110</wp:posOffset>
                </wp:positionH>
                <wp:positionV relativeFrom="paragraph">
                  <wp:posOffset>4599940</wp:posOffset>
                </wp:positionV>
                <wp:extent cx="1362075" cy="381000"/>
                <wp:effectExtent l="12700" t="12700" r="15875" b="25400"/>
                <wp:wrapNone/>
                <wp:docPr id="44" name="矩形 44"/>
                <wp:cNvGraphicFramePr/>
                <a:graphic xmlns:a="http://schemas.openxmlformats.org/drawingml/2006/main">
                  <a:graphicData uri="http://schemas.microsoft.com/office/word/2010/wordprocessingShape">
                    <wps:wsp>
                      <wps:cNvSpPr/>
                      <wps:spPr>
                        <a:xfrm>
                          <a:off x="7675245" y="5769610"/>
                          <a:ext cx="1362075" cy="3810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19.3pt;margin-top:362.2pt;height:30pt;width:107.25pt;z-index:251663360;v-text-anchor:middle;mso-width-relative:page;mso-height-relative:page;" fillcolor="#FFFFFF [3212]" filled="t" stroked="t" coordsize="21600,21600" o:gfxdata="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Hxei9bbAAAADQEAAA8AAAAAAAAAAQAgAAAAIgAAAGRycy9kb3du&#10;cmV2LnhtbFBLAQIUABQAAAAIAIdO4kAyRy2VbgIAAOsEAAAOAAAAAAAAAAEAIAAAACoBAABkcnMv&#10;ZTJvRG9jLnhtbFBLBQYAAAAABgAGAFkBAAAKBgAAAAA=&#10;">
                <v:fill on="t" focussize="0,0"/>
                <v:stroke weight="2pt" color="#FFFFFF [3212]" joinstyle="round"/>
                <v:imagedata o:title=""/>
                <o:lock v:ext="edit" aspectratio="f"/>
              </v:rect>
            </w:pict>
          </mc:Fallback>
        </mc:AlternateContent>
      </w:r>
    </w:p>
    <w:p w14:paraId="402FD535">
      <w:pPr>
        <w:pStyle w:val="13"/>
        <w:jc w:val="center"/>
        <w:outlineLvl w:val="0"/>
        <w:rPr>
          <w:color w:val="auto"/>
        </w:rPr>
      </w:pPr>
      <w:r>
        <w:rPr>
          <w:color w:val="auto"/>
        </w:rPr>
        <mc:AlternateContent>
          <mc:Choice Requires="wps">
            <w:drawing>
              <wp:anchor distT="0" distB="0" distL="114300" distR="114300" simplePos="0" relativeHeight="251667456" behindDoc="0" locked="0" layoutInCell="1" allowOverlap="1">
                <wp:simplePos x="0" y="0"/>
                <wp:positionH relativeFrom="column">
                  <wp:posOffset>1917700</wp:posOffset>
                </wp:positionH>
                <wp:positionV relativeFrom="paragraph">
                  <wp:posOffset>572135</wp:posOffset>
                </wp:positionV>
                <wp:extent cx="848995" cy="302895"/>
                <wp:effectExtent l="124460" t="5080" r="17145" b="282575"/>
                <wp:wrapNone/>
                <wp:docPr id="15" name="自选图形 5"/>
                <wp:cNvGraphicFramePr/>
                <a:graphic xmlns:a="http://schemas.openxmlformats.org/drawingml/2006/main">
                  <a:graphicData uri="http://schemas.microsoft.com/office/word/2010/wordprocessingShape">
                    <wps:wsp>
                      <wps:cNvSpPr/>
                      <wps:spPr>
                        <a:xfrm>
                          <a:off x="0" y="0"/>
                          <a:ext cx="848995" cy="302895"/>
                        </a:xfrm>
                        <a:prstGeom prst="wedgeRectCallout">
                          <a:avLst>
                            <a:gd name="adj1" fmla="val -61667"/>
                            <a:gd name="adj2" fmla="val 132809"/>
                          </a:avLst>
                        </a:prstGeom>
                        <a:solidFill>
                          <a:srgbClr val="FFFFFF"/>
                        </a:solidFill>
                        <a:ln w="9525" cap="flat" cmpd="sng">
                          <a:solidFill>
                            <a:srgbClr val="000000"/>
                          </a:solidFill>
                          <a:prstDash val="solid"/>
                          <a:miter/>
                          <a:headEnd type="none" w="med" len="med"/>
                          <a:tailEnd type="none" w="med" len="med"/>
                        </a:ln>
                      </wps:spPr>
                      <wps:txbx>
                        <w:txbxContent>
                          <w:p w14:paraId="0D9E2C9E">
                            <w:pPr>
                              <w:jc w:val="center"/>
                              <w:rPr>
                                <w:b/>
                                <w:bCs/>
                              </w:rPr>
                            </w:pPr>
                            <w:r>
                              <w:rPr>
                                <w:rFonts w:hint="eastAsia"/>
                                <w:b/>
                                <w:bCs/>
                              </w:rPr>
                              <w:t>本项目</w:t>
                            </w:r>
                          </w:p>
                        </w:txbxContent>
                      </wps:txbx>
                      <wps:bodyPr upright="1"/>
                    </wps:wsp>
                  </a:graphicData>
                </a:graphic>
              </wp:anchor>
            </w:drawing>
          </mc:Choice>
          <mc:Fallback>
            <w:pict>
              <v:shape id="自选图形 5" o:spid="_x0000_s1026" o:spt="61" type="#_x0000_t61" style="position:absolute;left:0pt;margin-left:151pt;margin-top:45.05pt;height:23.85pt;width:66.85pt;z-index:251667456;mso-width-relative:page;mso-height-relative:page;" fillcolor="#FFFFFF" filled="t" stroked="t" coordsize="21600,21600" o:gfxdata="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AEaGV2gAAAAoBAAAPAAAAAAAAAAEAIAAAACIAAABkcnMv&#10;ZG93bnJldi54bWxQSwECFAAUAAAACACHTuJAbjAyYjoCAACOBAAADgAAAAAAAAABACAAAAApAQAA&#10;ZHJzL2Uyb0RvYy54bWxQSwUGAAAAAAYABgBZAQAA1QUAAAAA&#10;" adj="-2520,39487">
                <v:fill on="t" focussize="0,0"/>
                <v:stroke color="#000000" joinstyle="miter"/>
                <v:imagedata o:title=""/>
                <o:lock v:ext="edit" aspectratio="f"/>
                <v:textbox>
                  <w:txbxContent>
                    <w:p w14:paraId="0D9E2C9E">
                      <w:pPr>
                        <w:jc w:val="center"/>
                        <w:rPr>
                          <w:b/>
                          <w:bCs/>
                        </w:rPr>
                      </w:pPr>
                      <w:r>
                        <w:rPr>
                          <w:rFonts w:hint="eastAsia"/>
                          <w:b/>
                          <w:bCs/>
                        </w:rPr>
                        <w:t>本项目</w:t>
                      </w:r>
                    </w:p>
                  </w:txbxContent>
                </v:textbox>
              </v:shape>
            </w:pict>
          </mc:Fallback>
        </mc:AlternateContent>
      </w:r>
      <w:r>
        <w:rPr>
          <w:color w:val="auto"/>
        </w:rPr>
        <w:drawing>
          <wp:inline distT="0" distB="0" distL="114300" distR="114300">
            <wp:extent cx="7942580" cy="5617210"/>
            <wp:effectExtent l="0" t="0" r="1270" b="2540"/>
            <wp:docPr id="11" name="图片 2" descr="278-279鄂托克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278-279鄂托克旗"/>
                    <pic:cNvPicPr>
                      <a:picLocks noChangeAspect="1"/>
                    </pic:cNvPicPr>
                  </pic:nvPicPr>
                  <pic:blipFill>
                    <a:blip r:embed="rId23"/>
                    <a:stretch>
                      <a:fillRect/>
                    </a:stretch>
                  </pic:blipFill>
                  <pic:spPr>
                    <a:xfrm>
                      <a:off x="0" y="0"/>
                      <a:ext cx="7942580" cy="5617210"/>
                    </a:xfrm>
                    <a:prstGeom prst="rect">
                      <a:avLst/>
                    </a:prstGeom>
                    <a:noFill/>
                    <a:ln>
                      <a:noFill/>
                    </a:ln>
                  </pic:spPr>
                </pic:pic>
              </a:graphicData>
            </a:graphic>
          </wp:inline>
        </w:drawing>
      </w:r>
    </w:p>
    <w:p w14:paraId="087B345B">
      <w:pPr>
        <w:pStyle w:val="38"/>
        <w:spacing w:line="400" w:lineRule="exact"/>
        <w:ind w:firstLine="5060" w:firstLineChars="2100"/>
        <w:rPr>
          <w:b/>
          <w:bCs/>
          <w:color w:val="auto"/>
        </w:rPr>
        <w:sectPr>
          <w:footerReference r:id="rId11" w:type="default"/>
          <w:pgSz w:w="16838" w:h="11906" w:orient="landscape"/>
          <w:pgMar w:top="1304" w:right="1417" w:bottom="1304" w:left="1417" w:header="851" w:footer="851" w:gutter="0"/>
          <w:pgBorders>
            <w:top w:val="none" w:sz="0" w:space="0"/>
            <w:left w:val="none" w:sz="0" w:space="0"/>
            <w:bottom w:val="none" w:sz="0" w:space="0"/>
            <w:right w:val="none" w:sz="0" w:space="0"/>
          </w:pgBorders>
          <w:cols w:space="0" w:num="1"/>
          <w:docGrid w:linePitch="312" w:charSpace="0"/>
        </w:sectPr>
      </w:pPr>
      <w:r>
        <w:rPr>
          <w:rFonts w:hint="eastAsia"/>
          <w:b/>
          <w:bCs/>
          <w:color w:val="auto"/>
        </w:rPr>
        <w:t>附图1           项目地理位置图</w:t>
      </w:r>
    </w:p>
    <w:p w14:paraId="6A63BABA">
      <w:pPr>
        <w:pStyle w:val="38"/>
        <w:spacing w:line="400" w:lineRule="exact"/>
        <w:ind w:firstLine="0" w:firstLineChars="0"/>
        <w:jc w:val="center"/>
        <w:rPr>
          <w:b/>
          <w:bCs/>
          <w:color w:val="auto"/>
        </w:rPr>
      </w:pPr>
    </w:p>
    <w:p w14:paraId="1B26DF60">
      <w:pPr>
        <w:pStyle w:val="38"/>
        <w:spacing w:line="400" w:lineRule="exact"/>
        <w:ind w:firstLine="0" w:firstLineChars="0"/>
        <w:jc w:val="center"/>
        <w:rPr>
          <w:b/>
          <w:bCs/>
          <w:color w:val="auto"/>
        </w:rPr>
      </w:pPr>
    </w:p>
    <w:tbl>
      <w:tblPr>
        <w:tblStyle w:val="26"/>
        <w:tblW w:w="48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5"/>
        <w:gridCol w:w="4537"/>
      </w:tblGrid>
      <w:tr w14:paraId="03F5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2" w:type="pct"/>
            <w:vAlign w:val="center"/>
          </w:tcPr>
          <w:p w14:paraId="402ED986">
            <w:pPr>
              <w:pStyle w:val="13"/>
              <w:adjustRightInd w:val="0"/>
              <w:snapToGrid w:val="0"/>
              <w:jc w:val="center"/>
              <w:rPr>
                <w:rFonts w:ascii="Times New Roman" w:hAnsi="Times New Roman" w:cs="Times New Roman"/>
                <w:color w:val="auto"/>
              </w:rPr>
            </w:pPr>
            <w:r>
              <w:rPr>
                <w:rFonts w:hint="eastAsia" w:ascii="Times New Roman" w:hAnsi="Times New Roman" w:cs="Times New Roman"/>
                <w:color w:val="auto"/>
              </w:rPr>
              <w:drawing>
                <wp:inline distT="0" distB="0" distL="114300" distR="114300">
                  <wp:extent cx="2844800" cy="2133600"/>
                  <wp:effectExtent l="0" t="0" r="12700" b="0"/>
                  <wp:docPr id="5" name="图片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
                          <pic:cNvPicPr>
                            <a:picLocks noChangeAspect="1"/>
                          </pic:cNvPicPr>
                        </pic:nvPicPr>
                        <pic:blipFill>
                          <a:blip r:embed="rId24"/>
                          <a:stretch>
                            <a:fillRect/>
                          </a:stretch>
                        </pic:blipFill>
                        <pic:spPr>
                          <a:xfrm>
                            <a:off x="0" y="0"/>
                            <a:ext cx="2844800" cy="2133600"/>
                          </a:xfrm>
                          <a:prstGeom prst="rect">
                            <a:avLst/>
                          </a:prstGeom>
                        </pic:spPr>
                      </pic:pic>
                    </a:graphicData>
                  </a:graphic>
                </wp:inline>
              </w:drawing>
            </w:r>
          </w:p>
        </w:tc>
        <w:tc>
          <w:tcPr>
            <w:tcW w:w="2497" w:type="pct"/>
            <w:vAlign w:val="center"/>
          </w:tcPr>
          <w:p w14:paraId="31879575">
            <w:pPr>
              <w:pStyle w:val="13"/>
              <w:adjustRightInd w:val="0"/>
              <w:snapToGrid w:val="0"/>
              <w:jc w:val="center"/>
              <w:rPr>
                <w:rFonts w:ascii="Times New Roman" w:hAnsi="Times New Roman" w:cs="Times New Roman"/>
                <w:color w:val="auto"/>
              </w:rPr>
            </w:pPr>
            <w:r>
              <w:rPr>
                <w:rFonts w:hint="eastAsia" w:ascii="Times New Roman" w:hAnsi="Times New Roman" w:cs="Times New Roman"/>
                <w:color w:val="auto"/>
              </w:rPr>
              <w:drawing>
                <wp:inline distT="0" distB="0" distL="114300" distR="114300">
                  <wp:extent cx="2844800" cy="2133600"/>
                  <wp:effectExtent l="0" t="0" r="12700" b="0"/>
                  <wp:docPr id="6" name="图片 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
                          <pic:cNvPicPr>
                            <a:picLocks noChangeAspect="1"/>
                          </pic:cNvPicPr>
                        </pic:nvPicPr>
                        <pic:blipFill>
                          <a:blip r:embed="rId25"/>
                          <a:stretch>
                            <a:fillRect/>
                          </a:stretch>
                        </pic:blipFill>
                        <pic:spPr>
                          <a:xfrm>
                            <a:off x="0" y="0"/>
                            <a:ext cx="2844800" cy="2133600"/>
                          </a:xfrm>
                          <a:prstGeom prst="rect">
                            <a:avLst/>
                          </a:prstGeom>
                        </pic:spPr>
                      </pic:pic>
                    </a:graphicData>
                  </a:graphic>
                </wp:inline>
              </w:drawing>
            </w:r>
          </w:p>
        </w:tc>
      </w:tr>
      <w:tr w14:paraId="6CC8B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vAlign w:val="center"/>
          </w:tcPr>
          <w:p w14:paraId="29780A3E">
            <w:pPr>
              <w:pStyle w:val="13"/>
              <w:adjustRightInd w:val="0"/>
              <w:snapToGrid w:val="0"/>
              <w:jc w:val="center"/>
              <w:rPr>
                <w:rFonts w:ascii="Times New Roman" w:hAnsi="Times New Roman" w:cs="Times New Roman"/>
                <w:color w:val="auto"/>
              </w:rPr>
            </w:pPr>
            <w:r>
              <w:rPr>
                <w:rFonts w:hint="eastAsia" w:ascii="Times New Roman" w:hAnsi="Times New Roman" w:cs="Times New Roman"/>
                <w:b/>
                <w:bCs/>
                <w:color w:val="auto"/>
              </w:rPr>
              <w:t>项目场地现状</w:t>
            </w:r>
          </w:p>
        </w:tc>
      </w:tr>
      <w:tr w14:paraId="03338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2" w:type="pct"/>
            <w:vAlign w:val="center"/>
          </w:tcPr>
          <w:p w14:paraId="7CEF715C">
            <w:pPr>
              <w:pStyle w:val="13"/>
              <w:adjustRightInd w:val="0"/>
              <w:snapToGrid w:val="0"/>
              <w:jc w:val="center"/>
              <w:rPr>
                <w:rFonts w:ascii="Times New Roman" w:hAnsi="Times New Roman" w:cs="Times New Roman"/>
                <w:color w:val="auto"/>
              </w:rPr>
            </w:pPr>
            <w:r>
              <w:rPr>
                <w:rFonts w:hint="eastAsia" w:ascii="Times New Roman" w:hAnsi="Times New Roman" w:cs="Times New Roman"/>
                <w:color w:val="auto"/>
              </w:rPr>
              <w:drawing>
                <wp:inline distT="0" distB="0" distL="114300" distR="114300">
                  <wp:extent cx="2844165" cy="2131060"/>
                  <wp:effectExtent l="0" t="0" r="13335" b="2540"/>
                  <wp:docPr id="7" name="图片 7" descr="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北"/>
                          <pic:cNvPicPr>
                            <a:picLocks noChangeAspect="1"/>
                          </pic:cNvPicPr>
                        </pic:nvPicPr>
                        <pic:blipFill>
                          <a:blip r:embed="rId26"/>
                          <a:stretch>
                            <a:fillRect/>
                          </a:stretch>
                        </pic:blipFill>
                        <pic:spPr>
                          <a:xfrm>
                            <a:off x="0" y="0"/>
                            <a:ext cx="2844165" cy="2131060"/>
                          </a:xfrm>
                          <a:prstGeom prst="rect">
                            <a:avLst/>
                          </a:prstGeom>
                        </pic:spPr>
                      </pic:pic>
                    </a:graphicData>
                  </a:graphic>
                </wp:inline>
              </w:drawing>
            </w:r>
          </w:p>
        </w:tc>
        <w:tc>
          <w:tcPr>
            <w:tcW w:w="2497" w:type="pct"/>
            <w:vAlign w:val="center"/>
          </w:tcPr>
          <w:p w14:paraId="3E6F6E29">
            <w:pPr>
              <w:pStyle w:val="13"/>
              <w:adjustRightInd w:val="0"/>
              <w:snapToGrid w:val="0"/>
              <w:jc w:val="center"/>
              <w:rPr>
                <w:rFonts w:ascii="Times New Roman" w:hAnsi="Times New Roman" w:cs="Times New Roman"/>
                <w:color w:val="auto"/>
              </w:rPr>
            </w:pPr>
            <w:r>
              <w:rPr>
                <w:rFonts w:hint="eastAsia" w:ascii="Times New Roman" w:hAnsi="Times New Roman" w:cs="Times New Roman"/>
                <w:color w:val="auto"/>
              </w:rPr>
              <w:drawing>
                <wp:inline distT="0" distB="0" distL="114300" distR="114300">
                  <wp:extent cx="2844165" cy="2131060"/>
                  <wp:effectExtent l="0" t="0" r="13335" b="2540"/>
                  <wp:docPr id="8" name="图片 8" descr="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东"/>
                          <pic:cNvPicPr>
                            <a:picLocks noChangeAspect="1"/>
                          </pic:cNvPicPr>
                        </pic:nvPicPr>
                        <pic:blipFill>
                          <a:blip r:embed="rId27"/>
                          <a:stretch>
                            <a:fillRect/>
                          </a:stretch>
                        </pic:blipFill>
                        <pic:spPr>
                          <a:xfrm>
                            <a:off x="0" y="0"/>
                            <a:ext cx="2844165" cy="2131060"/>
                          </a:xfrm>
                          <a:prstGeom prst="rect">
                            <a:avLst/>
                          </a:prstGeom>
                        </pic:spPr>
                      </pic:pic>
                    </a:graphicData>
                  </a:graphic>
                </wp:inline>
              </w:drawing>
            </w:r>
          </w:p>
        </w:tc>
      </w:tr>
      <w:tr w14:paraId="235DB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502" w:type="pct"/>
            <w:vAlign w:val="center"/>
          </w:tcPr>
          <w:p w14:paraId="46735C7D">
            <w:pPr>
              <w:pStyle w:val="13"/>
              <w:adjustRightInd w:val="0"/>
              <w:snapToGrid w:val="0"/>
              <w:jc w:val="center"/>
              <w:rPr>
                <w:rFonts w:ascii="Times New Roman" w:hAnsi="Times New Roman" w:cs="Times New Roman"/>
                <w:b/>
                <w:bCs/>
                <w:color w:val="auto"/>
              </w:rPr>
            </w:pPr>
            <w:r>
              <w:rPr>
                <w:rFonts w:hint="eastAsia" w:ascii="Times New Roman" w:hAnsi="Times New Roman" w:cs="Times New Roman"/>
                <w:b/>
                <w:bCs/>
                <w:color w:val="auto"/>
              </w:rPr>
              <w:t>项目北侧环境概况</w:t>
            </w:r>
          </w:p>
        </w:tc>
        <w:tc>
          <w:tcPr>
            <w:tcW w:w="2497" w:type="pct"/>
            <w:vAlign w:val="center"/>
          </w:tcPr>
          <w:p w14:paraId="0D70E266">
            <w:pPr>
              <w:pStyle w:val="13"/>
              <w:adjustRightInd w:val="0"/>
              <w:snapToGrid w:val="0"/>
              <w:jc w:val="center"/>
              <w:rPr>
                <w:rFonts w:ascii="Times New Roman" w:hAnsi="Times New Roman" w:cs="Times New Roman"/>
                <w:b/>
                <w:bCs/>
                <w:color w:val="auto"/>
              </w:rPr>
            </w:pPr>
            <w:r>
              <w:rPr>
                <w:rFonts w:hint="eastAsia" w:ascii="Times New Roman" w:hAnsi="Times New Roman" w:cs="Times New Roman"/>
                <w:b/>
                <w:bCs/>
                <w:color w:val="auto"/>
              </w:rPr>
              <w:t>项目东侧环境概况</w:t>
            </w:r>
          </w:p>
        </w:tc>
      </w:tr>
      <w:tr w14:paraId="2EFB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2" w:type="pct"/>
            <w:vAlign w:val="center"/>
          </w:tcPr>
          <w:p w14:paraId="3543A8E2">
            <w:pPr>
              <w:pStyle w:val="13"/>
              <w:adjustRightInd w:val="0"/>
              <w:snapToGrid w:val="0"/>
              <w:jc w:val="center"/>
              <w:rPr>
                <w:rFonts w:ascii="Times New Roman" w:hAnsi="Times New Roman" w:cs="Times New Roman"/>
                <w:color w:val="auto"/>
              </w:rPr>
            </w:pPr>
            <w:r>
              <w:rPr>
                <w:rFonts w:hint="eastAsia" w:ascii="Times New Roman" w:hAnsi="Times New Roman" w:cs="Times New Roman"/>
                <w:color w:val="auto"/>
              </w:rPr>
              <w:drawing>
                <wp:inline distT="0" distB="0" distL="114300" distR="114300">
                  <wp:extent cx="2844165" cy="2134870"/>
                  <wp:effectExtent l="0" t="0" r="13335" b="17780"/>
                  <wp:docPr id="9" name="图片 9" descr="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南"/>
                          <pic:cNvPicPr>
                            <a:picLocks noChangeAspect="1"/>
                          </pic:cNvPicPr>
                        </pic:nvPicPr>
                        <pic:blipFill>
                          <a:blip r:embed="rId28"/>
                          <a:stretch>
                            <a:fillRect/>
                          </a:stretch>
                        </pic:blipFill>
                        <pic:spPr>
                          <a:xfrm>
                            <a:off x="0" y="0"/>
                            <a:ext cx="2844165" cy="2134870"/>
                          </a:xfrm>
                          <a:prstGeom prst="rect">
                            <a:avLst/>
                          </a:prstGeom>
                        </pic:spPr>
                      </pic:pic>
                    </a:graphicData>
                  </a:graphic>
                </wp:inline>
              </w:drawing>
            </w:r>
          </w:p>
        </w:tc>
        <w:tc>
          <w:tcPr>
            <w:tcW w:w="2497" w:type="pct"/>
            <w:vAlign w:val="center"/>
          </w:tcPr>
          <w:p w14:paraId="56235A4B">
            <w:pPr>
              <w:pStyle w:val="13"/>
              <w:adjustRightInd w:val="0"/>
              <w:snapToGrid w:val="0"/>
              <w:jc w:val="center"/>
              <w:rPr>
                <w:rFonts w:ascii="Times New Roman" w:hAnsi="Times New Roman" w:cs="Times New Roman"/>
                <w:color w:val="auto"/>
              </w:rPr>
            </w:pPr>
            <w:r>
              <w:rPr>
                <w:rFonts w:hint="eastAsia" w:ascii="Times New Roman" w:hAnsi="Times New Roman" w:cs="Times New Roman"/>
                <w:color w:val="auto"/>
              </w:rPr>
              <w:drawing>
                <wp:inline distT="0" distB="0" distL="114300" distR="114300">
                  <wp:extent cx="2844165" cy="2134870"/>
                  <wp:effectExtent l="0" t="0" r="13335" b="17780"/>
                  <wp:docPr id="10" name="图片 10" descr="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西"/>
                          <pic:cNvPicPr>
                            <a:picLocks noChangeAspect="1"/>
                          </pic:cNvPicPr>
                        </pic:nvPicPr>
                        <pic:blipFill>
                          <a:blip r:embed="rId29"/>
                          <a:stretch>
                            <a:fillRect/>
                          </a:stretch>
                        </pic:blipFill>
                        <pic:spPr>
                          <a:xfrm>
                            <a:off x="0" y="0"/>
                            <a:ext cx="2844165" cy="2134870"/>
                          </a:xfrm>
                          <a:prstGeom prst="rect">
                            <a:avLst/>
                          </a:prstGeom>
                        </pic:spPr>
                      </pic:pic>
                    </a:graphicData>
                  </a:graphic>
                </wp:inline>
              </w:drawing>
            </w:r>
          </w:p>
        </w:tc>
      </w:tr>
      <w:tr w14:paraId="155E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502" w:type="pct"/>
            <w:vAlign w:val="center"/>
          </w:tcPr>
          <w:p w14:paraId="236ADB65">
            <w:pPr>
              <w:pStyle w:val="13"/>
              <w:adjustRightInd w:val="0"/>
              <w:snapToGrid w:val="0"/>
              <w:jc w:val="center"/>
              <w:rPr>
                <w:rFonts w:ascii="Times New Roman" w:hAnsi="Times New Roman" w:cs="Times New Roman"/>
                <w:b/>
                <w:bCs/>
                <w:color w:val="auto"/>
              </w:rPr>
            </w:pPr>
            <w:r>
              <w:rPr>
                <w:rFonts w:hint="eastAsia" w:ascii="Times New Roman" w:hAnsi="Times New Roman" w:cs="Times New Roman"/>
                <w:b/>
                <w:bCs/>
                <w:color w:val="auto"/>
              </w:rPr>
              <w:t>项目南侧环境概况</w:t>
            </w:r>
          </w:p>
        </w:tc>
        <w:tc>
          <w:tcPr>
            <w:tcW w:w="2497" w:type="pct"/>
            <w:vAlign w:val="center"/>
          </w:tcPr>
          <w:p w14:paraId="7EBE07A8">
            <w:pPr>
              <w:pStyle w:val="13"/>
              <w:adjustRightInd w:val="0"/>
              <w:snapToGrid w:val="0"/>
              <w:jc w:val="center"/>
              <w:rPr>
                <w:rFonts w:ascii="Times New Roman" w:hAnsi="Times New Roman" w:cs="Times New Roman"/>
                <w:b/>
                <w:bCs/>
                <w:color w:val="auto"/>
              </w:rPr>
            </w:pPr>
            <w:r>
              <w:rPr>
                <w:rFonts w:hint="eastAsia" w:ascii="Times New Roman" w:hAnsi="Times New Roman" w:cs="Times New Roman"/>
                <w:b/>
                <w:bCs/>
                <w:color w:val="auto"/>
              </w:rPr>
              <w:t>项目西侧环境概况</w:t>
            </w:r>
          </w:p>
        </w:tc>
      </w:tr>
    </w:tbl>
    <w:p w14:paraId="102B09CB">
      <w:pPr>
        <w:pStyle w:val="38"/>
        <w:spacing w:line="500" w:lineRule="exact"/>
        <w:ind w:firstLine="0" w:firstLineChars="0"/>
        <w:jc w:val="center"/>
        <w:rPr>
          <w:b/>
          <w:bCs/>
          <w:color w:val="auto"/>
        </w:rPr>
        <w:sectPr>
          <w:pgSz w:w="11906" w:h="16838"/>
          <w:pgMar w:top="1417" w:right="1304" w:bottom="1417" w:left="1304" w:header="851" w:footer="851" w:gutter="0"/>
          <w:pgBorders>
            <w:top w:val="none" w:sz="0" w:space="0"/>
            <w:left w:val="none" w:sz="0" w:space="0"/>
            <w:bottom w:val="none" w:sz="0" w:space="0"/>
            <w:right w:val="none" w:sz="0" w:space="0"/>
          </w:pgBorders>
          <w:cols w:space="0" w:num="1"/>
          <w:docGrid w:linePitch="312" w:charSpace="0"/>
        </w:sectPr>
      </w:pPr>
      <w:r>
        <w:rPr>
          <w:b/>
          <w:bCs/>
          <w:color w:val="auto"/>
        </w:rPr>
        <w:t>附图</w:t>
      </w:r>
      <w:r>
        <w:rPr>
          <w:rFonts w:hint="eastAsia"/>
          <w:b/>
          <w:bCs/>
          <w:color w:val="auto"/>
        </w:rPr>
        <w:t>2</w:t>
      </w:r>
      <w:r>
        <w:rPr>
          <w:b/>
          <w:bCs/>
          <w:color w:val="auto"/>
        </w:rPr>
        <w:t xml:space="preserve">    项目区现状和周边现状照片</w:t>
      </w:r>
    </w:p>
    <w:p w14:paraId="16D5952C">
      <w:pPr>
        <w:pStyle w:val="38"/>
        <w:spacing w:line="240" w:lineRule="auto"/>
        <w:ind w:firstLine="0" w:firstLineChars="0"/>
        <w:jc w:val="center"/>
        <w:rPr>
          <w:b/>
          <w:bCs/>
          <w:color w:val="auto"/>
        </w:rPr>
      </w:pPr>
      <w:r>
        <w:rPr>
          <w:color w:val="auto"/>
          <w:sz w:val="24"/>
        </w:rPr>
        <mc:AlternateContent>
          <mc:Choice Requires="wpg">
            <w:drawing>
              <wp:anchor distT="0" distB="0" distL="114300" distR="114300" simplePos="0" relativeHeight="251691008" behindDoc="0" locked="0" layoutInCell="1" allowOverlap="1">
                <wp:simplePos x="0" y="0"/>
                <wp:positionH relativeFrom="column">
                  <wp:posOffset>650240</wp:posOffset>
                </wp:positionH>
                <wp:positionV relativeFrom="paragraph">
                  <wp:posOffset>1901825</wp:posOffset>
                </wp:positionV>
                <wp:extent cx="1303655" cy="586105"/>
                <wp:effectExtent l="0" t="0" r="10795" b="24130"/>
                <wp:wrapNone/>
                <wp:docPr id="353" name="组合 353"/>
                <wp:cNvGraphicFramePr/>
                <a:graphic xmlns:a="http://schemas.openxmlformats.org/drawingml/2006/main">
                  <a:graphicData uri="http://schemas.microsoft.com/office/word/2010/wordprocessingGroup">
                    <wpg:wgp>
                      <wpg:cNvGrpSpPr/>
                      <wpg:grpSpPr>
                        <a:xfrm>
                          <a:off x="0" y="0"/>
                          <a:ext cx="1303655" cy="586105"/>
                          <a:chOff x="2724" y="1039159"/>
                          <a:chExt cx="2053" cy="923"/>
                        </a:xfrm>
                      </wpg:grpSpPr>
                      <wps:wsp>
                        <wps:cNvPr id="478" name="流程图: 或者 478"/>
                        <wps:cNvSpPr/>
                        <wps:spPr>
                          <a:xfrm>
                            <a:off x="4659" y="1039964"/>
                            <a:ext cx="119" cy="119"/>
                          </a:xfrm>
                          <a:prstGeom prst="flowChartOr">
                            <a:avLst/>
                          </a:prstGeom>
                          <a:solidFill>
                            <a:srgbClr val="FF0000"/>
                          </a:solidFill>
                          <a:ln w="12700" cap="flat" cmpd="sng" algn="ctr">
                            <a:solidFill>
                              <a:srgbClr val="FFFF00"/>
                            </a:solidFill>
                            <a:prstDash val="solid"/>
                            <a:miter lim="800000"/>
                          </a:ln>
                          <a:effectLst/>
                        </wps:spPr>
                        <wps:txbx>
                          <w:txbxContent>
                            <w:p w14:paraId="1E23BCA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1" name="直接连接符 71"/>
                        <wps:cNvCnPr/>
                        <wps:spPr>
                          <a:xfrm flipH="1" flipV="1">
                            <a:off x="4288" y="1039504"/>
                            <a:ext cx="420" cy="495"/>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74" name="直接连接符 74"/>
                        <wps:cNvCnPr/>
                        <wps:spPr>
                          <a:xfrm>
                            <a:off x="2728" y="1039489"/>
                            <a:ext cx="1560" cy="1"/>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12" name="矩形 112"/>
                        <wps:cNvSpPr/>
                        <wps:spPr>
                          <a:xfrm>
                            <a:off x="2724" y="1039159"/>
                            <a:ext cx="1696" cy="302"/>
                          </a:xfrm>
                          <a:prstGeom prst="rect">
                            <a:avLst/>
                          </a:prstGeom>
                          <a:noFill/>
                          <a:ln>
                            <a:noFill/>
                          </a:ln>
                        </wps:spPr>
                        <wps:txbx>
                          <w:txbxContent>
                            <w:p w14:paraId="0C34AB81">
                              <w:pPr>
                                <w:tabs>
                                  <w:tab w:val="left" w:pos="7380"/>
                                </w:tabs>
                                <w:adjustRightInd w:val="0"/>
                                <w:snapToGrid w:val="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地下水跟踪监测井</w:t>
                              </w:r>
                            </w:p>
                          </w:txbxContent>
                        </wps:txbx>
                        <wps:bodyPr lIns="0" tIns="0" rIns="0" bIns="0" upright="1"/>
                      </wps:wsp>
                    </wpg:wgp>
                  </a:graphicData>
                </a:graphic>
              </wp:anchor>
            </w:drawing>
          </mc:Choice>
          <mc:Fallback>
            <w:pict>
              <v:group id="_x0000_s1026" o:spid="_x0000_s1026" o:spt="203" style="position:absolute;left:0pt;margin-left:51.2pt;margin-top:149.75pt;height:46.15pt;width:102.65pt;z-index:251691008;mso-width-relative:page;mso-height-relative:page;" coordorigin="2724,1039159" coordsize="2053,923" o:gfxdata="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">
                <o:lock v:ext="edit" aspectratio="f"/>
                <v:shape id="_x0000_s1026" o:spid="_x0000_s1026" o:spt="124" type="#_x0000_t124" style="position:absolute;left:4659;top:1039964;height:119;width:119;v-text-anchor:middle;" fillcolor="#FF0000" filled="t" stroked="t" coordsize="21600,21600" o:gfxdata="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WhNKW/&#10;AAAA3AAAAA8AAAAAAAAAAQAgAAAAIgAAAGRycy9kb3ducmV2LnhtbFBLAQIUABQAAAAIAIdO4kAz&#10;LwWeOwAAADkAAAAQAAAAAAAAAAEAIAAAAA4BAABkcnMvc2hhcGV4bWwueG1sUEsFBgAAAAAGAAYA&#10;WwEAALgDAAAAAA==&#10;">
                  <v:fill on="t" focussize="0,0"/>
                  <v:stroke weight="1pt" color="#FFFF00" miterlimit="8" joinstyle="miter"/>
                  <v:imagedata o:title=""/>
                  <o:lock v:ext="edit" aspectratio="f"/>
                  <v:textbox>
                    <w:txbxContent>
                      <w:p w14:paraId="1E23BCA3">
                        <w:pPr>
                          <w:jc w:val="center"/>
                        </w:pPr>
                      </w:p>
                    </w:txbxContent>
                  </v:textbox>
                </v:shape>
                <v:line id="_x0000_s1026" o:spid="_x0000_s1026" o:spt="20" style="position:absolute;left:4288;top:1039504;flip:x y;height:495;width:420;" filled="f" stroked="t" coordsize="21600,21600" o:gfxdata="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UoGXbgAAADbAAAA&#10;DwAAAAAAAAABACAAAAAiAAAAZHJzL2Rvd25yZXYueG1sUEsBAhQAFAAAAAgAh07iQDMvBZ47AAAA&#10;OQAAABAAAAAAAAAAAQAgAAAABwEAAGRycy9zaGFwZXhtbC54bWxQSwUGAAAAAAYABgBbAQAAsQMA&#10;AAAA&#10;">
                  <v:fill on="f" focussize="0,0"/>
                  <v:stroke color="#000000 [3213]" joinstyle="round"/>
                  <v:imagedata o:title=""/>
                  <o:lock v:ext="edit" aspectratio="f"/>
                </v:line>
                <v:line id="_x0000_s1026" o:spid="_x0000_s1026" o:spt="20" style="position:absolute;left:2728;top:1039489;height:1;width:1560;" filled="f" stroked="t" coordsize="21600,21600" o:gfxdata="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YMwu/&#10;AAAA2wAAAA8AAAAAAAAAAQAgAAAAIgAAAGRycy9kb3ducmV2LnhtbFBLAQIUABQAAAAIAIdO4kAz&#10;LwWeOwAAADkAAAAQAAAAAAAAAAEAIAAAAA4BAABkcnMvc2hhcGV4bWwueG1sUEsFBgAAAAAGAAYA&#10;WwEAALgDAAAAAA==&#10;">
                  <v:fill on="f" focussize="0,0"/>
                  <v:stroke color="#000000 [3213]" joinstyle="round"/>
                  <v:imagedata o:title=""/>
                  <o:lock v:ext="edit" aspectratio="f"/>
                </v:line>
                <v:rect id="_x0000_s1026" o:spid="_x0000_s1026" o:spt="1" style="position:absolute;left:2724;top:1039159;height:302;width:1696;" filled="f" stroked="f" coordsize="21600,21600" o:gfxdata="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Ikb2ugAAANw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0C34AB81">
                        <w:pPr>
                          <w:tabs>
                            <w:tab w:val="left" w:pos="7380"/>
                          </w:tabs>
                          <w:adjustRightInd w:val="0"/>
                          <w:snapToGrid w:val="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地下水跟踪监测井</w:t>
                        </w:r>
                      </w:p>
                    </w:txbxContent>
                  </v:textbox>
                </v:rect>
              </v:group>
            </w:pict>
          </mc:Fallback>
        </mc:AlternateContent>
      </w:r>
      <w:r>
        <w:rPr>
          <w:color w:val="auto"/>
          <w:sz w:val="24"/>
        </w:rPr>
        <mc:AlternateContent>
          <mc:Choice Requires="wpg">
            <w:drawing>
              <wp:anchor distT="0" distB="0" distL="114300" distR="114300" simplePos="0" relativeHeight="251692032" behindDoc="0" locked="0" layoutInCell="1" allowOverlap="1">
                <wp:simplePos x="0" y="0"/>
                <wp:positionH relativeFrom="column">
                  <wp:posOffset>2224405</wp:posOffset>
                </wp:positionH>
                <wp:positionV relativeFrom="paragraph">
                  <wp:posOffset>739775</wp:posOffset>
                </wp:positionV>
                <wp:extent cx="1083945" cy="617855"/>
                <wp:effectExtent l="6350" t="0" r="0" b="9525"/>
                <wp:wrapNone/>
                <wp:docPr id="354" name="组合 354"/>
                <wp:cNvGraphicFramePr/>
                <a:graphic xmlns:a="http://schemas.openxmlformats.org/drawingml/2006/main">
                  <a:graphicData uri="http://schemas.microsoft.com/office/word/2010/wordprocessingGroup">
                    <wpg:wgp>
                      <wpg:cNvGrpSpPr/>
                      <wpg:grpSpPr>
                        <a:xfrm>
                          <a:off x="0" y="0"/>
                          <a:ext cx="1083945" cy="617855"/>
                          <a:chOff x="5203" y="1037329"/>
                          <a:chExt cx="1707" cy="973"/>
                        </a:xfrm>
                      </wpg:grpSpPr>
                      <wps:wsp>
                        <wps:cNvPr id="67" name="菱形 67"/>
                        <wps:cNvSpPr/>
                        <wps:spPr>
                          <a:xfrm>
                            <a:off x="5203" y="1038184"/>
                            <a:ext cx="119" cy="119"/>
                          </a:xfrm>
                          <a:prstGeom prst="diamond">
                            <a:avLst/>
                          </a:prstGeom>
                          <a:solidFill>
                            <a:schemeClr val="accent6">
                              <a:lumMod val="75000"/>
                            </a:schemeClr>
                          </a:solidFill>
                          <a:ln w="12700">
                            <a:solidFill>
                              <a:schemeClr val="accent6">
                                <a:lumMod val="75000"/>
                              </a:scheme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8" name="直接连接符 68"/>
                        <wps:cNvCnPr/>
                        <wps:spPr>
                          <a:xfrm flipV="1">
                            <a:off x="5278" y="1037659"/>
                            <a:ext cx="180" cy="54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69" name="直接连接符 69"/>
                        <wps:cNvCnPr/>
                        <wps:spPr>
                          <a:xfrm>
                            <a:off x="5443" y="1037659"/>
                            <a:ext cx="1380" cy="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70" name="矩形 70"/>
                        <wps:cNvSpPr/>
                        <wps:spPr>
                          <a:xfrm>
                            <a:off x="5394" y="1037329"/>
                            <a:ext cx="1516" cy="287"/>
                          </a:xfrm>
                          <a:prstGeom prst="rect">
                            <a:avLst/>
                          </a:prstGeom>
                          <a:noFill/>
                          <a:ln>
                            <a:noFill/>
                          </a:ln>
                        </wps:spPr>
                        <wps:txbx>
                          <w:txbxContent>
                            <w:p w14:paraId="0E9115AF">
                              <w:pPr>
                                <w:tabs>
                                  <w:tab w:val="left" w:pos="7380"/>
                                </w:tabs>
                                <w:adjustRightInd w:val="0"/>
                                <w:snapToGrid w:val="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土壤跟踪监测点</w:t>
                              </w:r>
                            </w:p>
                          </w:txbxContent>
                        </wps:txbx>
                        <wps:bodyPr lIns="0" tIns="0" rIns="0" bIns="0" upright="1"/>
                      </wps:wsp>
                    </wpg:wgp>
                  </a:graphicData>
                </a:graphic>
              </wp:anchor>
            </w:drawing>
          </mc:Choice>
          <mc:Fallback>
            <w:pict>
              <v:group id="_x0000_s1026" o:spid="_x0000_s1026" o:spt="203" style="position:absolute;left:0pt;margin-left:175.15pt;margin-top:58.25pt;height:48.65pt;width:85.35pt;z-index:251692032;mso-width-relative:page;mso-height-relative:page;" coordorigin="5203,1037329" coordsize="1707,973" o:gfxdata="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">
                <o:lock v:ext="edit" aspectratio="f"/>
                <v:shape id="_x0000_s1026" o:spid="_x0000_s1026" o:spt="4" type="#_x0000_t4" style="position:absolute;left:5203;top:1038184;height:119;width:119;v-text-anchor:middle;" fillcolor="#E46C0A [2409]" filled="t" stroked="t" coordsize="21600,21600" o:gfxdata="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fFnAyugAAANsA&#10;AAAPAAAAAAAAAAEAIAAAACIAAABkcnMvZG93bnJldi54bWxQSwECFAAUAAAACACHTuJAMy8FnjsA&#10;AAA5AAAAEAAAAAAAAAABACAAAAAJAQAAZHJzL3NoYXBleG1sLnhtbFBLBQYAAAAABgAGAFsBAACz&#10;AwAAAAA=&#10;">
                  <v:fill on="t" focussize="0,0"/>
                  <v:stroke weight="1pt" color="#E46C0A [2409]" joinstyle="round"/>
                  <v:imagedata o:title=""/>
                  <o:lock v:ext="edit" aspectratio="f"/>
                </v:shape>
                <v:line id="_x0000_s1026" o:spid="_x0000_s1026" o:spt="20" style="position:absolute;left:5278;top:1037659;flip:y;height:540;width:180;" filled="f" stroked="t" coordsize="21600,21600" o:gfxdata="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EKR+bgAAADbAAAA&#10;DwAAAAAAAAABACAAAAAiAAAAZHJzL2Rvd25yZXYueG1sUEsBAhQAFAAAAAgAh07iQDMvBZ47AAAA&#10;OQAAABAAAAAAAAAAAQAgAAAABwEAAGRycy9zaGFwZXhtbC54bWxQSwUGAAAAAAYABgBbAQAAsQMA&#10;AAAA&#10;">
                  <v:fill on="f" focussize="0,0"/>
                  <v:stroke color="#000000 [3213]" joinstyle="round"/>
                  <v:imagedata o:title=""/>
                  <o:lock v:ext="edit" aspectratio="f"/>
                </v:line>
                <v:line id="_x0000_s1026" o:spid="_x0000_s1026" o:spt="20" style="position:absolute;left:5443;top:1037659;height:0;width:1380;" filled="f" stroked="t" coordsize="21600,21600" o:gfxdata="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gAKSL4A&#10;AADbAAAADwAAAAAAAAABACAAAAAiAAAAZHJzL2Rvd25yZXYueG1sUEsBAhQAFAAAAAgAh07iQDMv&#10;BZ47AAAAOQAAABAAAAAAAAAAAQAgAAAADQEAAGRycy9zaGFwZXhtbC54bWxQSwUGAAAAAAYABgBb&#10;AQAAtwMAAAAA&#10;">
                  <v:fill on="f" focussize="0,0"/>
                  <v:stroke color="#000000 [3213]" joinstyle="round"/>
                  <v:imagedata o:title=""/>
                  <o:lock v:ext="edit" aspectratio="f"/>
                </v:line>
                <v:rect id="_x0000_s1026" o:spid="_x0000_s1026" o:spt="1" style="position:absolute;left:5394;top:1037329;height:287;width:1516;" filled="f" stroked="f" coordsize="21600,21600" o:gfxdata="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wEESv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0E9115AF">
                        <w:pPr>
                          <w:tabs>
                            <w:tab w:val="left" w:pos="7380"/>
                          </w:tabs>
                          <w:adjustRightInd w:val="0"/>
                          <w:snapToGrid w:val="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土壤跟踪监测点</w:t>
                        </w:r>
                      </w:p>
                    </w:txbxContent>
                  </v:textbox>
                </v:rect>
              </v:group>
            </w:pict>
          </mc:Fallback>
        </mc:AlternateContent>
      </w:r>
      <w:r>
        <w:rPr>
          <w:color w:val="auto"/>
          <w:sz w:val="24"/>
        </w:rPr>
        <w:drawing>
          <wp:inline distT="0" distB="0" distL="114300" distR="114300">
            <wp:extent cx="8887460" cy="5210175"/>
            <wp:effectExtent l="0" t="0" r="8890" b="9525"/>
            <wp:docPr id="352" name="图片 352" descr="华泽-【总图】.0427_t7 Model (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352" descr="华泽-【总图】.0427_t7 Model (1)_01"/>
                    <pic:cNvPicPr>
                      <a:picLocks noChangeAspect="1"/>
                    </pic:cNvPicPr>
                  </pic:nvPicPr>
                  <pic:blipFill>
                    <a:blip r:embed="rId30"/>
                    <a:srcRect l="380" r="689"/>
                    <a:stretch>
                      <a:fillRect/>
                    </a:stretch>
                  </pic:blipFill>
                  <pic:spPr>
                    <a:xfrm>
                      <a:off x="0" y="0"/>
                      <a:ext cx="8887460" cy="5210175"/>
                    </a:xfrm>
                    <a:prstGeom prst="rect">
                      <a:avLst/>
                    </a:prstGeom>
                  </pic:spPr>
                </pic:pic>
              </a:graphicData>
            </a:graphic>
          </wp:inline>
        </w:drawing>
      </w:r>
    </w:p>
    <w:p w14:paraId="5A386DC9">
      <w:pPr>
        <w:pStyle w:val="38"/>
        <w:spacing w:line="400" w:lineRule="exact"/>
        <w:ind w:firstLine="0" w:firstLineChars="0"/>
        <w:jc w:val="center"/>
        <w:rPr>
          <w:b/>
          <w:bCs/>
          <w:color w:val="auto"/>
        </w:rPr>
        <w:sectPr>
          <w:pgSz w:w="16838" w:h="11906" w:orient="landscape"/>
          <w:pgMar w:top="1304" w:right="1417" w:bottom="1304" w:left="1417" w:header="851" w:footer="851" w:gutter="0"/>
          <w:pgBorders>
            <w:top w:val="none" w:sz="0" w:space="0"/>
            <w:left w:val="none" w:sz="0" w:space="0"/>
            <w:bottom w:val="none" w:sz="0" w:space="0"/>
            <w:right w:val="none" w:sz="0" w:space="0"/>
          </w:pgBorders>
          <w:cols w:space="0" w:num="1"/>
          <w:docGrid w:linePitch="312" w:charSpace="0"/>
        </w:sectPr>
      </w:pPr>
      <w:r>
        <w:rPr>
          <w:rFonts w:hint="eastAsia"/>
          <w:b/>
          <w:bCs/>
          <w:color w:val="auto"/>
        </w:rPr>
        <w:t>附图3    项目总平面布置图</w:t>
      </w:r>
    </w:p>
    <w:p w14:paraId="0639474F">
      <w:pPr>
        <w:pStyle w:val="38"/>
        <w:spacing w:line="240" w:lineRule="auto"/>
        <w:ind w:firstLine="0" w:firstLineChars="0"/>
        <w:jc w:val="center"/>
        <w:rPr>
          <w:color w:val="auto"/>
        </w:rPr>
      </w:pPr>
      <w:r>
        <w:rPr>
          <w:color w:val="auto"/>
          <w:sz w:val="21"/>
        </w:rPr>
        <mc:AlternateContent>
          <mc:Choice Requires="wps">
            <w:drawing>
              <wp:anchor distT="0" distB="0" distL="114300" distR="114300" simplePos="0" relativeHeight="251688960" behindDoc="0" locked="0" layoutInCell="1" allowOverlap="1">
                <wp:simplePos x="0" y="0"/>
                <wp:positionH relativeFrom="column">
                  <wp:posOffset>2721610</wp:posOffset>
                </wp:positionH>
                <wp:positionV relativeFrom="paragraph">
                  <wp:posOffset>3712845</wp:posOffset>
                </wp:positionV>
                <wp:extent cx="1315720" cy="309880"/>
                <wp:effectExtent l="1025525" t="4445" r="20955" b="581025"/>
                <wp:wrapNone/>
                <wp:docPr id="76" name="自选图形 6"/>
                <wp:cNvGraphicFramePr/>
                <a:graphic xmlns:a="http://schemas.openxmlformats.org/drawingml/2006/main">
                  <a:graphicData uri="http://schemas.microsoft.com/office/word/2010/wordprocessingShape">
                    <wps:wsp>
                      <wps:cNvSpPr/>
                      <wps:spPr>
                        <a:xfrm>
                          <a:off x="0" y="0"/>
                          <a:ext cx="1315720" cy="309880"/>
                        </a:xfrm>
                        <a:prstGeom prst="wedgeRectCallout">
                          <a:avLst>
                            <a:gd name="adj1" fmla="val -125190"/>
                            <a:gd name="adj2" fmla="val 227458"/>
                          </a:avLst>
                        </a:prstGeom>
                        <a:solidFill>
                          <a:srgbClr val="FFFFFF"/>
                        </a:solidFill>
                        <a:ln w="9525" cap="flat" cmpd="sng">
                          <a:solidFill>
                            <a:srgbClr val="000000"/>
                          </a:solidFill>
                          <a:prstDash val="solid"/>
                          <a:miter/>
                          <a:headEnd type="none" w="med" len="med"/>
                          <a:tailEnd type="none" w="med" len="med"/>
                        </a:ln>
                      </wps:spPr>
                      <wps:txbx>
                        <w:txbxContent>
                          <w:p w14:paraId="5FE142A7">
                            <w:pPr>
                              <w:jc w:val="center"/>
                            </w:pPr>
                            <w:r>
                              <w:rPr>
                                <w:rFonts w:hint="eastAsia"/>
                              </w:rPr>
                              <w:t>本项目所在位置</w:t>
                            </w:r>
                          </w:p>
                        </w:txbxContent>
                      </wps:txbx>
                      <wps:bodyPr upright="1"/>
                    </wps:wsp>
                  </a:graphicData>
                </a:graphic>
              </wp:anchor>
            </w:drawing>
          </mc:Choice>
          <mc:Fallback>
            <w:pict>
              <v:shape id="自选图形 6" o:spid="_x0000_s1026" o:spt="61" type="#_x0000_t61" style="position:absolute;left:0pt;margin-left:214.3pt;margin-top:292.35pt;height:24.4pt;width:103.6pt;z-index:251688960;mso-width-relative:page;mso-height-relative:page;" fillcolor="#FFFFFF" filled="t" stroked="t" coordsize="21600,21600" o:gfxdata="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tacW/1wAAAAsBAAAPAAAAAAAAAAEAIAAAACIAAABkcnMv&#10;ZG93bnJldi54bWxQSwECFAAUAAAACACHTuJAhVOtMT0CAACQBAAADgAAAAAAAAABACAAAAAmAQAA&#10;ZHJzL2Uyb0RvYy54bWxQSwUGAAAAAAYABgBZAQAA1QUAAAAA&#10;" adj="-16241,59931">
                <v:fill on="t" focussize="0,0"/>
                <v:stroke color="#000000" joinstyle="miter"/>
                <v:imagedata o:title=""/>
                <o:lock v:ext="edit" aspectratio="f"/>
                <v:textbox>
                  <w:txbxContent>
                    <w:p w14:paraId="5FE142A7">
                      <w:pPr>
                        <w:jc w:val="center"/>
                      </w:pPr>
                      <w:r>
                        <w:rPr>
                          <w:rFonts w:hint="eastAsia"/>
                        </w:rPr>
                        <w:t>本项目所在位置</w:t>
                      </w:r>
                    </w:p>
                  </w:txbxContent>
                </v:textbox>
              </v:shape>
            </w:pict>
          </mc:Fallback>
        </mc:AlternateContent>
      </w:r>
      <w:r>
        <w:rPr>
          <w:rFonts w:hint="eastAsia"/>
          <w:color w:val="auto"/>
        </w:rPr>
        <w:drawing>
          <wp:inline distT="0" distB="0" distL="114300" distR="114300">
            <wp:extent cx="5901690" cy="8161655"/>
            <wp:effectExtent l="9525" t="9525" r="13335" b="20320"/>
            <wp:docPr id="75" name="图片 75" descr="d91bd0e12cc393a8d5652fa5340f9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d91bd0e12cc393a8d5652fa5340f9883"/>
                    <pic:cNvPicPr>
                      <a:picLocks noChangeAspect="1"/>
                    </pic:cNvPicPr>
                  </pic:nvPicPr>
                  <pic:blipFill>
                    <a:blip r:embed="rId31"/>
                    <a:srcRect l="2626" t="2254" r="1841" b="4273"/>
                    <a:stretch>
                      <a:fillRect/>
                    </a:stretch>
                  </pic:blipFill>
                  <pic:spPr>
                    <a:xfrm>
                      <a:off x="0" y="0"/>
                      <a:ext cx="5901690" cy="8161655"/>
                    </a:xfrm>
                    <a:prstGeom prst="rect">
                      <a:avLst/>
                    </a:prstGeom>
                    <a:ln>
                      <a:solidFill>
                        <a:schemeClr val="tx1"/>
                      </a:solidFill>
                    </a:ln>
                  </pic:spPr>
                </pic:pic>
              </a:graphicData>
            </a:graphic>
          </wp:inline>
        </w:drawing>
      </w:r>
    </w:p>
    <w:p w14:paraId="1DD6B589">
      <w:pPr>
        <w:pStyle w:val="38"/>
        <w:spacing w:line="400" w:lineRule="exact"/>
        <w:ind w:firstLine="1928" w:firstLineChars="800"/>
        <w:jc w:val="both"/>
        <w:rPr>
          <w:b/>
          <w:bCs/>
          <w:color w:val="auto"/>
        </w:rPr>
      </w:pPr>
      <w:r>
        <w:rPr>
          <w:rFonts w:hint="eastAsia"/>
          <w:b/>
          <w:bCs/>
          <w:color w:val="auto"/>
        </w:rPr>
        <w:t>附图4     项目所在园区产业布局规划图</w:t>
      </w:r>
    </w:p>
    <w:p w14:paraId="401247B9">
      <w:pPr>
        <w:pStyle w:val="38"/>
        <w:spacing w:line="240" w:lineRule="auto"/>
        <w:ind w:firstLine="0" w:firstLineChars="0"/>
        <w:jc w:val="center"/>
        <w:rPr>
          <w:color w:val="auto"/>
        </w:rPr>
      </w:pPr>
    </w:p>
    <w:p w14:paraId="38AE8955">
      <w:pPr>
        <w:pStyle w:val="38"/>
        <w:spacing w:line="240" w:lineRule="auto"/>
        <w:ind w:firstLine="0" w:firstLineChars="0"/>
        <w:jc w:val="center"/>
        <w:rPr>
          <w:color w:val="auto"/>
        </w:rPr>
        <w:sectPr>
          <w:pgSz w:w="11906" w:h="16838"/>
          <w:pgMar w:top="1417" w:right="1304" w:bottom="1417" w:left="1304" w:header="851" w:footer="851" w:gutter="0"/>
          <w:pgBorders>
            <w:top w:val="none" w:sz="0" w:space="0"/>
            <w:left w:val="none" w:sz="0" w:space="0"/>
            <w:bottom w:val="none" w:sz="0" w:space="0"/>
            <w:right w:val="none" w:sz="0" w:space="0"/>
          </w:pgBorders>
          <w:cols w:space="0" w:num="1"/>
          <w:docGrid w:linePitch="312" w:charSpace="0"/>
        </w:sectPr>
      </w:pPr>
    </w:p>
    <w:p w14:paraId="48AAC33C">
      <w:pPr>
        <w:pStyle w:val="38"/>
        <w:spacing w:line="240" w:lineRule="auto"/>
        <w:ind w:firstLine="0" w:firstLineChars="0"/>
        <w:jc w:val="center"/>
        <w:rPr>
          <w:color w:val="auto"/>
        </w:rPr>
      </w:pPr>
      <w:r>
        <w:rPr>
          <w:color w:val="auto"/>
          <w:sz w:val="21"/>
        </w:rPr>
        <mc:AlternateContent>
          <mc:Choice Requires="wps">
            <w:drawing>
              <wp:anchor distT="0" distB="0" distL="114300" distR="114300" simplePos="0" relativeHeight="251668480" behindDoc="0" locked="0" layoutInCell="1" allowOverlap="1">
                <wp:simplePos x="0" y="0"/>
                <wp:positionH relativeFrom="column">
                  <wp:posOffset>2702560</wp:posOffset>
                </wp:positionH>
                <wp:positionV relativeFrom="paragraph">
                  <wp:posOffset>3827145</wp:posOffset>
                </wp:positionV>
                <wp:extent cx="1315720" cy="309880"/>
                <wp:effectExtent l="1025525" t="4445" r="20955" b="581025"/>
                <wp:wrapNone/>
                <wp:docPr id="51" name="自选图形 6"/>
                <wp:cNvGraphicFramePr/>
                <a:graphic xmlns:a="http://schemas.openxmlformats.org/drawingml/2006/main">
                  <a:graphicData uri="http://schemas.microsoft.com/office/word/2010/wordprocessingShape">
                    <wps:wsp>
                      <wps:cNvSpPr/>
                      <wps:spPr>
                        <a:xfrm>
                          <a:off x="0" y="0"/>
                          <a:ext cx="1315720" cy="309880"/>
                        </a:xfrm>
                        <a:prstGeom prst="wedgeRectCallout">
                          <a:avLst>
                            <a:gd name="adj1" fmla="val -125190"/>
                            <a:gd name="adj2" fmla="val 227458"/>
                          </a:avLst>
                        </a:prstGeom>
                        <a:solidFill>
                          <a:srgbClr val="FFFFFF"/>
                        </a:solidFill>
                        <a:ln w="9525" cap="flat" cmpd="sng">
                          <a:solidFill>
                            <a:srgbClr val="000000"/>
                          </a:solidFill>
                          <a:prstDash val="solid"/>
                          <a:miter/>
                          <a:headEnd type="none" w="med" len="med"/>
                          <a:tailEnd type="none" w="med" len="med"/>
                        </a:ln>
                      </wps:spPr>
                      <wps:txbx>
                        <w:txbxContent>
                          <w:p w14:paraId="0D4EBB0C">
                            <w:pPr>
                              <w:jc w:val="center"/>
                            </w:pPr>
                            <w:r>
                              <w:rPr>
                                <w:rFonts w:hint="eastAsia"/>
                              </w:rPr>
                              <w:t>本项目所在位置</w:t>
                            </w:r>
                          </w:p>
                        </w:txbxContent>
                      </wps:txbx>
                      <wps:bodyPr upright="1"/>
                    </wps:wsp>
                  </a:graphicData>
                </a:graphic>
              </wp:anchor>
            </w:drawing>
          </mc:Choice>
          <mc:Fallback>
            <w:pict>
              <v:shape id="自选图形 6" o:spid="_x0000_s1026" o:spt="61" type="#_x0000_t61" style="position:absolute;left:0pt;margin-left:212.8pt;margin-top:301.35pt;height:24.4pt;width:103.6pt;z-index:251668480;mso-width-relative:page;mso-height-relative:page;" fillcolor="#FFFFFF" filled="t" stroked="t" coordsize="21600,21600" o:gfxdata="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DYMhM9gAAAALAQAADwAAAAAAAAABACAAAAAiAAAAZHJz&#10;L2Rvd25yZXYueG1sUEsBAhQAFAAAAAgAh07iQJV4L0o9AgAAkAQAAA4AAAAAAAAAAQAgAAAAJwEA&#10;AGRycy9lMm9Eb2MueG1sUEsFBgAAAAAGAAYAWQEAANYFAAAAAA==&#10;" adj="-16241,59931">
                <v:fill on="t" focussize="0,0"/>
                <v:stroke color="#000000" joinstyle="miter"/>
                <v:imagedata o:title=""/>
                <o:lock v:ext="edit" aspectratio="f"/>
                <v:textbox>
                  <w:txbxContent>
                    <w:p w14:paraId="0D4EBB0C">
                      <w:pPr>
                        <w:jc w:val="center"/>
                      </w:pPr>
                      <w:r>
                        <w:rPr>
                          <w:rFonts w:hint="eastAsia"/>
                        </w:rPr>
                        <w:t>本项目所在位置</w:t>
                      </w:r>
                    </w:p>
                  </w:txbxContent>
                </v:textbox>
              </v:shape>
            </w:pict>
          </mc:Fallback>
        </mc:AlternateContent>
      </w:r>
      <w:r>
        <w:rPr>
          <w:color w:val="auto"/>
        </w:rPr>
        <w:drawing>
          <wp:inline distT="0" distB="0" distL="114300" distR="114300">
            <wp:extent cx="5807710" cy="8187055"/>
            <wp:effectExtent l="9525" t="9525" r="12065" b="13970"/>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32"/>
                    <a:stretch>
                      <a:fillRect/>
                    </a:stretch>
                  </pic:blipFill>
                  <pic:spPr>
                    <a:xfrm>
                      <a:off x="0" y="0"/>
                      <a:ext cx="5807710" cy="8187055"/>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0747AC14">
      <w:pPr>
        <w:pStyle w:val="38"/>
        <w:spacing w:line="400" w:lineRule="exact"/>
        <w:ind w:firstLine="1928" w:firstLineChars="800"/>
        <w:jc w:val="both"/>
        <w:rPr>
          <w:b/>
          <w:bCs/>
          <w:color w:val="auto"/>
        </w:rPr>
        <w:sectPr>
          <w:pgSz w:w="11906" w:h="16838"/>
          <w:pgMar w:top="1417" w:right="1304" w:bottom="1417" w:left="1304" w:header="851" w:footer="851" w:gutter="0"/>
          <w:pgBorders>
            <w:top w:val="none" w:sz="0" w:space="0"/>
            <w:left w:val="none" w:sz="0" w:space="0"/>
            <w:bottom w:val="none" w:sz="0" w:space="0"/>
            <w:right w:val="none" w:sz="0" w:space="0"/>
          </w:pgBorders>
          <w:cols w:space="0" w:num="1"/>
          <w:docGrid w:linePitch="312" w:charSpace="0"/>
        </w:sectPr>
      </w:pPr>
      <w:r>
        <w:rPr>
          <w:rFonts w:hint="eastAsia"/>
          <w:b/>
          <w:bCs/>
          <w:color w:val="auto"/>
        </w:rPr>
        <w:t xml:space="preserve">附图5        </w:t>
      </w:r>
      <w:r>
        <w:rPr>
          <w:b/>
          <w:bCs/>
          <w:color w:val="auto"/>
        </w:rPr>
        <w:t>项目所在园区用地类型图</w:t>
      </w:r>
    </w:p>
    <w:p w14:paraId="530A1F7D">
      <w:pPr>
        <w:pStyle w:val="38"/>
        <w:spacing w:line="240" w:lineRule="auto"/>
        <w:ind w:firstLine="0" w:firstLineChars="0"/>
        <w:jc w:val="center"/>
        <w:rPr>
          <w:color w:val="auto"/>
        </w:rPr>
      </w:pPr>
      <w:r>
        <w:rPr>
          <w:color w:val="auto"/>
        </w:rPr>
        <mc:AlternateContent>
          <mc:Choice Requires="wps">
            <w:drawing>
              <wp:anchor distT="0" distB="0" distL="114300" distR="114300" simplePos="0" relativeHeight="251671552" behindDoc="0" locked="0" layoutInCell="1" allowOverlap="1">
                <wp:simplePos x="0" y="0"/>
                <wp:positionH relativeFrom="column">
                  <wp:posOffset>4803140</wp:posOffset>
                </wp:positionH>
                <wp:positionV relativeFrom="paragraph">
                  <wp:posOffset>2449830</wp:posOffset>
                </wp:positionV>
                <wp:extent cx="561975" cy="247650"/>
                <wp:effectExtent l="0" t="0" r="0" b="0"/>
                <wp:wrapNone/>
                <wp:docPr id="88" name="矩形 88"/>
                <wp:cNvGraphicFramePr/>
                <a:graphic xmlns:a="http://schemas.openxmlformats.org/drawingml/2006/main">
                  <a:graphicData uri="http://schemas.microsoft.com/office/word/2010/wordprocessingShape">
                    <wps:wsp>
                      <wps:cNvSpPr/>
                      <wps:spPr>
                        <a:xfrm>
                          <a:off x="0" y="0"/>
                          <a:ext cx="561975" cy="247650"/>
                        </a:xfrm>
                        <a:prstGeom prst="rect">
                          <a:avLst/>
                        </a:prstGeom>
                        <a:noFill/>
                        <a:ln>
                          <a:noFill/>
                        </a:ln>
                      </wps:spPr>
                      <wps:txbx>
                        <w:txbxContent>
                          <w:p w14:paraId="27504899">
                            <w:pPr>
                              <w:jc w:val="center"/>
                              <w:rPr>
                                <w:b/>
                                <w:bCs/>
                                <w:color w:val="FFFFFF" w:themeColor="background1"/>
                                <w14:textFill>
                                  <w14:solidFill>
                                    <w14:schemeClr w14:val="bg1"/>
                                  </w14:solidFill>
                                </w14:textFill>
                              </w:rPr>
                            </w:pPr>
                            <w:r>
                              <w:rPr>
                                <w:rFonts w:hint="eastAsia"/>
                                <w:b/>
                                <w:bCs/>
                                <w:color w:val="FFFFFF" w:themeColor="background1"/>
                                <w:sz w:val="21"/>
                                <w:szCs w:val="21"/>
                                <w14:textFill>
                                  <w14:solidFill>
                                    <w14:schemeClr w14:val="bg1"/>
                                  </w14:solidFill>
                                </w14:textFill>
                              </w:rPr>
                              <w:t>3.4km</w:t>
                            </w:r>
                          </w:p>
                        </w:txbxContent>
                      </wps:txbx>
                      <wps:bodyPr upright="1"/>
                    </wps:wsp>
                  </a:graphicData>
                </a:graphic>
              </wp:anchor>
            </w:drawing>
          </mc:Choice>
          <mc:Fallback>
            <w:pict>
              <v:rect id="_x0000_s1026" o:spid="_x0000_s1026" o:spt="1" style="position:absolute;left:0pt;margin-left:378.2pt;margin-top:192.9pt;height:19.5pt;width:44.25pt;z-index:251671552;mso-width-relative:page;mso-height-relative:page;" filled="f" stroked="f" coordsize="21600,21600" o:gfxdata="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IMarJvcAAAACwEA&#10;AA8AAAAAAAAAAQAgAAAAIgAAAGRycy9kb3ducmV2LnhtbFBLAQIUABQAAAAIAIdO4kAYoZ3WpAEA&#10;AEIDAAAOAAAAAAAAAAEAIAAAACsBAABkcnMvZTJvRG9jLnhtbFBLBQYAAAAABgAGAFkBAABBBQAA&#10;AAA=&#10;">
                <v:fill on="f" focussize="0,0"/>
                <v:stroke on="f"/>
                <v:imagedata o:title=""/>
                <o:lock v:ext="edit" aspectratio="f"/>
                <v:textbox>
                  <w:txbxContent>
                    <w:p w14:paraId="27504899">
                      <w:pPr>
                        <w:jc w:val="center"/>
                        <w:rPr>
                          <w:b/>
                          <w:bCs/>
                          <w:color w:val="FFFFFF" w:themeColor="background1"/>
                          <w14:textFill>
                            <w14:solidFill>
                              <w14:schemeClr w14:val="bg1"/>
                            </w14:solidFill>
                          </w14:textFill>
                        </w:rPr>
                      </w:pPr>
                      <w:r>
                        <w:rPr>
                          <w:rFonts w:hint="eastAsia"/>
                          <w:b/>
                          <w:bCs/>
                          <w:color w:val="FFFFFF" w:themeColor="background1"/>
                          <w:sz w:val="21"/>
                          <w:szCs w:val="21"/>
                          <w14:textFill>
                            <w14:solidFill>
                              <w14:schemeClr w14:val="bg1"/>
                            </w14:solidFill>
                          </w14:textFill>
                        </w:rPr>
                        <w:t>3.4km</w:t>
                      </w:r>
                    </w:p>
                  </w:txbxContent>
                </v:textbox>
              </v:rect>
            </w:pict>
          </mc:Fallback>
        </mc:AlternateContent>
      </w:r>
      <w:r>
        <w:rPr>
          <w:color w:val="auto"/>
          <w:sz w:val="21"/>
        </w:rPr>
        <mc:AlternateContent>
          <mc:Choice Requires="wps">
            <w:drawing>
              <wp:anchor distT="0" distB="0" distL="114300" distR="114300" simplePos="0" relativeHeight="251670528" behindDoc="0" locked="0" layoutInCell="1" allowOverlap="1">
                <wp:simplePos x="0" y="0"/>
                <wp:positionH relativeFrom="column">
                  <wp:posOffset>2945130</wp:posOffset>
                </wp:positionH>
                <wp:positionV relativeFrom="paragraph">
                  <wp:posOffset>2079625</wp:posOffset>
                </wp:positionV>
                <wp:extent cx="1315720" cy="309880"/>
                <wp:effectExtent l="4445" t="4445" r="413385" b="257175"/>
                <wp:wrapNone/>
                <wp:docPr id="87" name="自选图形 6"/>
                <wp:cNvGraphicFramePr/>
                <a:graphic xmlns:a="http://schemas.openxmlformats.org/drawingml/2006/main">
                  <a:graphicData uri="http://schemas.microsoft.com/office/word/2010/wordprocessingShape">
                    <wps:wsp>
                      <wps:cNvSpPr/>
                      <wps:spPr>
                        <a:xfrm>
                          <a:off x="0" y="0"/>
                          <a:ext cx="1315720" cy="309880"/>
                        </a:xfrm>
                        <a:prstGeom prst="wedgeRectCallout">
                          <a:avLst>
                            <a:gd name="adj1" fmla="val 78233"/>
                            <a:gd name="adj2" fmla="val 126024"/>
                          </a:avLst>
                        </a:prstGeom>
                        <a:solidFill>
                          <a:srgbClr val="FFFFFF"/>
                        </a:solidFill>
                        <a:ln w="9525" cap="flat" cmpd="sng">
                          <a:solidFill>
                            <a:srgbClr val="000000"/>
                          </a:solidFill>
                          <a:prstDash val="solid"/>
                          <a:miter/>
                          <a:headEnd type="none" w="med" len="med"/>
                          <a:tailEnd type="none" w="med" len="med"/>
                        </a:ln>
                      </wps:spPr>
                      <wps:txbx>
                        <w:txbxContent>
                          <w:p w14:paraId="2FAE06B7">
                            <w:pPr>
                              <w:jc w:val="center"/>
                            </w:pPr>
                            <w:r>
                              <w:rPr>
                                <w:rFonts w:hint="eastAsia"/>
                              </w:rPr>
                              <w:t>本项目所在位置</w:t>
                            </w:r>
                          </w:p>
                        </w:txbxContent>
                      </wps:txbx>
                      <wps:bodyPr upright="1"/>
                    </wps:wsp>
                  </a:graphicData>
                </a:graphic>
              </wp:anchor>
            </w:drawing>
          </mc:Choice>
          <mc:Fallback>
            <w:pict>
              <v:shape id="自选图形 6" o:spid="_x0000_s1026" o:spt="61" type="#_x0000_t61" style="position:absolute;left:0pt;margin-left:231.9pt;margin-top:163.75pt;height:24.4pt;width:103.6pt;z-index:251670528;mso-width-relative:page;mso-height-relative:page;" fillcolor="#FFFFFF" filled="t" stroked="t" coordsize="21600,21600" o:gfxdata="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Qg1mG9cAAAALAQAADwAAAAAAAAABACAAAAAiAAAAZHJzL2Rv&#10;d25yZXYueG1sUEsBAhQAFAAAAAgAh07iQHSOOkc7AgAAjgQAAA4AAAAAAAAAAQAgAAAAJgEAAGRy&#10;cy9lMm9Eb2MueG1sUEsFBgAAAAAGAAYAWQEAANMFAAAAAA==&#10;" adj="27698,38021">
                <v:fill on="t" focussize="0,0"/>
                <v:stroke color="#000000" joinstyle="miter"/>
                <v:imagedata o:title=""/>
                <o:lock v:ext="edit" aspectratio="f"/>
                <v:textbox>
                  <w:txbxContent>
                    <w:p w14:paraId="2FAE06B7">
                      <w:pPr>
                        <w:jc w:val="center"/>
                      </w:pPr>
                      <w:r>
                        <w:rPr>
                          <w:rFonts w:hint="eastAsia"/>
                        </w:rPr>
                        <w:t>本项目所在位置</w:t>
                      </w:r>
                    </w:p>
                  </w:txbxContent>
                </v:textbox>
              </v:shape>
            </w:pict>
          </mc:Fallback>
        </mc:AlternateContent>
      </w:r>
      <w:r>
        <w:rPr>
          <w:color w:val="auto"/>
          <w:sz w:val="21"/>
        </w:rPr>
        <mc:AlternateContent>
          <mc:Choice Requires="wps">
            <w:drawing>
              <wp:anchor distT="0" distB="0" distL="114300" distR="114300" simplePos="0" relativeHeight="251669504" behindDoc="0" locked="0" layoutInCell="1" allowOverlap="1">
                <wp:simplePos x="0" y="0"/>
                <wp:positionH relativeFrom="column">
                  <wp:posOffset>4632325</wp:posOffset>
                </wp:positionH>
                <wp:positionV relativeFrom="paragraph">
                  <wp:posOffset>2258695</wp:posOffset>
                </wp:positionV>
                <wp:extent cx="646430" cy="366395"/>
                <wp:effectExtent l="0" t="1270" r="1270" b="13335"/>
                <wp:wrapNone/>
                <wp:docPr id="55" name="直线 7"/>
                <wp:cNvGraphicFramePr/>
                <a:graphic xmlns:a="http://schemas.openxmlformats.org/drawingml/2006/main">
                  <a:graphicData uri="http://schemas.microsoft.com/office/word/2010/wordprocessingShape">
                    <wps:wsp>
                      <wps:cNvCnPr/>
                      <wps:spPr>
                        <a:xfrm flipH="1">
                          <a:off x="0" y="0"/>
                          <a:ext cx="646430" cy="366395"/>
                        </a:xfrm>
                        <a:prstGeom prst="line">
                          <a:avLst/>
                        </a:prstGeom>
                        <a:ln w="9525" cap="flat" cmpd="sng">
                          <a:solidFill>
                            <a:srgbClr val="FFFF00"/>
                          </a:solidFill>
                          <a:prstDash val="solid"/>
                          <a:headEnd type="arrow" w="med" len="med"/>
                          <a:tailEnd type="arrow" w="med" len="med"/>
                        </a:ln>
                      </wps:spPr>
                      <wps:bodyPr/>
                    </wps:wsp>
                  </a:graphicData>
                </a:graphic>
              </wp:anchor>
            </w:drawing>
          </mc:Choice>
          <mc:Fallback>
            <w:pict>
              <v:line id="直线 7" o:spid="_x0000_s1026" o:spt="20" style="position:absolute;left:0pt;flip:x;margin-left:364.75pt;margin-top:177.85pt;height:28.85pt;width:50.9pt;z-index:251669504;mso-width-relative:page;mso-height-relative:page;" filled="f" stroked="t" coordsize="21600,21600" o:gfxdata="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rxAXPbAAAACwEAAA8AAAAAAAAAAQAgAAAAIgAAAGRycy9kb3ducmV2LnhtbFBLAQIU&#10;ABQAAAAIAIdO4kDR6Bln8AEAAOADAAAOAAAAAAAAAAEAIAAAACoBAABkcnMvZTJvRG9jLnhtbFBL&#10;BQYAAAAABgAGAFkBAACMBQAAAAA=&#10;">
                <v:fill on="f" focussize="0,0"/>
                <v:stroke color="#FFFF00" joinstyle="round" startarrow="open" endarrow="open"/>
                <v:imagedata o:title=""/>
                <o:lock v:ext="edit" aspectratio="f"/>
              </v:line>
            </w:pict>
          </mc:Fallback>
        </mc:AlternateContent>
      </w:r>
      <w:r>
        <w:rPr>
          <w:color w:val="auto"/>
        </w:rPr>
        <w:drawing>
          <wp:inline distT="0" distB="0" distL="114300" distR="114300">
            <wp:extent cx="7983220" cy="5410835"/>
            <wp:effectExtent l="9525" t="9525" r="27305" b="27940"/>
            <wp:docPr id="5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
                    <pic:cNvPicPr>
                      <a:picLocks noChangeAspect="1"/>
                    </pic:cNvPicPr>
                  </pic:nvPicPr>
                  <pic:blipFill>
                    <a:blip r:embed="rId33"/>
                    <a:stretch>
                      <a:fillRect/>
                    </a:stretch>
                  </pic:blipFill>
                  <pic:spPr>
                    <a:xfrm>
                      <a:off x="0" y="0"/>
                      <a:ext cx="7983220" cy="5410835"/>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3E4DC859">
      <w:pPr>
        <w:pStyle w:val="38"/>
        <w:spacing w:line="400" w:lineRule="exact"/>
        <w:ind w:firstLine="3855" w:firstLineChars="1600"/>
        <w:jc w:val="both"/>
        <w:rPr>
          <w:b/>
          <w:bCs/>
          <w:color w:val="auto"/>
        </w:rPr>
      </w:pPr>
      <w:r>
        <w:rPr>
          <w:b/>
          <w:bCs/>
          <w:color w:val="auto"/>
        </w:rPr>
        <w:t>附图</w:t>
      </w:r>
      <w:r>
        <w:rPr>
          <w:rFonts w:hint="eastAsia"/>
          <w:b/>
          <w:bCs/>
          <w:color w:val="auto"/>
        </w:rPr>
        <w:t>6</w:t>
      </w:r>
      <w:r>
        <w:rPr>
          <w:b/>
          <w:bCs/>
          <w:color w:val="auto"/>
        </w:rPr>
        <w:t xml:space="preserve">  </w:t>
      </w:r>
      <w:r>
        <w:rPr>
          <w:rFonts w:hint="eastAsia"/>
          <w:b/>
          <w:bCs/>
          <w:color w:val="auto"/>
        </w:rPr>
        <w:t xml:space="preserve">          </w:t>
      </w:r>
      <w:r>
        <w:rPr>
          <w:b/>
          <w:bCs/>
          <w:color w:val="auto"/>
        </w:rPr>
        <w:t>本项目与西鄂尔多斯保护区位置关系图</w:t>
      </w:r>
    </w:p>
    <w:p w14:paraId="48C54307">
      <w:pPr>
        <w:pStyle w:val="38"/>
        <w:spacing w:line="240" w:lineRule="auto"/>
        <w:ind w:firstLine="0" w:firstLineChars="0"/>
        <w:jc w:val="center"/>
        <w:rPr>
          <w:color w:val="auto"/>
        </w:rPr>
      </w:pPr>
    </w:p>
    <w:p w14:paraId="1B0D9C82">
      <w:pPr>
        <w:pStyle w:val="38"/>
        <w:spacing w:line="240" w:lineRule="auto"/>
        <w:ind w:firstLine="0" w:firstLineChars="0"/>
        <w:jc w:val="center"/>
        <w:rPr>
          <w:b/>
          <w:bCs/>
          <w:color w:val="auto"/>
        </w:rPr>
      </w:pPr>
    </w:p>
    <w:p w14:paraId="03FB861B">
      <w:pPr>
        <w:pStyle w:val="24"/>
        <w:ind w:left="480" w:firstLine="0"/>
        <w:jc w:val="center"/>
        <w:rPr>
          <w:color w:val="auto"/>
          <w:kern w:val="2"/>
          <w:sz w:val="28"/>
        </w:rPr>
      </w:pPr>
      <w:r>
        <w:rPr>
          <w:color w:val="auto"/>
        </w:rPr>
        <mc:AlternateContent>
          <mc:Choice Requires="wps">
            <w:drawing>
              <wp:anchor distT="0" distB="0" distL="114300" distR="114300" simplePos="0" relativeHeight="251672576" behindDoc="0" locked="0" layoutInCell="1" allowOverlap="1">
                <wp:simplePos x="0" y="0"/>
                <wp:positionH relativeFrom="column">
                  <wp:posOffset>276225</wp:posOffset>
                </wp:positionH>
                <wp:positionV relativeFrom="paragraph">
                  <wp:posOffset>1901825</wp:posOffset>
                </wp:positionV>
                <wp:extent cx="1322070" cy="323850"/>
                <wp:effectExtent l="5080" t="4445" r="101600" b="300355"/>
                <wp:wrapNone/>
                <wp:docPr id="230" name="矩形标注 230"/>
                <wp:cNvGraphicFramePr/>
                <a:graphic xmlns:a="http://schemas.openxmlformats.org/drawingml/2006/main">
                  <a:graphicData uri="http://schemas.microsoft.com/office/word/2010/wordprocessingShape">
                    <wps:wsp>
                      <wps:cNvSpPr/>
                      <wps:spPr>
                        <a:xfrm>
                          <a:off x="0" y="0"/>
                          <a:ext cx="1322070" cy="323850"/>
                        </a:xfrm>
                        <a:prstGeom prst="wedgeRectCallout">
                          <a:avLst>
                            <a:gd name="adj1" fmla="val 56772"/>
                            <a:gd name="adj2" fmla="val 137254"/>
                          </a:avLst>
                        </a:prstGeom>
                        <a:solidFill>
                          <a:srgbClr val="FFFF00"/>
                        </a:solidFill>
                        <a:ln w="9525" cap="flat" cmpd="sng" algn="ctr">
                          <a:solidFill>
                            <a:srgbClr val="000000"/>
                          </a:solidFill>
                          <a:prstDash val="solid"/>
                        </a:ln>
                        <a:effectLst/>
                      </wps:spPr>
                      <wps:txbx>
                        <w:txbxContent>
                          <w:p w14:paraId="42237610">
                            <w:pPr>
                              <w:jc w:val="center"/>
                            </w:pPr>
                            <w:r>
                              <w:rPr>
                                <w:rFonts w:hint="eastAsia"/>
                                <w:color w:val="000000"/>
                              </w:rPr>
                              <w:t>本项目所在位置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1.75pt;margin-top:149.75pt;height:25.5pt;width:104.1pt;z-index:251672576;v-text-anchor:middle;mso-width-relative:page;mso-height-relative:page;" fillcolor="#FFFF00" filled="t" stroked="t" coordsize="21600,21600" o:gfxdata="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D3te682QAAAAoBAAAPAAAAAAAAAAEAIAAAACIAAABkcnMvZG93&#10;bnJldi54bWxQSwECFAAUAAAACACHTuJAREzk0KoCAABdBQAADgAAAAAAAAABACAAAAAoAQAAZHJz&#10;L2Uyb0RvYy54bWxQSwUGAAAAAAYABgBZAQAARAYAAAAA&#10;" adj="23063,40447">
                <v:fill on="t" focussize="0,0"/>
                <v:stroke color="#000000" joinstyle="round"/>
                <v:imagedata o:title=""/>
                <o:lock v:ext="edit" aspectratio="f"/>
                <v:textbox>
                  <w:txbxContent>
                    <w:p w14:paraId="42237610">
                      <w:pPr>
                        <w:jc w:val="center"/>
                      </w:pPr>
                      <w:r>
                        <w:rPr>
                          <w:rFonts w:hint="eastAsia"/>
                          <w:color w:val="000000"/>
                        </w:rPr>
                        <w:t>本项目所在位置</w:t>
                      </w:r>
                    </w:p>
                  </w:txbxContent>
                </v:textbox>
              </v:shape>
            </w:pict>
          </mc:Fallback>
        </mc:AlternateContent>
      </w:r>
      <w:r>
        <w:rPr>
          <w:color w:val="auto"/>
          <w:kern w:val="2"/>
          <w:sz w:val="28"/>
        </w:rPr>
        <w:drawing>
          <wp:inline distT="0" distB="0" distL="114300" distR="114300">
            <wp:extent cx="8241665" cy="5831840"/>
            <wp:effectExtent l="0" t="0" r="6985" b="16510"/>
            <wp:docPr id="89" name="图片 2" descr="W020240809404462886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2" descr="W020240809404462886240"/>
                    <pic:cNvPicPr>
                      <a:picLocks noChangeAspect="1"/>
                    </pic:cNvPicPr>
                  </pic:nvPicPr>
                  <pic:blipFill>
                    <a:blip r:embed="rId34"/>
                    <a:stretch>
                      <a:fillRect/>
                    </a:stretch>
                  </pic:blipFill>
                  <pic:spPr>
                    <a:xfrm>
                      <a:off x="0" y="0"/>
                      <a:ext cx="8241665" cy="5831840"/>
                    </a:xfrm>
                    <a:prstGeom prst="rect">
                      <a:avLst/>
                    </a:prstGeom>
                    <a:noFill/>
                    <a:ln>
                      <a:noFill/>
                    </a:ln>
                  </pic:spPr>
                </pic:pic>
              </a:graphicData>
            </a:graphic>
          </wp:inline>
        </w:drawing>
      </w:r>
    </w:p>
    <w:p w14:paraId="635466C4">
      <w:pPr>
        <w:pStyle w:val="24"/>
        <w:ind w:left="480" w:firstLine="0"/>
        <w:jc w:val="center"/>
        <w:rPr>
          <w:b/>
          <w:bCs/>
          <w:color w:val="auto"/>
        </w:rPr>
        <w:sectPr>
          <w:footerReference r:id="rId12" w:type="default"/>
          <w:pgSz w:w="16838" w:h="11906" w:orient="landscape"/>
          <w:pgMar w:top="1134" w:right="850" w:bottom="850" w:left="1134" w:header="851" w:footer="850" w:gutter="0"/>
          <w:pgBorders>
            <w:top w:val="none" w:sz="0" w:space="0"/>
            <w:left w:val="none" w:sz="0" w:space="0"/>
            <w:bottom w:val="none" w:sz="0" w:space="0"/>
            <w:right w:val="none" w:sz="0" w:space="0"/>
          </w:pgBorders>
          <w:cols w:space="720" w:num="1"/>
          <w:docGrid w:linePitch="312" w:charSpace="0"/>
        </w:sectPr>
      </w:pPr>
      <w:r>
        <w:rPr>
          <w:b/>
          <w:bCs/>
          <w:color w:val="auto"/>
        </w:rPr>
        <w:t>附图</w:t>
      </w:r>
      <w:r>
        <w:rPr>
          <w:rFonts w:hint="eastAsia"/>
          <w:b/>
          <w:bCs/>
          <w:color w:val="auto"/>
        </w:rPr>
        <w:t xml:space="preserve">7    </w:t>
      </w:r>
      <w:r>
        <w:rPr>
          <w:b/>
          <w:bCs/>
          <w:color w:val="auto"/>
        </w:rPr>
        <w:t>鄂尔多斯市生态环境分区管控单元图</w:t>
      </w:r>
    </w:p>
    <w:p w14:paraId="5C0F3190">
      <w:pPr>
        <w:pStyle w:val="38"/>
        <w:spacing w:line="240" w:lineRule="auto"/>
        <w:ind w:firstLine="0" w:firstLineChars="0"/>
        <w:jc w:val="center"/>
        <w:rPr>
          <w:b/>
          <w:bCs/>
          <w:color w:val="auto"/>
        </w:rPr>
      </w:pPr>
      <w:r>
        <w:rPr>
          <w:b/>
          <w:bCs/>
          <w:color w:val="auto"/>
        </w:rPr>
        <w:drawing>
          <wp:inline distT="0" distB="0" distL="114300" distR="114300">
            <wp:extent cx="8886825" cy="5193665"/>
            <wp:effectExtent l="9525" t="9525" r="19050" b="16510"/>
            <wp:docPr id="90" name="图片 90" descr="三线一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三线一单"/>
                    <pic:cNvPicPr>
                      <a:picLocks noChangeAspect="1"/>
                    </pic:cNvPicPr>
                  </pic:nvPicPr>
                  <pic:blipFill>
                    <a:blip r:embed="rId35"/>
                    <a:stretch>
                      <a:fillRect/>
                    </a:stretch>
                  </pic:blipFill>
                  <pic:spPr>
                    <a:xfrm>
                      <a:off x="0" y="0"/>
                      <a:ext cx="8886825" cy="5193665"/>
                    </a:xfrm>
                    <a:prstGeom prst="rect">
                      <a:avLst/>
                    </a:prstGeom>
                    <a:ln>
                      <a:solidFill>
                        <a:schemeClr val="tx1"/>
                      </a:solidFill>
                    </a:ln>
                  </pic:spPr>
                </pic:pic>
              </a:graphicData>
            </a:graphic>
          </wp:inline>
        </w:drawing>
      </w:r>
    </w:p>
    <w:p w14:paraId="7D96D96E">
      <w:pPr>
        <w:pStyle w:val="38"/>
        <w:spacing w:line="400" w:lineRule="exact"/>
        <w:ind w:firstLine="2891" w:firstLineChars="1200"/>
        <w:jc w:val="both"/>
        <w:rPr>
          <w:b/>
          <w:bCs/>
          <w:color w:val="auto"/>
        </w:rPr>
        <w:sectPr>
          <w:pgSz w:w="16838" w:h="11906" w:orient="landscape"/>
          <w:pgMar w:top="1304" w:right="1417" w:bottom="1304" w:left="1417" w:header="851" w:footer="851" w:gutter="0"/>
          <w:pgBorders>
            <w:top w:val="none" w:sz="0" w:space="0"/>
            <w:left w:val="none" w:sz="0" w:space="0"/>
            <w:bottom w:val="none" w:sz="0" w:space="0"/>
            <w:right w:val="none" w:sz="0" w:space="0"/>
          </w:pgBorders>
          <w:cols w:space="0" w:num="1"/>
          <w:docGrid w:linePitch="312" w:charSpace="0"/>
        </w:sectPr>
      </w:pPr>
      <w:r>
        <w:rPr>
          <w:rFonts w:hint="eastAsia"/>
          <w:b/>
          <w:bCs/>
          <w:color w:val="auto"/>
        </w:rPr>
        <w:t xml:space="preserve">附图8        </w:t>
      </w:r>
      <w:r>
        <w:rPr>
          <w:b/>
          <w:bCs/>
          <w:color w:val="auto"/>
        </w:rPr>
        <w:t>本项目在内蒙古自治区“三线一单”公众端应用平台查询结果</w:t>
      </w:r>
    </w:p>
    <w:p w14:paraId="2A533644">
      <w:pPr>
        <w:pStyle w:val="98"/>
        <w:adjustRightInd w:val="0"/>
        <w:snapToGrid w:val="0"/>
        <w:spacing w:line="240" w:lineRule="auto"/>
        <w:ind w:firstLine="0" w:firstLineChars="0"/>
        <w:jc w:val="center"/>
        <w:rPr>
          <w:color w:val="auto"/>
        </w:rPr>
      </w:pPr>
      <w:r>
        <w:rPr>
          <w:color w:val="auto"/>
          <w:sz w:val="21"/>
        </w:rPr>
        <mc:AlternateContent>
          <mc:Choice Requires="wps">
            <w:drawing>
              <wp:anchor distT="0" distB="0" distL="114300" distR="114300" simplePos="0" relativeHeight="251687936" behindDoc="0" locked="0" layoutInCell="1" allowOverlap="1">
                <wp:simplePos x="0" y="0"/>
                <wp:positionH relativeFrom="column">
                  <wp:posOffset>7479030</wp:posOffset>
                </wp:positionH>
                <wp:positionV relativeFrom="paragraph">
                  <wp:posOffset>5436235</wp:posOffset>
                </wp:positionV>
                <wp:extent cx="190500" cy="136525"/>
                <wp:effectExtent l="15240" t="0" r="41910" b="0"/>
                <wp:wrapNone/>
                <wp:docPr id="248" name="任意多边形 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8820000">
                          <a:off x="0" y="0"/>
                          <a:ext cx="190500" cy="136525"/>
                        </a:xfrm>
                        <a:custGeom>
                          <a:avLst/>
                          <a:gdLst/>
                          <a:ahLst/>
                          <a:cxnLst>
                            <a:cxn ang="0">
                              <a:pos x="387619" y="0"/>
                            </a:cxn>
                            <a:cxn ang="0">
                              <a:pos x="431800" y="68454"/>
                            </a:cxn>
                            <a:cxn ang="0">
                              <a:pos x="156715" y="237921"/>
                            </a:cxn>
                            <a:cxn ang="0">
                              <a:pos x="181722" y="281332"/>
                            </a:cxn>
                            <a:cxn ang="0">
                              <a:pos x="0" y="313055"/>
                            </a:cxn>
                            <a:cxn ang="0">
                              <a:pos x="106699" y="187833"/>
                            </a:cxn>
                            <a:cxn ang="0">
                              <a:pos x="131707" y="212877"/>
                            </a:cxn>
                            <a:cxn ang="0">
                              <a:pos x="387619" y="0"/>
                            </a:cxn>
                          </a:cxnLst>
                          <a:rect l="0" t="0" r="0" b="0"/>
                          <a:pathLst>
                            <a:path w="328930" h="238125">
                              <a:moveTo>
                                <a:pt x="295275" y="0"/>
                              </a:moveTo>
                              <a:lnTo>
                                <a:pt x="328930" y="52070"/>
                              </a:lnTo>
                              <a:lnTo>
                                <a:pt x="119380" y="180975"/>
                              </a:lnTo>
                              <a:lnTo>
                                <a:pt x="138430" y="213995"/>
                              </a:lnTo>
                              <a:lnTo>
                                <a:pt x="0" y="238125"/>
                              </a:lnTo>
                              <a:lnTo>
                                <a:pt x="81280" y="142875"/>
                              </a:lnTo>
                              <a:lnTo>
                                <a:pt x="100330" y="161925"/>
                              </a:lnTo>
                              <a:lnTo>
                                <a:pt x="295275" y="0"/>
                              </a:lnTo>
                              <a:close/>
                            </a:path>
                          </a:pathLst>
                        </a:custGeom>
                        <a:solidFill>
                          <a:srgbClr val="0074F0"/>
                        </a:solidFill>
                        <a:ln w="19050" cap="flat" cmpd="sng">
                          <a:solidFill>
                            <a:srgbClr val="0074F0"/>
                          </a:solidFill>
                          <a:prstDash val="solid"/>
                          <a:round/>
                          <a:headEnd type="none" w="med" len="med"/>
                          <a:tailEnd type="none" w="med" len="med"/>
                        </a:ln>
                      </wps:spPr>
                      <wps:bodyPr wrap="square" upright="1"/>
                    </wps:wsp>
                  </a:graphicData>
                </a:graphic>
              </wp:anchor>
            </w:drawing>
          </mc:Choice>
          <mc:Fallback>
            <w:pict>
              <v:shape id="任意多边形 68" o:spid="_x0000_s1026" o:spt="100" style="position:absolute;left:0pt;margin-left:588.9pt;margin-top:428.05pt;height:10.75pt;width:15pt;rotation:-9633792f;z-index:251687936;mso-width-relative:page;mso-height-relative:page;" fillcolor="#0074F0" filled="t" stroked="t" coordsize="328930,238125" o:gfxdata="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" path="m295275,0l328930,52070,119380,180975,138430,213995,0,238125,81280,142875,100330,161925,295275,0xe">
                <v:path o:connectlocs="387619,0;431800,68454;156715,237921;181722,281332;0,313055;106699,187833;131707,212877;387619,0" o:connectangles="0,0,0,0,0,0,0,0"/>
                <v:fill on="t" focussize="0,0"/>
                <v:stroke weight="1.5pt" color="#0074F0" joinstyle="round"/>
                <v:imagedata o:title=""/>
                <o:lock v:ext="edit" aspectratio="t"/>
              </v:shape>
            </w:pict>
          </mc:Fallback>
        </mc:AlternateContent>
      </w:r>
      <w:r>
        <w:rPr>
          <w:color w:val="auto"/>
        </w:rPr>
        <mc:AlternateContent>
          <mc:Choice Requires="wps">
            <w:drawing>
              <wp:anchor distT="0" distB="0" distL="114300" distR="114300" simplePos="0" relativeHeight="251680768" behindDoc="0" locked="0" layoutInCell="1" allowOverlap="1">
                <wp:simplePos x="0" y="0"/>
                <wp:positionH relativeFrom="column">
                  <wp:posOffset>7537450</wp:posOffset>
                </wp:positionH>
                <wp:positionV relativeFrom="paragraph">
                  <wp:posOffset>5207000</wp:posOffset>
                </wp:positionV>
                <wp:extent cx="104775" cy="95250"/>
                <wp:effectExtent l="15240" t="14605" r="32385" b="23495"/>
                <wp:wrapNone/>
                <wp:docPr id="100" name="五角星 100"/>
                <wp:cNvGraphicFramePr/>
                <a:graphic xmlns:a="http://schemas.openxmlformats.org/drawingml/2006/main">
                  <a:graphicData uri="http://schemas.microsoft.com/office/word/2010/wordprocessingShape">
                    <wps:wsp>
                      <wps:cNvSpPr/>
                      <wps:spPr>
                        <a:xfrm>
                          <a:off x="0" y="0"/>
                          <a:ext cx="104775" cy="95250"/>
                        </a:xfrm>
                        <a:prstGeom prst="star5">
                          <a:avLst/>
                        </a:prstGeom>
                        <a:solidFill>
                          <a:srgbClr val="0070C0"/>
                        </a:solidFill>
                        <a:ln w="9525" cap="flat" cmpd="sng">
                          <a:solidFill>
                            <a:srgbClr val="0070C0"/>
                          </a:solidFill>
                          <a:prstDash val="solid"/>
                          <a:miter/>
                          <a:headEnd type="none" w="med" len="med"/>
                          <a:tailEnd type="none" w="med" len="med"/>
                        </a:ln>
                      </wps:spPr>
                      <wps:bodyPr upright="1"/>
                    </wps:wsp>
                  </a:graphicData>
                </a:graphic>
              </wp:anchor>
            </w:drawing>
          </mc:Choice>
          <mc:Fallback>
            <w:pict>
              <v:shape id="_x0000_s1026" o:spid="_x0000_s1026" style="position:absolute;left:0pt;margin-left:593.5pt;margin-top:410pt;height:7.5pt;width:8.25pt;z-index:251680768;mso-width-relative:page;mso-height-relative:page;" fillcolor="#0070C0" filled="t" stroked="t" coordsize="104775,95250" o:gfxdata="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7yeel2QAAAA0BAAAPAAAAAAAAAAEAIAAAACIAAABkcnMvZG93bnJl&#10;di54bWxQSwECFAAUAAAACACHTuJAtfSbhfwBAAAkBAAADgAAAAAAAAABACAAAAAoAQAAZHJzL2Uy&#10;b0RvYy54bWxQSwUGAAAAAAYABgBZAQAAlgUAAAAA&#10;" path="m0,36382l40020,36382,52387,0,64754,36382,104774,36382,72397,58867,84764,95249,52387,72764,20010,95249,32377,58867xe">
                <v:path o:connectlocs="52387,0;0,36382;20010,95249;84764,95249;104774,36382" o:connectangles="247,164,82,82,0"/>
                <v:fill on="t" focussize="0,0"/>
                <v:stroke color="#0070C0" joinstyle="miter"/>
                <v:imagedata o:title=""/>
                <o:lock v:ext="edit" aspectratio="f"/>
              </v:shape>
            </w:pict>
          </mc:Fallback>
        </mc:AlternateContent>
      </w:r>
      <w:r>
        <w:rPr>
          <w:color w:val="auto"/>
        </w:rPr>
        <mc:AlternateContent>
          <mc:Choice Requires="wps">
            <w:drawing>
              <wp:anchor distT="0" distB="0" distL="114300" distR="114300" simplePos="0" relativeHeight="251684864" behindDoc="0" locked="0" layoutInCell="1" allowOverlap="1">
                <wp:simplePos x="0" y="0"/>
                <wp:positionH relativeFrom="column">
                  <wp:posOffset>7527290</wp:posOffset>
                </wp:positionH>
                <wp:positionV relativeFrom="paragraph">
                  <wp:posOffset>4940300</wp:posOffset>
                </wp:positionV>
                <wp:extent cx="114300" cy="123825"/>
                <wp:effectExtent l="4445" t="5080" r="14605" b="4445"/>
                <wp:wrapNone/>
                <wp:docPr id="99" name="矩形 99"/>
                <wp:cNvGraphicFramePr/>
                <a:graphic xmlns:a="http://schemas.openxmlformats.org/drawingml/2006/main">
                  <a:graphicData uri="http://schemas.microsoft.com/office/word/2010/wordprocessingShape">
                    <wps:wsp>
                      <wps:cNvSpPr/>
                      <wps:spPr>
                        <a:xfrm>
                          <a:off x="0" y="0"/>
                          <a:ext cx="114300" cy="12382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592.7pt;margin-top:389pt;height:9.75pt;width:9pt;z-index:251684864;mso-width-relative:page;mso-height-relative:page;" fillcolor="#FFFFFF" filled="t" stroked="t" coordsize="21600,21600" o:gfxdata="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8m4XTaAAAADQEAAA8AAAAAAAAAAQAgAAAAIgAAAGRycy9kb3ducmV2&#10;LnhtbFBLAQIUABQAAAAIAIdO4kAnnMPv+gEAAB8EAAAOAAAAAAAAAAEAIAAAACkBAABkcnMvZTJv&#10;RG9jLnhtbFBLBQYAAAAABgAGAFkBAACVBQAAAAA=&#10;">
                <v:fill on="t" focussize="0,0"/>
                <v:stroke color="#000000" joinstyle="miter"/>
                <v:imagedata o:title=""/>
                <o:lock v:ext="edit" aspectratio="f"/>
              </v:rect>
            </w:pict>
          </mc:Fallback>
        </mc:AlternateContent>
      </w:r>
      <w:r>
        <w:rPr>
          <w:color w:val="auto"/>
        </w:rPr>
        <mc:AlternateContent>
          <mc:Choice Requires="wps">
            <w:drawing>
              <wp:anchor distT="0" distB="0" distL="114300" distR="114300" simplePos="0" relativeHeight="251678720" behindDoc="0" locked="0" layoutInCell="1" allowOverlap="1">
                <wp:simplePos x="0" y="0"/>
                <wp:positionH relativeFrom="column">
                  <wp:posOffset>7537450</wp:posOffset>
                </wp:positionH>
                <wp:positionV relativeFrom="paragraph">
                  <wp:posOffset>4692650</wp:posOffset>
                </wp:positionV>
                <wp:extent cx="90170" cy="90170"/>
                <wp:effectExtent l="4445" t="4445" r="19685" b="19685"/>
                <wp:wrapNone/>
                <wp:docPr id="96" name="椭圆 9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90170" cy="90170"/>
                        </a:xfrm>
                        <a:prstGeom prst="ellipse">
                          <a:avLst/>
                        </a:prstGeom>
                        <a:solidFill>
                          <a:srgbClr val="FF0000"/>
                        </a:solidFill>
                        <a:ln w="9525" cap="flat" cmpd="sng">
                          <a:solidFill>
                            <a:srgbClr val="FF0000"/>
                          </a:solidFill>
                          <a:prstDash val="solid"/>
                          <a:headEnd type="none" w="med" len="med"/>
                          <a:tailEnd type="none" w="med" len="med"/>
                        </a:ln>
                      </wps:spPr>
                      <wps:txbx>
                        <w:txbxContent>
                          <w:p w14:paraId="1BB42377">
                            <w:pPr>
                              <w:tabs>
                                <w:tab w:val="left" w:pos="7380"/>
                              </w:tabs>
                            </w:pPr>
                          </w:p>
                        </w:txbxContent>
                      </wps:txbx>
                      <wps:bodyPr upright="1"/>
                    </wps:wsp>
                  </a:graphicData>
                </a:graphic>
              </wp:anchor>
            </w:drawing>
          </mc:Choice>
          <mc:Fallback>
            <w:pict>
              <v:shape id="_x0000_s1026" o:spid="_x0000_s1026" o:spt="3" type="#_x0000_t3" style="position:absolute;left:0pt;margin-left:593.5pt;margin-top:369.5pt;height:7.1pt;width:7.1pt;z-index:251678720;mso-width-relative:page;mso-height-relative:page;" fillcolor="#FF0000" filled="t" stroked="t" coordsize="21600,21600" o:gfxdata="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b4h/U9kAAAANAQAADwAAAAAAAAABACAA&#10;AAAiAAAAZHJzL2Rvd25yZXYueG1sUEsBAhQAFAAAAAgAh07iQHT8Hd8MAgAATQQAAA4AAAAAAAAA&#10;AQAgAAAAKAEAAGRycy9lMm9Eb2MueG1sUEsFBgAAAAAGAAYAWQEAAKYFAAAAAA==&#10;">
                <v:fill on="t" focussize="0,0"/>
                <v:stroke color="#FF0000" joinstyle="round"/>
                <v:imagedata o:title=""/>
                <o:lock v:ext="edit" aspectratio="t"/>
                <v:textbox>
                  <w:txbxContent>
                    <w:p w14:paraId="1BB42377">
                      <w:pPr>
                        <w:tabs>
                          <w:tab w:val="left" w:pos="7380"/>
                        </w:tabs>
                      </w:pPr>
                    </w:p>
                  </w:txbxContent>
                </v:textbox>
              </v:shape>
            </w:pict>
          </mc:Fallback>
        </mc:AlternateContent>
      </w:r>
      <w:r>
        <w:rPr>
          <w:rFonts w:ascii="宋体" w:hAnsi="宋体" w:cs="宋体"/>
          <w:color w:val="auto"/>
          <w:kern w:val="0"/>
        </w:rPr>
        <mc:AlternateContent>
          <mc:Choice Requires="wps">
            <w:drawing>
              <wp:anchor distT="0" distB="0" distL="114300" distR="114300" simplePos="0" relativeHeight="251676672" behindDoc="0" locked="0" layoutInCell="1" allowOverlap="1">
                <wp:simplePos x="0" y="0"/>
                <wp:positionH relativeFrom="column">
                  <wp:posOffset>7400925</wp:posOffset>
                </wp:positionH>
                <wp:positionV relativeFrom="paragraph">
                  <wp:posOffset>4310380</wp:posOffset>
                </wp:positionV>
                <wp:extent cx="1339215" cy="1322070"/>
                <wp:effectExtent l="6350" t="6350" r="6985" b="24130"/>
                <wp:wrapNone/>
                <wp:docPr id="97" name="矩形 97"/>
                <wp:cNvGraphicFramePr/>
                <a:graphic xmlns:a="http://schemas.openxmlformats.org/drawingml/2006/main">
                  <a:graphicData uri="http://schemas.microsoft.com/office/word/2010/wordprocessingShape">
                    <wps:wsp>
                      <wps:cNvSpPr/>
                      <wps:spPr>
                        <a:xfrm>
                          <a:off x="0" y="0"/>
                          <a:ext cx="1339215" cy="132207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3581D81">
                            <w:pPr>
                              <w:tabs>
                                <w:tab w:val="left" w:pos="7380"/>
                              </w:tabs>
                              <w:snapToGrid w:val="0"/>
                              <w:spacing w:line="400" w:lineRule="exact"/>
                              <w:jc w:val="center"/>
                              <w:rPr>
                                <w:rFonts w:hint="eastAsia" w:ascii="宋体" w:hAnsi="宋体"/>
                                <w:b/>
                                <w:sz w:val="21"/>
                                <w:szCs w:val="21"/>
                              </w:rPr>
                            </w:pPr>
                            <w:r>
                              <w:rPr>
                                <w:rFonts w:hint="eastAsia" w:ascii="宋体" w:hAnsi="宋体"/>
                                <w:b/>
                                <w:sz w:val="21"/>
                                <w:szCs w:val="21"/>
                              </w:rPr>
                              <w:t>图    例</w:t>
                            </w:r>
                          </w:p>
                          <w:p w14:paraId="6AB3AF18">
                            <w:pPr>
                              <w:tabs>
                                <w:tab w:val="left" w:pos="7380"/>
                              </w:tabs>
                              <w:spacing w:line="400" w:lineRule="exact"/>
                              <w:ind w:firstLine="482"/>
                              <w:rPr>
                                <w:rFonts w:hint="eastAsia" w:ascii="宋体" w:hAnsi="宋体" w:cs="宋体"/>
                                <w:sz w:val="21"/>
                                <w:szCs w:val="21"/>
                              </w:rPr>
                            </w:pPr>
                            <w:r>
                              <w:rPr>
                                <w:rFonts w:hint="eastAsia" w:ascii="宋体" w:hAnsi="宋体" w:cs="宋体"/>
                                <w:sz w:val="21"/>
                                <w:szCs w:val="21"/>
                              </w:rPr>
                              <w:t>大气监测点</w:t>
                            </w:r>
                          </w:p>
                          <w:p w14:paraId="0D0BE814">
                            <w:pPr>
                              <w:pStyle w:val="34"/>
                              <w:tabs>
                                <w:tab w:val="left" w:pos="7380"/>
                              </w:tabs>
                              <w:spacing w:line="400" w:lineRule="exact"/>
                              <w:rPr>
                                <w:rFonts w:hint="eastAsia" w:ascii="宋体" w:hAnsi="宋体" w:eastAsia="宋体" w:cs="宋体"/>
                                <w:sz w:val="21"/>
                                <w:szCs w:val="21"/>
                              </w:rPr>
                            </w:pPr>
                            <w:r>
                              <w:rPr>
                                <w:rFonts w:hint="eastAsia" w:ascii="宋体" w:hAnsi="宋体" w:eastAsia="宋体" w:cs="宋体"/>
                                <w:sz w:val="21"/>
                                <w:szCs w:val="21"/>
                              </w:rPr>
                              <w:t>地下水监测点</w:t>
                            </w:r>
                          </w:p>
                          <w:p w14:paraId="57A7C393">
                            <w:pPr>
                              <w:pStyle w:val="34"/>
                              <w:tabs>
                                <w:tab w:val="left" w:pos="7380"/>
                              </w:tabs>
                              <w:spacing w:line="400" w:lineRule="exact"/>
                              <w:ind w:firstLine="482"/>
                              <w:rPr>
                                <w:rFonts w:hint="eastAsia" w:ascii="宋体" w:hAnsi="宋体" w:eastAsia="宋体" w:cs="宋体"/>
                                <w:sz w:val="21"/>
                                <w:szCs w:val="21"/>
                              </w:rPr>
                            </w:pPr>
                            <w:r>
                              <w:rPr>
                                <w:rFonts w:hint="eastAsia" w:ascii="宋体" w:hAnsi="宋体" w:eastAsia="宋体" w:cs="宋体"/>
                                <w:sz w:val="21"/>
                                <w:szCs w:val="21"/>
                              </w:rPr>
                              <w:t>土壤监测点</w:t>
                            </w:r>
                          </w:p>
                          <w:p w14:paraId="637B13CF">
                            <w:pPr>
                              <w:pStyle w:val="34"/>
                              <w:tabs>
                                <w:tab w:val="left" w:pos="7380"/>
                              </w:tabs>
                              <w:spacing w:line="400" w:lineRule="exact"/>
                              <w:ind w:firstLine="482"/>
                              <w:rPr>
                                <w:rFonts w:hint="eastAsia" w:ascii="宋体" w:hAnsi="宋体" w:eastAsia="宋体" w:cs="宋体"/>
                                <w:sz w:val="21"/>
                                <w:szCs w:val="21"/>
                              </w:rPr>
                            </w:pPr>
                            <w:r>
                              <w:rPr>
                                <w:rFonts w:hint="eastAsia" w:ascii="宋体" w:hAnsi="宋体" w:eastAsia="宋体" w:cs="宋体"/>
                                <w:sz w:val="21"/>
                                <w:szCs w:val="21"/>
                              </w:rPr>
                              <w:t>地下水流向</w:t>
                            </w:r>
                          </w:p>
                        </w:txbxContent>
                      </wps:txbx>
                      <wps:bodyPr lIns="91440" tIns="10800" rIns="91440" bIns="10800" upright="1"/>
                    </wps:wsp>
                  </a:graphicData>
                </a:graphic>
              </wp:anchor>
            </w:drawing>
          </mc:Choice>
          <mc:Fallback>
            <w:pict>
              <v:rect id="_x0000_s1026" o:spid="_x0000_s1026" o:spt="1" style="position:absolute;left:0pt;margin-left:582.75pt;margin-top:339.4pt;height:104.1pt;width:105.45pt;z-index:251676672;mso-width-relative:page;mso-height-relative:page;" fillcolor="#FFFFFF" filled="t" stroked="t" coordsize="21600,21600" o:gfxdata="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HrVSv&#10;2gAAAA0BAAAPAAAAAAAAAAEAIAAAACIAAABkcnMvZG93bnJldi54bWxQSwECFAAUAAAACACHTuJA&#10;Yy+awx8CAABhBAAADgAAAAAAAAABACAAAAApAQAAZHJzL2Uyb0RvYy54bWxQSwUGAAAAAAYABgBZ&#10;AQAAugUAAAAA&#10;">
                <v:fill on="t" focussize="0,0"/>
                <v:stroke weight="1pt" color="#000000" joinstyle="miter"/>
                <v:imagedata o:title=""/>
                <o:lock v:ext="edit" aspectratio="f"/>
                <v:textbox inset="2.54mm,0.3mm,2.54mm,0.3mm">
                  <w:txbxContent>
                    <w:p w14:paraId="43581D81">
                      <w:pPr>
                        <w:tabs>
                          <w:tab w:val="left" w:pos="7380"/>
                        </w:tabs>
                        <w:snapToGrid w:val="0"/>
                        <w:spacing w:line="400" w:lineRule="exact"/>
                        <w:jc w:val="center"/>
                        <w:rPr>
                          <w:rFonts w:hint="eastAsia" w:ascii="宋体" w:hAnsi="宋体"/>
                          <w:b/>
                          <w:sz w:val="21"/>
                          <w:szCs w:val="21"/>
                        </w:rPr>
                      </w:pPr>
                      <w:r>
                        <w:rPr>
                          <w:rFonts w:hint="eastAsia" w:ascii="宋体" w:hAnsi="宋体"/>
                          <w:b/>
                          <w:sz w:val="21"/>
                          <w:szCs w:val="21"/>
                        </w:rPr>
                        <w:t>图    例</w:t>
                      </w:r>
                    </w:p>
                    <w:p w14:paraId="6AB3AF18">
                      <w:pPr>
                        <w:tabs>
                          <w:tab w:val="left" w:pos="7380"/>
                        </w:tabs>
                        <w:spacing w:line="400" w:lineRule="exact"/>
                        <w:ind w:firstLine="482"/>
                        <w:rPr>
                          <w:rFonts w:hint="eastAsia" w:ascii="宋体" w:hAnsi="宋体" w:cs="宋体"/>
                          <w:sz w:val="21"/>
                          <w:szCs w:val="21"/>
                        </w:rPr>
                      </w:pPr>
                      <w:r>
                        <w:rPr>
                          <w:rFonts w:hint="eastAsia" w:ascii="宋体" w:hAnsi="宋体" w:cs="宋体"/>
                          <w:sz w:val="21"/>
                          <w:szCs w:val="21"/>
                        </w:rPr>
                        <w:t>大气监测点</w:t>
                      </w:r>
                    </w:p>
                    <w:p w14:paraId="0D0BE814">
                      <w:pPr>
                        <w:pStyle w:val="34"/>
                        <w:tabs>
                          <w:tab w:val="left" w:pos="7380"/>
                        </w:tabs>
                        <w:spacing w:line="400" w:lineRule="exact"/>
                        <w:rPr>
                          <w:rFonts w:hint="eastAsia" w:ascii="宋体" w:hAnsi="宋体" w:eastAsia="宋体" w:cs="宋体"/>
                          <w:sz w:val="21"/>
                          <w:szCs w:val="21"/>
                        </w:rPr>
                      </w:pPr>
                      <w:r>
                        <w:rPr>
                          <w:rFonts w:hint="eastAsia" w:ascii="宋体" w:hAnsi="宋体" w:eastAsia="宋体" w:cs="宋体"/>
                          <w:sz w:val="21"/>
                          <w:szCs w:val="21"/>
                        </w:rPr>
                        <w:t>地下水监测点</w:t>
                      </w:r>
                    </w:p>
                    <w:p w14:paraId="57A7C393">
                      <w:pPr>
                        <w:pStyle w:val="34"/>
                        <w:tabs>
                          <w:tab w:val="left" w:pos="7380"/>
                        </w:tabs>
                        <w:spacing w:line="400" w:lineRule="exact"/>
                        <w:ind w:firstLine="482"/>
                        <w:rPr>
                          <w:rFonts w:hint="eastAsia" w:ascii="宋体" w:hAnsi="宋体" w:eastAsia="宋体" w:cs="宋体"/>
                          <w:sz w:val="21"/>
                          <w:szCs w:val="21"/>
                        </w:rPr>
                      </w:pPr>
                      <w:r>
                        <w:rPr>
                          <w:rFonts w:hint="eastAsia" w:ascii="宋体" w:hAnsi="宋体" w:eastAsia="宋体" w:cs="宋体"/>
                          <w:sz w:val="21"/>
                          <w:szCs w:val="21"/>
                        </w:rPr>
                        <w:t>土壤监测点</w:t>
                      </w:r>
                    </w:p>
                    <w:p w14:paraId="637B13CF">
                      <w:pPr>
                        <w:pStyle w:val="34"/>
                        <w:tabs>
                          <w:tab w:val="left" w:pos="7380"/>
                        </w:tabs>
                        <w:spacing w:line="400" w:lineRule="exact"/>
                        <w:ind w:firstLine="482"/>
                        <w:rPr>
                          <w:rFonts w:hint="eastAsia" w:ascii="宋体" w:hAnsi="宋体" w:eastAsia="宋体" w:cs="宋体"/>
                          <w:sz w:val="21"/>
                          <w:szCs w:val="21"/>
                        </w:rPr>
                      </w:pPr>
                      <w:r>
                        <w:rPr>
                          <w:rFonts w:hint="eastAsia" w:ascii="宋体" w:hAnsi="宋体" w:eastAsia="宋体" w:cs="宋体"/>
                          <w:sz w:val="21"/>
                          <w:szCs w:val="21"/>
                        </w:rPr>
                        <w:t>地下水流向</w:t>
                      </w:r>
                    </w:p>
                  </w:txbxContent>
                </v:textbox>
              </v:rect>
            </w:pict>
          </mc:Fallback>
        </mc:AlternateContent>
      </w:r>
      <w:r>
        <w:rPr>
          <w:color w:val="auto"/>
          <w:sz w:val="21"/>
        </w:rPr>
        <mc:AlternateContent>
          <mc:Choice Requires="wps">
            <w:drawing>
              <wp:anchor distT="0" distB="0" distL="114300" distR="114300" simplePos="0" relativeHeight="251686912" behindDoc="0" locked="0" layoutInCell="1" allowOverlap="1">
                <wp:simplePos x="0" y="0"/>
                <wp:positionH relativeFrom="column">
                  <wp:posOffset>3679825</wp:posOffset>
                </wp:positionH>
                <wp:positionV relativeFrom="paragraph">
                  <wp:posOffset>3149600</wp:posOffset>
                </wp:positionV>
                <wp:extent cx="431800" cy="313055"/>
                <wp:effectExtent l="60325" t="0" r="41275" b="0"/>
                <wp:wrapNone/>
                <wp:docPr id="244" name="任意多边形 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2100000">
                          <a:off x="0" y="0"/>
                          <a:ext cx="431800" cy="313055"/>
                        </a:xfrm>
                        <a:custGeom>
                          <a:avLst/>
                          <a:gdLst/>
                          <a:ahLst/>
                          <a:cxnLst>
                            <a:cxn ang="0">
                              <a:pos x="387619" y="0"/>
                            </a:cxn>
                            <a:cxn ang="0">
                              <a:pos x="431800" y="68454"/>
                            </a:cxn>
                            <a:cxn ang="0">
                              <a:pos x="156715" y="237921"/>
                            </a:cxn>
                            <a:cxn ang="0">
                              <a:pos x="181722" y="281332"/>
                            </a:cxn>
                            <a:cxn ang="0">
                              <a:pos x="0" y="313055"/>
                            </a:cxn>
                            <a:cxn ang="0">
                              <a:pos x="106699" y="187833"/>
                            </a:cxn>
                            <a:cxn ang="0">
                              <a:pos x="131707" y="212877"/>
                            </a:cxn>
                            <a:cxn ang="0">
                              <a:pos x="387619" y="0"/>
                            </a:cxn>
                          </a:cxnLst>
                          <a:rect l="0" t="0" r="0" b="0"/>
                          <a:pathLst>
                            <a:path w="328930" h="238125">
                              <a:moveTo>
                                <a:pt x="295275" y="0"/>
                              </a:moveTo>
                              <a:lnTo>
                                <a:pt x="328930" y="52070"/>
                              </a:lnTo>
                              <a:lnTo>
                                <a:pt x="119380" y="180975"/>
                              </a:lnTo>
                              <a:lnTo>
                                <a:pt x="138430" y="213995"/>
                              </a:lnTo>
                              <a:lnTo>
                                <a:pt x="0" y="238125"/>
                              </a:lnTo>
                              <a:lnTo>
                                <a:pt x="81280" y="142875"/>
                              </a:lnTo>
                              <a:lnTo>
                                <a:pt x="100330" y="161925"/>
                              </a:lnTo>
                              <a:lnTo>
                                <a:pt x="295275" y="0"/>
                              </a:lnTo>
                              <a:close/>
                            </a:path>
                          </a:pathLst>
                        </a:custGeom>
                        <a:solidFill>
                          <a:srgbClr val="0074F0"/>
                        </a:solidFill>
                        <a:ln w="19050" cap="flat" cmpd="sng">
                          <a:solidFill>
                            <a:srgbClr val="0074F0"/>
                          </a:solidFill>
                          <a:prstDash val="solid"/>
                          <a:round/>
                          <a:headEnd type="none" w="med" len="med"/>
                          <a:tailEnd type="none" w="med" len="med"/>
                        </a:ln>
                      </wps:spPr>
                      <wps:bodyPr wrap="square" upright="1"/>
                    </wps:wsp>
                  </a:graphicData>
                </a:graphic>
              </wp:anchor>
            </w:drawing>
          </mc:Choice>
          <mc:Fallback>
            <w:pict>
              <v:shape id="任意多边形 71" o:spid="_x0000_s1026" o:spt="100" style="position:absolute;left:0pt;margin-left:289.75pt;margin-top:248pt;height:24.65pt;width:34pt;rotation:2293760f;z-index:251686912;mso-width-relative:page;mso-height-relative:page;" fillcolor="#0074F0" filled="t" stroked="t" coordsize="328930,238125" o:gfxdata="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" path="m295275,0l328930,52070,119380,180975,138430,213995,0,238125,81280,142875,100330,161925,295275,0xe">
                <v:path o:connectlocs="387619,0;431800,68454;156715,237921;181722,281332;0,313055;106699,187833;131707,212877;387619,0" o:connectangles="0,0,0,0,0,0,0,0"/>
                <v:fill on="t" focussize="0,0"/>
                <v:stroke weight="1.5pt" color="#0074F0" joinstyle="round"/>
                <v:imagedata o:title=""/>
                <o:lock v:ext="edit" aspectratio="t"/>
              </v:shape>
            </w:pict>
          </mc:Fallback>
        </mc:AlternateContent>
      </w:r>
      <w:r>
        <w:rPr>
          <w:color w:val="auto"/>
        </w:rPr>
        <w:drawing>
          <wp:anchor distT="0" distB="0" distL="114300" distR="114300" simplePos="0" relativeHeight="251685888" behindDoc="0" locked="0" layoutInCell="1" allowOverlap="1">
            <wp:simplePos x="0" y="0"/>
            <wp:positionH relativeFrom="column">
              <wp:posOffset>7613015</wp:posOffset>
            </wp:positionH>
            <wp:positionV relativeFrom="paragraph">
              <wp:posOffset>6350</wp:posOffset>
            </wp:positionV>
            <wp:extent cx="1133475" cy="1133475"/>
            <wp:effectExtent l="0" t="0" r="9525" b="9525"/>
            <wp:wrapNone/>
            <wp:docPr id="10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1"/>
                    <pic:cNvPicPr>
                      <a:picLocks noChangeAspect="1"/>
                    </pic:cNvPicPr>
                  </pic:nvPicPr>
                  <pic:blipFill>
                    <a:blip r:embed="rId36"/>
                    <a:srcRect l="16147" t="3835" r="14520" b="3729"/>
                    <a:stretch>
                      <a:fillRect/>
                    </a:stretch>
                  </pic:blipFill>
                  <pic:spPr>
                    <a:xfrm>
                      <a:off x="0" y="0"/>
                      <a:ext cx="1133475" cy="1133475"/>
                    </a:xfrm>
                    <a:prstGeom prst="rect">
                      <a:avLst/>
                    </a:prstGeom>
                    <a:noFill/>
                    <a:ln>
                      <a:noFill/>
                    </a:ln>
                  </pic:spPr>
                </pic:pic>
              </a:graphicData>
            </a:graphic>
          </wp:anchor>
        </w:drawing>
      </w:r>
      <w:r>
        <w:rPr>
          <w:color w:val="auto"/>
        </w:rPr>
        <mc:AlternateContent>
          <mc:Choice Requires="wps">
            <w:drawing>
              <wp:anchor distT="0" distB="0" distL="114300" distR="114300" simplePos="0" relativeHeight="251674624" behindDoc="0" locked="0" layoutInCell="1" allowOverlap="1">
                <wp:simplePos x="0" y="0"/>
                <wp:positionH relativeFrom="column">
                  <wp:posOffset>2231390</wp:posOffset>
                </wp:positionH>
                <wp:positionV relativeFrom="paragraph">
                  <wp:posOffset>2035175</wp:posOffset>
                </wp:positionV>
                <wp:extent cx="363220" cy="191770"/>
                <wp:effectExtent l="0" t="0" r="0" b="0"/>
                <wp:wrapNone/>
                <wp:docPr id="93" name="矩形 93"/>
                <wp:cNvGraphicFramePr/>
                <a:graphic xmlns:a="http://schemas.openxmlformats.org/drawingml/2006/main">
                  <a:graphicData uri="http://schemas.microsoft.com/office/word/2010/wordprocessingShape">
                    <wps:wsp>
                      <wps:cNvSpPr/>
                      <wps:spPr>
                        <a:xfrm>
                          <a:off x="0" y="0"/>
                          <a:ext cx="363220" cy="191770"/>
                        </a:xfrm>
                        <a:prstGeom prst="rect">
                          <a:avLst/>
                        </a:prstGeom>
                        <a:noFill/>
                        <a:ln>
                          <a:noFill/>
                        </a:ln>
                      </wps:spPr>
                      <wps:txbx>
                        <w:txbxContent>
                          <w:p w14:paraId="5D552295">
                            <w:pPr>
                              <w:tabs>
                                <w:tab w:val="left" w:pos="7380"/>
                              </w:tabs>
                              <w:adjustRightInd w:val="0"/>
                              <w:snapToGrid w:val="0"/>
                              <w:jc w:val="center"/>
                              <w:rPr>
                                <w:b/>
                                <w:bCs/>
                                <w:color w:val="FF0000"/>
                                <w:sz w:val="21"/>
                                <w:szCs w:val="21"/>
                              </w:rPr>
                            </w:pPr>
                            <w:r>
                              <w:rPr>
                                <w:b/>
                                <w:bCs/>
                                <w:color w:val="FF0000"/>
                                <w:sz w:val="21"/>
                                <w:szCs w:val="21"/>
                              </w:rPr>
                              <w:t>G1</w:t>
                            </w:r>
                          </w:p>
                        </w:txbxContent>
                      </wps:txbx>
                      <wps:bodyPr lIns="0" tIns="0" rIns="0" bIns="0" upright="1"/>
                    </wps:wsp>
                  </a:graphicData>
                </a:graphic>
              </wp:anchor>
            </w:drawing>
          </mc:Choice>
          <mc:Fallback>
            <w:pict>
              <v:rect id="_x0000_s1026" o:spid="_x0000_s1026" o:spt="1" style="position:absolute;left:0pt;margin-left:175.7pt;margin-top:160.25pt;height:15.1pt;width:28.6pt;z-index:251674624;mso-width-relative:page;mso-height-relative:page;" filled="f" stroked="f" coordsize="21600,21600" o:gfxdata="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ufU/7bAAAACwEAAA8AAAAAAAAAAQAgAAAAIgAAAGRycy9kb3ducmV2LnhtbFBLAQIUABQAAAAI&#10;AIdO4kA3eVI+sQEAAGYDAAAOAAAAAAAAAAEAIAAAACoBAABkcnMvZTJvRG9jLnhtbFBLBQYAAAAA&#10;BgAGAFkBAABNBQAAAAA=&#10;">
                <v:fill on="f" focussize="0,0"/>
                <v:stroke on="f"/>
                <v:imagedata o:title=""/>
                <o:lock v:ext="edit" aspectratio="f"/>
                <v:textbox inset="0mm,0mm,0mm,0mm">
                  <w:txbxContent>
                    <w:p w14:paraId="5D552295">
                      <w:pPr>
                        <w:tabs>
                          <w:tab w:val="left" w:pos="7380"/>
                        </w:tabs>
                        <w:adjustRightInd w:val="0"/>
                        <w:snapToGrid w:val="0"/>
                        <w:jc w:val="center"/>
                        <w:rPr>
                          <w:b/>
                          <w:bCs/>
                          <w:color w:val="FF0000"/>
                          <w:sz w:val="21"/>
                          <w:szCs w:val="21"/>
                        </w:rPr>
                      </w:pPr>
                      <w:r>
                        <w:rPr>
                          <w:b/>
                          <w:bCs/>
                          <w:color w:val="FF0000"/>
                          <w:sz w:val="21"/>
                          <w:szCs w:val="21"/>
                        </w:rPr>
                        <w:t>G1</w:t>
                      </w:r>
                    </w:p>
                  </w:txbxContent>
                </v:textbox>
              </v:rect>
            </w:pict>
          </mc:Fallback>
        </mc:AlternateContent>
      </w:r>
      <w:r>
        <w:rPr>
          <w:color w:val="auto"/>
        </w:rPr>
        <mc:AlternateContent>
          <mc:Choice Requires="wps">
            <w:drawing>
              <wp:anchor distT="0" distB="0" distL="114300" distR="114300" simplePos="0" relativeHeight="251681792" behindDoc="0" locked="0" layoutInCell="1" allowOverlap="1">
                <wp:simplePos x="0" y="0"/>
                <wp:positionH relativeFrom="column">
                  <wp:posOffset>4993640</wp:posOffset>
                </wp:positionH>
                <wp:positionV relativeFrom="paragraph">
                  <wp:posOffset>3130550</wp:posOffset>
                </wp:positionV>
                <wp:extent cx="306070" cy="182245"/>
                <wp:effectExtent l="0" t="0" r="0" b="0"/>
                <wp:wrapNone/>
                <wp:docPr id="95" name="矩形 95"/>
                <wp:cNvGraphicFramePr/>
                <a:graphic xmlns:a="http://schemas.openxmlformats.org/drawingml/2006/main">
                  <a:graphicData uri="http://schemas.microsoft.com/office/word/2010/wordprocessingShape">
                    <wps:wsp>
                      <wps:cNvSpPr/>
                      <wps:spPr>
                        <a:xfrm>
                          <a:off x="0" y="0"/>
                          <a:ext cx="306070" cy="182245"/>
                        </a:xfrm>
                        <a:prstGeom prst="rect">
                          <a:avLst/>
                        </a:prstGeom>
                        <a:noFill/>
                        <a:ln>
                          <a:noFill/>
                        </a:ln>
                      </wps:spPr>
                      <wps:txbx>
                        <w:txbxContent>
                          <w:p w14:paraId="6E51B633">
                            <w:pPr>
                              <w:tabs>
                                <w:tab w:val="left" w:pos="7380"/>
                              </w:tabs>
                              <w:adjustRightInd w:val="0"/>
                              <w:snapToGrid w:val="0"/>
                              <w:jc w:val="center"/>
                              <w:rPr>
                                <w:b/>
                                <w:bCs/>
                                <w:color w:val="0000FF"/>
                                <w:sz w:val="21"/>
                                <w:szCs w:val="21"/>
                              </w:rPr>
                            </w:pPr>
                            <w:r>
                              <w:rPr>
                                <w:rFonts w:hint="eastAsia"/>
                                <w:b/>
                                <w:bCs/>
                                <w:color w:val="0000FF"/>
                                <w:sz w:val="21"/>
                                <w:szCs w:val="21"/>
                              </w:rPr>
                              <w:t>T1</w:t>
                            </w:r>
                          </w:p>
                        </w:txbxContent>
                      </wps:txbx>
                      <wps:bodyPr lIns="0" tIns="0" rIns="0" bIns="0" upright="1"/>
                    </wps:wsp>
                  </a:graphicData>
                </a:graphic>
              </wp:anchor>
            </w:drawing>
          </mc:Choice>
          <mc:Fallback>
            <w:pict>
              <v:rect id="_x0000_s1026" o:spid="_x0000_s1026" o:spt="1" style="position:absolute;left:0pt;margin-left:393.2pt;margin-top:246.5pt;height:14.35pt;width:24.1pt;z-index:251681792;mso-width-relative:page;mso-height-relative:page;" filled="f" stroked="f" coordsize="21600,21600" o:gfxdata="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KWcKK3AAAAAsBAAAPAAAAAAAAAAEAIAAAACIAAABkcnMvZG93bnJldi54bWxQSwECFAAUAAAA&#10;CACHTuJAF5m8/bEBAABmAwAADgAAAAAAAAABACAAAAArAQAAZHJzL2Uyb0RvYy54bWxQSwUGAAAA&#10;AAYABgBZAQAATgUAAAAA&#10;">
                <v:fill on="f" focussize="0,0"/>
                <v:stroke on="f"/>
                <v:imagedata o:title=""/>
                <o:lock v:ext="edit" aspectratio="f"/>
                <v:textbox inset="0mm,0mm,0mm,0mm">
                  <w:txbxContent>
                    <w:p w14:paraId="6E51B633">
                      <w:pPr>
                        <w:tabs>
                          <w:tab w:val="left" w:pos="7380"/>
                        </w:tabs>
                        <w:adjustRightInd w:val="0"/>
                        <w:snapToGrid w:val="0"/>
                        <w:jc w:val="center"/>
                        <w:rPr>
                          <w:b/>
                          <w:bCs/>
                          <w:color w:val="0000FF"/>
                          <w:sz w:val="21"/>
                          <w:szCs w:val="21"/>
                        </w:rPr>
                      </w:pPr>
                      <w:r>
                        <w:rPr>
                          <w:rFonts w:hint="eastAsia"/>
                          <w:b/>
                          <w:bCs/>
                          <w:color w:val="0000FF"/>
                          <w:sz w:val="21"/>
                          <w:szCs w:val="21"/>
                        </w:rPr>
                        <w:t>T1</w:t>
                      </w:r>
                    </w:p>
                  </w:txbxContent>
                </v:textbox>
              </v:rect>
            </w:pict>
          </mc:Fallback>
        </mc:AlternateContent>
      </w:r>
      <w:r>
        <w:rPr>
          <w:color w:val="auto"/>
        </w:rPr>
        <mc:AlternateContent>
          <mc:Choice Requires="wps">
            <w:drawing>
              <wp:anchor distT="0" distB="0" distL="114300" distR="114300" simplePos="0" relativeHeight="251683840" behindDoc="0" locked="0" layoutInCell="1" allowOverlap="1">
                <wp:simplePos x="0" y="0"/>
                <wp:positionH relativeFrom="column">
                  <wp:posOffset>3002915</wp:posOffset>
                </wp:positionH>
                <wp:positionV relativeFrom="paragraph">
                  <wp:posOffset>4149725</wp:posOffset>
                </wp:positionV>
                <wp:extent cx="114300" cy="123825"/>
                <wp:effectExtent l="4445" t="5080" r="14605" b="4445"/>
                <wp:wrapNone/>
                <wp:docPr id="92" name="矩形 92"/>
                <wp:cNvGraphicFramePr/>
                <a:graphic xmlns:a="http://schemas.openxmlformats.org/drawingml/2006/main">
                  <a:graphicData uri="http://schemas.microsoft.com/office/word/2010/wordprocessingShape">
                    <wps:wsp>
                      <wps:cNvSpPr/>
                      <wps:spPr>
                        <a:xfrm>
                          <a:off x="0" y="0"/>
                          <a:ext cx="114300" cy="12382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236.45pt;margin-top:326.75pt;height:9.75pt;width:9pt;z-index:251683840;mso-width-relative:page;mso-height-relative:page;" fillcolor="#FFFFFF" filled="t" stroked="t" coordsize="21600,21600" o:gfxdata="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vE7YbtkAAAALAQAADwAAAAAAAAABACAAAAAiAAAAZHJzL2Rvd25yZXYu&#10;eG1sUEsBAhQAFAAAAAgAh07iQAAJTpD6AQAAHwQAAA4AAAAAAAAAAQAgAAAAKAEAAGRycy9lMm9E&#10;b2MueG1sUEsFBgAAAAAGAAYAWQEAAJQFAAAAAA==&#10;">
                <v:fill on="t" focussize="0,0"/>
                <v:stroke color="#000000" joinstyle="miter"/>
                <v:imagedata o:title=""/>
                <o:lock v:ext="edit" aspectratio="f"/>
              </v:rect>
            </w:pict>
          </mc:Fallback>
        </mc:AlternateContent>
      </w:r>
      <w:r>
        <w:rPr>
          <w:color w:val="auto"/>
        </w:rPr>
        <mc:AlternateContent>
          <mc:Choice Requires="wps">
            <w:drawing>
              <wp:anchor distT="0" distB="0" distL="114300" distR="114300" simplePos="0" relativeHeight="251682816" behindDoc="0" locked="0" layoutInCell="1" allowOverlap="1">
                <wp:simplePos x="0" y="0"/>
                <wp:positionH relativeFrom="column">
                  <wp:posOffset>3069590</wp:posOffset>
                </wp:positionH>
                <wp:positionV relativeFrom="paragraph">
                  <wp:posOffset>4130675</wp:posOffset>
                </wp:positionV>
                <wp:extent cx="363220" cy="191770"/>
                <wp:effectExtent l="0" t="0" r="0" b="0"/>
                <wp:wrapNone/>
                <wp:docPr id="101" name="矩形 101"/>
                <wp:cNvGraphicFramePr/>
                <a:graphic xmlns:a="http://schemas.openxmlformats.org/drawingml/2006/main">
                  <a:graphicData uri="http://schemas.microsoft.com/office/word/2010/wordprocessingShape">
                    <wps:wsp>
                      <wps:cNvSpPr/>
                      <wps:spPr>
                        <a:xfrm>
                          <a:off x="0" y="0"/>
                          <a:ext cx="363220" cy="191770"/>
                        </a:xfrm>
                        <a:prstGeom prst="rect">
                          <a:avLst/>
                        </a:prstGeom>
                        <a:noFill/>
                        <a:ln>
                          <a:noFill/>
                        </a:ln>
                      </wps:spPr>
                      <wps:txbx>
                        <w:txbxContent>
                          <w:p w14:paraId="76EA6138">
                            <w:pPr>
                              <w:tabs>
                                <w:tab w:val="left" w:pos="7380"/>
                              </w:tabs>
                              <w:adjustRightInd w:val="0"/>
                              <w:snapToGrid w:val="0"/>
                              <w:jc w:val="center"/>
                              <w:rPr>
                                <w:b/>
                                <w:bCs/>
                                <w:color w:val="0000FF"/>
                                <w:sz w:val="21"/>
                                <w:szCs w:val="21"/>
                              </w:rPr>
                            </w:pPr>
                            <w:r>
                              <w:rPr>
                                <w:rFonts w:hint="eastAsia"/>
                                <w:b/>
                                <w:bCs/>
                                <w:color w:val="0000FF"/>
                                <w:sz w:val="21"/>
                                <w:szCs w:val="21"/>
                              </w:rPr>
                              <w:t>D</w:t>
                            </w:r>
                            <w:r>
                              <w:rPr>
                                <w:b/>
                                <w:bCs/>
                                <w:color w:val="0000FF"/>
                                <w:sz w:val="21"/>
                                <w:szCs w:val="21"/>
                              </w:rPr>
                              <w:t>1</w:t>
                            </w:r>
                          </w:p>
                        </w:txbxContent>
                      </wps:txbx>
                      <wps:bodyPr lIns="0" tIns="0" rIns="0" bIns="0" upright="1"/>
                    </wps:wsp>
                  </a:graphicData>
                </a:graphic>
              </wp:anchor>
            </w:drawing>
          </mc:Choice>
          <mc:Fallback>
            <w:pict>
              <v:rect id="_x0000_s1026" o:spid="_x0000_s1026" o:spt="1" style="position:absolute;left:0pt;margin-left:241.7pt;margin-top:325.25pt;height:15.1pt;width:28.6pt;z-index:251682816;mso-width-relative:page;mso-height-relative:page;" filled="f" stroked="f" coordsize="21600,21600" o:gfxdata="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FFKqDTbAAAACwEAAA8AAAAAAAAAAQAgAAAAIgAAAGRycy9kb3ducmV2LnhtbFBLAQIUABQAAAAI&#10;AIdO4kC/lOmHsQEAAGgDAAAOAAAAAAAAAAEAIAAAACoBAABkcnMvZTJvRG9jLnhtbFBLBQYAAAAA&#10;BgAGAFkBAABNBQAAAAA=&#10;">
                <v:fill on="f" focussize="0,0"/>
                <v:stroke on="f"/>
                <v:imagedata o:title=""/>
                <o:lock v:ext="edit" aspectratio="f"/>
                <v:textbox inset="0mm,0mm,0mm,0mm">
                  <w:txbxContent>
                    <w:p w14:paraId="76EA6138">
                      <w:pPr>
                        <w:tabs>
                          <w:tab w:val="left" w:pos="7380"/>
                        </w:tabs>
                        <w:adjustRightInd w:val="0"/>
                        <w:snapToGrid w:val="0"/>
                        <w:jc w:val="center"/>
                        <w:rPr>
                          <w:b/>
                          <w:bCs/>
                          <w:color w:val="0000FF"/>
                          <w:sz w:val="21"/>
                          <w:szCs w:val="21"/>
                        </w:rPr>
                      </w:pPr>
                      <w:r>
                        <w:rPr>
                          <w:rFonts w:hint="eastAsia"/>
                          <w:b/>
                          <w:bCs/>
                          <w:color w:val="0000FF"/>
                          <w:sz w:val="21"/>
                          <w:szCs w:val="21"/>
                        </w:rPr>
                        <w:t>D</w:t>
                      </w:r>
                      <w:r>
                        <w:rPr>
                          <w:b/>
                          <w:bCs/>
                          <w:color w:val="0000FF"/>
                          <w:sz w:val="21"/>
                          <w:szCs w:val="21"/>
                        </w:rPr>
                        <w:t>1</w:t>
                      </w:r>
                    </w:p>
                  </w:txbxContent>
                </v:textbox>
              </v:rect>
            </w:pict>
          </mc:Fallback>
        </mc:AlternateContent>
      </w:r>
      <w:r>
        <w:rPr>
          <w:color w:val="auto"/>
        </w:rPr>
        <mc:AlternateContent>
          <mc:Choice Requires="wps">
            <w:drawing>
              <wp:anchor distT="0" distB="0" distL="114300" distR="114300" simplePos="0" relativeHeight="251673600" behindDoc="0" locked="0" layoutInCell="1" allowOverlap="1">
                <wp:simplePos x="0" y="0"/>
                <wp:positionH relativeFrom="column">
                  <wp:posOffset>2193925</wp:posOffset>
                </wp:positionH>
                <wp:positionV relativeFrom="paragraph">
                  <wp:posOffset>2073275</wp:posOffset>
                </wp:positionV>
                <wp:extent cx="90170" cy="90170"/>
                <wp:effectExtent l="4445" t="4445" r="19685" b="19685"/>
                <wp:wrapNone/>
                <wp:docPr id="98" name="椭圆 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90170" cy="90170"/>
                        </a:xfrm>
                        <a:prstGeom prst="ellipse">
                          <a:avLst/>
                        </a:prstGeom>
                        <a:solidFill>
                          <a:srgbClr val="FF0000"/>
                        </a:solidFill>
                        <a:ln w="9525" cap="flat" cmpd="sng">
                          <a:solidFill>
                            <a:srgbClr val="FF0000"/>
                          </a:solidFill>
                          <a:prstDash val="solid"/>
                          <a:headEnd type="none" w="med" len="med"/>
                          <a:tailEnd type="none" w="med" len="med"/>
                        </a:ln>
                      </wps:spPr>
                      <wps:txbx>
                        <w:txbxContent>
                          <w:p w14:paraId="309894DD">
                            <w:pPr>
                              <w:tabs>
                                <w:tab w:val="left" w:pos="7380"/>
                              </w:tabs>
                            </w:pPr>
                          </w:p>
                        </w:txbxContent>
                      </wps:txbx>
                      <wps:bodyPr upright="1"/>
                    </wps:wsp>
                  </a:graphicData>
                </a:graphic>
              </wp:anchor>
            </w:drawing>
          </mc:Choice>
          <mc:Fallback>
            <w:pict>
              <v:shape id="_x0000_s1026" o:spid="_x0000_s1026" o:spt="3" type="#_x0000_t3" style="position:absolute;left:0pt;margin-left:172.75pt;margin-top:163.25pt;height:7.1pt;width:7.1pt;z-index:251673600;mso-width-relative:page;mso-height-relative:page;" fillcolor="#FF0000" filled="t" stroked="t" coordsize="21600,21600" o:gfxdata="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lun/nYAAAACwEAAA8AAAAAAAAAAQAgAAAA&#10;IgAAAGRycy9kb3ducmV2LnhtbFBLAQIUABQAAAAIAIdO4kCpXkInCwIAAE0EAAAOAAAAAAAAAAEA&#10;IAAAACcBAABkcnMvZTJvRG9jLnhtbFBLBQYAAAAABgAGAFkBAACkBQAAAAA=&#10;">
                <v:fill on="t" focussize="0,0"/>
                <v:stroke color="#FF0000" joinstyle="round"/>
                <v:imagedata o:title=""/>
                <o:lock v:ext="edit" aspectratio="t"/>
                <v:textbox>
                  <w:txbxContent>
                    <w:p w14:paraId="309894DD">
                      <w:pPr>
                        <w:tabs>
                          <w:tab w:val="left" w:pos="7380"/>
                        </w:tabs>
                      </w:pPr>
                    </w:p>
                  </w:txbxContent>
                </v:textbox>
              </v:shape>
            </w:pict>
          </mc:Fallback>
        </mc:AlternateContent>
      </w:r>
      <w:r>
        <w:rPr>
          <w:color w:val="auto"/>
        </w:rPr>
        <mc:AlternateContent>
          <mc:Choice Requires="wps">
            <w:drawing>
              <wp:anchor distT="0" distB="0" distL="114300" distR="114300" simplePos="0" relativeHeight="251679744" behindDoc="0" locked="0" layoutInCell="1" allowOverlap="1">
                <wp:simplePos x="0" y="0"/>
                <wp:positionH relativeFrom="column">
                  <wp:posOffset>4937125</wp:posOffset>
                </wp:positionH>
                <wp:positionV relativeFrom="paragraph">
                  <wp:posOffset>3168650</wp:posOffset>
                </wp:positionV>
                <wp:extent cx="85725" cy="95250"/>
                <wp:effectExtent l="12700" t="17780" r="15875" b="20320"/>
                <wp:wrapNone/>
                <wp:docPr id="102" name="五角星 102"/>
                <wp:cNvGraphicFramePr/>
                <a:graphic xmlns:a="http://schemas.openxmlformats.org/drawingml/2006/main">
                  <a:graphicData uri="http://schemas.microsoft.com/office/word/2010/wordprocessingShape">
                    <wps:wsp>
                      <wps:cNvSpPr/>
                      <wps:spPr>
                        <a:xfrm>
                          <a:off x="0" y="0"/>
                          <a:ext cx="85725" cy="95250"/>
                        </a:xfrm>
                        <a:prstGeom prst="star5">
                          <a:avLst/>
                        </a:prstGeom>
                        <a:solidFill>
                          <a:srgbClr val="0070C0"/>
                        </a:solidFill>
                        <a:ln w="9525" cap="flat" cmpd="sng">
                          <a:solidFill>
                            <a:srgbClr val="0070C0"/>
                          </a:solidFill>
                          <a:prstDash val="solid"/>
                          <a:miter/>
                          <a:headEnd type="none" w="med" len="med"/>
                          <a:tailEnd type="none" w="med" len="med"/>
                        </a:ln>
                      </wps:spPr>
                      <wps:bodyPr upright="1"/>
                    </wps:wsp>
                  </a:graphicData>
                </a:graphic>
              </wp:anchor>
            </w:drawing>
          </mc:Choice>
          <mc:Fallback>
            <w:pict>
              <v:shape id="_x0000_s1026" o:spid="_x0000_s1026" style="position:absolute;left:0pt;margin-left:388.75pt;margin-top:249.5pt;height:7.5pt;width:6.75pt;z-index:251679744;mso-width-relative:page;mso-height-relative:page;" fillcolor="#0070C0" filled="t" stroked="t" coordsize="85725,95250" o:gfxdata="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Nm0gDYAAAACwEAAA8AAAAAAAAAAQAgAAAAIgAAAGRycy9kb3ducmV2&#10;LnhtbFBLAQIUABQAAAAIAIdO4kBCBCU1/AEAACMEAAAOAAAAAAAAAAEAIAAAACcBAABkcnMvZTJv&#10;RG9jLnhtbFBLBQYAAAAABgAGAFkBAACVBQAAAAA=&#10;" path="m0,36382l32744,36382,42862,0,52980,36382,85724,36382,59234,58867,69352,95249,42862,72764,16372,95249,26490,58867xe">
                <v:path o:connectlocs="42862,0;0,36382;16372,95249;69352,95249;85724,36382" o:connectangles="247,164,82,82,0"/>
                <v:fill on="t" focussize="0,0"/>
                <v:stroke color="#0070C0" joinstyle="miter"/>
                <v:imagedata o:title=""/>
                <o:lock v:ext="edit" aspectratio="f"/>
              </v:shape>
            </w:pict>
          </mc:Fallback>
        </mc:AlternateContent>
      </w:r>
      <w:r>
        <w:rPr>
          <w:color w:val="auto"/>
        </w:rPr>
        <mc:AlternateContent>
          <mc:Choice Requires="wps">
            <w:drawing>
              <wp:anchor distT="0" distB="0" distL="114300" distR="114300" simplePos="0" relativeHeight="251675648" behindDoc="0" locked="0" layoutInCell="1" allowOverlap="1">
                <wp:simplePos x="0" y="0"/>
                <wp:positionH relativeFrom="column">
                  <wp:posOffset>4631690</wp:posOffset>
                </wp:positionH>
                <wp:positionV relativeFrom="paragraph">
                  <wp:posOffset>3549650</wp:posOffset>
                </wp:positionV>
                <wp:extent cx="638810" cy="191770"/>
                <wp:effectExtent l="0" t="0" r="0" b="0"/>
                <wp:wrapNone/>
                <wp:docPr id="91" name="矩形 91"/>
                <wp:cNvGraphicFramePr/>
                <a:graphic xmlns:a="http://schemas.openxmlformats.org/drawingml/2006/main">
                  <a:graphicData uri="http://schemas.microsoft.com/office/word/2010/wordprocessingShape">
                    <wps:wsp>
                      <wps:cNvSpPr/>
                      <wps:spPr>
                        <a:xfrm>
                          <a:off x="0" y="0"/>
                          <a:ext cx="638810" cy="191770"/>
                        </a:xfrm>
                        <a:prstGeom prst="rect">
                          <a:avLst/>
                        </a:prstGeom>
                        <a:noFill/>
                        <a:ln>
                          <a:noFill/>
                        </a:ln>
                      </wps:spPr>
                      <wps:txbx>
                        <w:txbxContent>
                          <w:p w14:paraId="3799D117">
                            <w:pPr>
                              <w:tabs>
                                <w:tab w:val="left" w:pos="7380"/>
                              </w:tabs>
                              <w:adjustRightInd w:val="0"/>
                              <w:snapToGrid w:val="0"/>
                              <w:jc w:val="center"/>
                              <w:rPr>
                                <w:b/>
                                <w:bCs/>
                                <w:color w:val="FF0000"/>
                                <w:sz w:val="21"/>
                                <w:szCs w:val="21"/>
                              </w:rPr>
                            </w:pPr>
                            <w:r>
                              <w:rPr>
                                <w:rFonts w:hint="eastAsia"/>
                                <w:b/>
                                <w:bCs/>
                                <w:color w:val="FF0000"/>
                                <w:sz w:val="21"/>
                                <w:szCs w:val="21"/>
                              </w:rPr>
                              <w:t>项目位置</w:t>
                            </w:r>
                          </w:p>
                        </w:txbxContent>
                      </wps:txbx>
                      <wps:bodyPr lIns="0" tIns="0" rIns="0" bIns="0" upright="1"/>
                    </wps:wsp>
                  </a:graphicData>
                </a:graphic>
              </wp:anchor>
            </w:drawing>
          </mc:Choice>
          <mc:Fallback>
            <w:pict>
              <v:rect id="_x0000_s1026" o:spid="_x0000_s1026" o:spt="1" style="position:absolute;left:0pt;margin-left:364.7pt;margin-top:279.5pt;height:15.1pt;width:50.3pt;z-index:251675648;mso-width-relative:page;mso-height-relative:page;" filled="f" stroked="f" coordsize="21600,21600" o:gfxdata="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VQV79sAAAALAQAADwAAAAAAAAABACAAAAAiAAAAZHJzL2Rvd25yZXYueG1sUEsBAhQAFAAAAAgA&#10;h07iQC0qqFOwAQAAZgMAAA4AAAAAAAAAAQAgAAAAKgEAAGRycy9lMm9Eb2MueG1sUEsFBgAAAAAG&#10;AAYAWQEAAEwFAAAAAA==&#10;">
                <v:fill on="f" focussize="0,0"/>
                <v:stroke on="f"/>
                <v:imagedata o:title=""/>
                <o:lock v:ext="edit" aspectratio="f"/>
                <v:textbox inset="0mm,0mm,0mm,0mm">
                  <w:txbxContent>
                    <w:p w14:paraId="3799D117">
                      <w:pPr>
                        <w:tabs>
                          <w:tab w:val="left" w:pos="7380"/>
                        </w:tabs>
                        <w:adjustRightInd w:val="0"/>
                        <w:snapToGrid w:val="0"/>
                        <w:jc w:val="center"/>
                        <w:rPr>
                          <w:b/>
                          <w:bCs/>
                          <w:color w:val="FF0000"/>
                          <w:sz w:val="21"/>
                          <w:szCs w:val="21"/>
                        </w:rPr>
                      </w:pPr>
                      <w:r>
                        <w:rPr>
                          <w:rFonts w:hint="eastAsia"/>
                          <w:b/>
                          <w:bCs/>
                          <w:color w:val="FF0000"/>
                          <w:sz w:val="21"/>
                          <w:szCs w:val="21"/>
                        </w:rPr>
                        <w:t>项目位置</w:t>
                      </w:r>
                    </w:p>
                  </w:txbxContent>
                </v:textbox>
              </v:rect>
            </w:pict>
          </mc:Fallback>
        </mc:AlternateContent>
      </w:r>
      <w:r>
        <w:rPr>
          <w:color w:val="auto"/>
        </w:rPr>
        <w:drawing>
          <wp:inline distT="0" distB="0" distL="114300" distR="114300">
            <wp:extent cx="8598535" cy="5649595"/>
            <wp:effectExtent l="0" t="0" r="12065" b="8255"/>
            <wp:docPr id="9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5"/>
                    <pic:cNvPicPr>
                      <a:picLocks noChangeAspect="1"/>
                    </pic:cNvPicPr>
                  </pic:nvPicPr>
                  <pic:blipFill>
                    <a:blip r:embed="rId37"/>
                    <a:stretch>
                      <a:fillRect/>
                    </a:stretch>
                  </pic:blipFill>
                  <pic:spPr>
                    <a:xfrm>
                      <a:off x="0" y="0"/>
                      <a:ext cx="8598535" cy="5649595"/>
                    </a:xfrm>
                    <a:prstGeom prst="rect">
                      <a:avLst/>
                    </a:prstGeom>
                    <a:noFill/>
                    <a:ln>
                      <a:noFill/>
                    </a:ln>
                  </pic:spPr>
                </pic:pic>
              </a:graphicData>
            </a:graphic>
          </wp:inline>
        </w:drawing>
      </w:r>
    </w:p>
    <w:p w14:paraId="539C5661">
      <w:pPr>
        <w:pStyle w:val="98"/>
        <w:adjustRightInd w:val="0"/>
        <w:snapToGrid w:val="0"/>
        <w:spacing w:line="240" w:lineRule="auto"/>
        <w:ind w:firstLine="0" w:firstLineChars="0"/>
        <w:jc w:val="center"/>
        <w:rPr>
          <w:b/>
          <w:bCs/>
          <w:color w:val="auto"/>
        </w:rPr>
      </w:pPr>
      <w:r>
        <w:rPr>
          <w:color w:val="auto"/>
        </w:rPr>
        <mc:AlternateContent>
          <mc:Choice Requires="wps">
            <w:drawing>
              <wp:anchor distT="0" distB="0" distL="114300" distR="114300" simplePos="0" relativeHeight="251677696" behindDoc="0" locked="0" layoutInCell="1" allowOverlap="1">
                <wp:simplePos x="0" y="0"/>
                <wp:positionH relativeFrom="column">
                  <wp:posOffset>7785100</wp:posOffset>
                </wp:positionH>
                <wp:positionV relativeFrom="paragraph">
                  <wp:posOffset>5492750</wp:posOffset>
                </wp:positionV>
                <wp:extent cx="90170" cy="90170"/>
                <wp:effectExtent l="4445" t="4445" r="19685" b="19685"/>
                <wp:wrapNone/>
                <wp:docPr id="103" name="椭圆 10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90170" cy="90170"/>
                        </a:xfrm>
                        <a:prstGeom prst="ellipse">
                          <a:avLst/>
                        </a:prstGeom>
                        <a:solidFill>
                          <a:srgbClr val="FF0000"/>
                        </a:solidFill>
                        <a:ln w="9525" cap="flat" cmpd="sng">
                          <a:solidFill>
                            <a:srgbClr val="FF0000"/>
                          </a:solidFill>
                          <a:prstDash val="solid"/>
                          <a:headEnd type="none" w="med" len="med"/>
                          <a:tailEnd type="none" w="med" len="med"/>
                        </a:ln>
                      </wps:spPr>
                      <wps:txbx>
                        <w:txbxContent>
                          <w:p w14:paraId="68AA1EFD">
                            <w:pPr>
                              <w:tabs>
                                <w:tab w:val="left" w:pos="7380"/>
                              </w:tabs>
                            </w:pPr>
                          </w:p>
                        </w:txbxContent>
                      </wps:txbx>
                      <wps:bodyPr upright="1"/>
                    </wps:wsp>
                  </a:graphicData>
                </a:graphic>
              </wp:anchor>
            </w:drawing>
          </mc:Choice>
          <mc:Fallback>
            <w:pict>
              <v:shape id="_x0000_s1026" o:spid="_x0000_s1026" o:spt="3" type="#_x0000_t3" style="position:absolute;left:0pt;margin-left:613pt;margin-top:432.5pt;height:7.1pt;width:7.1pt;z-index:251677696;mso-width-relative:page;mso-height-relative:page;" fillcolor="#FF0000" filled="t" stroked="t" coordsize="21600,21600" o:gfxdata="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wVrD/9kAAAANAQAADwAAAAAAAAABACAA&#10;AAAiAAAAZHJzL2Rvd25yZXYueG1sUEsBAhQAFAAAAAgAh07iQLrx9YcMAgAATwQAAA4AAAAAAAAA&#10;AQAgAAAAKAEAAGRycy9lMm9Eb2MueG1sUEsFBgAAAAAGAAYAWQEAAKYFAAAAAA==&#10;">
                <v:fill on="t" focussize="0,0"/>
                <v:stroke color="#FF0000" joinstyle="round"/>
                <v:imagedata o:title=""/>
                <o:lock v:ext="edit" aspectratio="t"/>
                <v:textbox>
                  <w:txbxContent>
                    <w:p w14:paraId="68AA1EFD">
                      <w:pPr>
                        <w:tabs>
                          <w:tab w:val="left" w:pos="7380"/>
                        </w:tabs>
                      </w:pPr>
                    </w:p>
                  </w:txbxContent>
                </v:textbox>
              </v:shape>
            </w:pict>
          </mc:Fallback>
        </mc:AlternateContent>
      </w:r>
      <w:r>
        <w:rPr>
          <w:b/>
          <w:bCs/>
          <w:color w:val="auto"/>
        </w:rPr>
        <w:t>附图</w:t>
      </w:r>
      <w:r>
        <w:rPr>
          <w:rFonts w:hint="eastAsia"/>
          <w:b/>
          <w:bCs/>
          <w:color w:val="auto"/>
        </w:rPr>
        <w:t>9</w:t>
      </w:r>
      <w:r>
        <w:rPr>
          <w:b/>
          <w:bCs/>
          <w:color w:val="auto"/>
        </w:rPr>
        <w:t xml:space="preserve">   </w:t>
      </w:r>
      <w:r>
        <w:rPr>
          <w:rFonts w:hint="eastAsia"/>
          <w:b/>
          <w:bCs/>
          <w:color w:val="auto"/>
        </w:rPr>
        <w:t xml:space="preserve">  </w:t>
      </w:r>
      <w:r>
        <w:rPr>
          <w:b/>
          <w:bCs/>
          <w:color w:val="auto"/>
        </w:rPr>
        <w:t xml:space="preserve"> 大气</w:t>
      </w:r>
      <w:r>
        <w:rPr>
          <w:rFonts w:hint="eastAsia"/>
          <w:b/>
          <w:bCs/>
          <w:color w:val="auto"/>
        </w:rPr>
        <w:t>、地下水和土壤</w:t>
      </w:r>
      <w:r>
        <w:rPr>
          <w:b/>
          <w:bCs/>
          <w:color w:val="auto"/>
        </w:rPr>
        <w:t>监测布点图</w:t>
      </w:r>
    </w:p>
    <w:p w14:paraId="3FAB14C3">
      <w:pPr>
        <w:pStyle w:val="38"/>
        <w:spacing w:line="400" w:lineRule="exact"/>
        <w:ind w:firstLine="2891" w:firstLineChars="1200"/>
        <w:jc w:val="both"/>
        <w:rPr>
          <w:b/>
          <w:bCs/>
          <w:color w:val="auto"/>
        </w:rPr>
        <w:sectPr>
          <w:pgSz w:w="16838" w:h="11906" w:orient="landscape"/>
          <w:pgMar w:top="1304" w:right="1417" w:bottom="1304" w:left="1417" w:header="851" w:footer="851" w:gutter="0"/>
          <w:pgBorders>
            <w:top w:val="none" w:sz="0" w:space="0"/>
            <w:left w:val="none" w:sz="0" w:space="0"/>
            <w:bottom w:val="none" w:sz="0" w:space="0"/>
            <w:right w:val="none" w:sz="0" w:space="0"/>
          </w:pgBorders>
          <w:cols w:space="0" w:num="1"/>
          <w:docGrid w:linePitch="312" w:charSpace="0"/>
        </w:sectPr>
      </w:pPr>
    </w:p>
    <w:p w14:paraId="69C97E9F">
      <w:pPr>
        <w:pStyle w:val="13"/>
        <w:outlineLvl w:val="0"/>
        <w:rPr>
          <w:rFonts w:ascii="Times New Roman" w:hAnsi="Times New Roman" w:cs="Times New Roman"/>
          <w:b/>
          <w:color w:val="auto"/>
          <w:sz w:val="24"/>
          <w:szCs w:val="24"/>
        </w:rPr>
      </w:pPr>
      <w:r>
        <w:rPr>
          <w:rFonts w:ascii="Times New Roman" w:hAnsi="Times New Roman" w:cs="Times New Roman"/>
          <w:b/>
          <w:bCs/>
          <w:color w:val="auto"/>
          <w:sz w:val="24"/>
          <w:szCs w:val="24"/>
        </w:rPr>
        <w:t>附</w:t>
      </w:r>
      <w:r>
        <w:rPr>
          <w:rFonts w:hint="eastAsia" w:ascii="Times New Roman" w:hAnsi="Times New Roman" w:cs="Times New Roman"/>
          <w:b/>
          <w:bCs/>
          <w:color w:val="auto"/>
          <w:sz w:val="24"/>
          <w:szCs w:val="24"/>
        </w:rPr>
        <w:t>件</w:t>
      </w:r>
      <w:r>
        <w:rPr>
          <w:rFonts w:ascii="Times New Roman" w:hAnsi="Times New Roman" w:cs="Times New Roman"/>
          <w:b/>
          <w:bCs/>
          <w:color w:val="auto"/>
          <w:sz w:val="24"/>
          <w:szCs w:val="24"/>
        </w:rPr>
        <w:t>1</w:t>
      </w:r>
      <w:r>
        <w:rPr>
          <w:rFonts w:hint="eastAsia" w:ascii="Times New Roman" w:hAnsi="Times New Roman" w:cs="Times New Roman"/>
          <w:b/>
          <w:bCs/>
          <w:color w:val="auto"/>
          <w:sz w:val="24"/>
          <w:szCs w:val="24"/>
        </w:rPr>
        <w:t xml:space="preserve"> 委托书</w:t>
      </w:r>
    </w:p>
    <w:p w14:paraId="6B3ECD6C">
      <w:pPr>
        <w:tabs>
          <w:tab w:val="left" w:pos="1176"/>
        </w:tabs>
        <w:jc w:val="left"/>
        <w:rPr>
          <w:rFonts w:hint="eastAsia" w:eastAsia="宋体"/>
          <w:color w:val="auto"/>
          <w:lang w:eastAsia="zh-CN"/>
        </w:rPr>
        <w:sectPr>
          <w:footerReference r:id="rId13" w:type="default"/>
          <w:pgSz w:w="11906" w:h="16838"/>
          <w:pgMar w:top="720" w:right="720" w:bottom="720" w:left="720" w:header="510" w:footer="454" w:gutter="0"/>
          <w:pgBorders>
            <w:top w:val="none" w:sz="0" w:space="0"/>
            <w:left w:val="none" w:sz="0" w:space="0"/>
            <w:bottom w:val="none" w:sz="0" w:space="0"/>
            <w:right w:val="none" w:sz="0" w:space="0"/>
          </w:pgBorders>
          <w:cols w:space="0" w:num="1"/>
          <w:rtlGutter w:val="0"/>
          <w:docGrid w:linePitch="312" w:charSpace="0"/>
        </w:sectPr>
      </w:pPr>
      <w:r>
        <w:rPr>
          <w:rFonts w:hint="eastAsia" w:eastAsia="宋体"/>
          <w:color w:val="auto"/>
          <w:lang w:eastAsia="zh-CN"/>
        </w:rPr>
        <w:drawing>
          <wp:inline distT="0" distB="0" distL="114300" distR="114300">
            <wp:extent cx="6588760" cy="9325610"/>
            <wp:effectExtent l="0" t="0" r="2540" b="8890"/>
            <wp:docPr id="72" name="图片 72" descr="委托书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委托书_01"/>
                    <pic:cNvPicPr>
                      <a:picLocks noChangeAspect="1"/>
                    </pic:cNvPicPr>
                  </pic:nvPicPr>
                  <pic:blipFill>
                    <a:blip r:embed="rId38"/>
                    <a:stretch>
                      <a:fillRect/>
                    </a:stretch>
                  </pic:blipFill>
                  <pic:spPr>
                    <a:xfrm>
                      <a:off x="0" y="0"/>
                      <a:ext cx="6588760" cy="9325610"/>
                    </a:xfrm>
                    <a:prstGeom prst="rect">
                      <a:avLst/>
                    </a:prstGeom>
                  </pic:spPr>
                </pic:pic>
              </a:graphicData>
            </a:graphic>
          </wp:inline>
        </w:drawing>
      </w:r>
    </w:p>
    <w:p w14:paraId="6E36356C">
      <w:pPr>
        <w:pStyle w:val="13"/>
        <w:outlineLvl w:val="0"/>
        <w:rPr>
          <w:rFonts w:ascii="Times New Roman" w:hAnsi="Times New Roman" w:cs="Times New Roman"/>
          <w:b/>
          <w:color w:val="auto"/>
          <w:sz w:val="24"/>
          <w:szCs w:val="24"/>
        </w:rPr>
      </w:pPr>
      <w:r>
        <w:rPr>
          <w:rFonts w:hint="eastAsia" w:ascii="Times New Roman" w:hAnsi="Times New Roman" w:cs="Times New Roman"/>
          <w:b/>
          <w:color w:val="auto"/>
          <w:sz w:val="24"/>
          <w:szCs w:val="24"/>
        </w:rPr>
        <w:t xml:space="preserve">附件2  </w:t>
      </w:r>
      <w:commentRangeStart w:id="40"/>
      <w:commentRangeStart w:id="41"/>
      <w:r>
        <w:rPr>
          <w:rFonts w:hint="eastAsia" w:ascii="Times New Roman" w:hAnsi="Times New Roman" w:cs="Times New Roman"/>
          <w:b/>
          <w:color w:val="auto"/>
          <w:sz w:val="24"/>
          <w:szCs w:val="24"/>
        </w:rPr>
        <w:t>项目备案告知书</w:t>
      </w:r>
      <w:commentRangeEnd w:id="40"/>
      <w:r>
        <w:rPr>
          <w:color w:val="auto"/>
        </w:rPr>
        <w:commentReference w:id="40"/>
      </w:r>
      <w:commentRangeEnd w:id="41"/>
      <w:r>
        <w:commentReference w:id="41"/>
      </w:r>
    </w:p>
    <w:p w14:paraId="3450A989">
      <w:pPr>
        <w:pStyle w:val="38"/>
        <w:spacing w:line="240" w:lineRule="auto"/>
        <w:ind w:firstLine="0" w:firstLineChars="0"/>
        <w:jc w:val="center"/>
        <w:rPr>
          <w:color w:val="auto"/>
        </w:rPr>
      </w:pPr>
      <w:r>
        <w:rPr>
          <w:color w:val="auto"/>
        </w:rPr>
        <w:drawing>
          <wp:inline distT="0" distB="0" distL="114300" distR="114300">
            <wp:extent cx="6639560" cy="9364345"/>
            <wp:effectExtent l="0" t="0" r="0" b="0"/>
            <wp:docPr id="105" name="图片 105" descr="金属再生资源综合利用项目备案告知书(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金属再生资源综合利用项目备案告知书(1)_01"/>
                    <pic:cNvPicPr>
                      <a:picLocks noChangeAspect="1"/>
                    </pic:cNvPicPr>
                  </pic:nvPicPr>
                  <pic:blipFill>
                    <a:blip r:embed="rId39"/>
                    <a:srcRect b="318"/>
                    <a:stretch>
                      <a:fillRect/>
                    </a:stretch>
                  </pic:blipFill>
                  <pic:spPr>
                    <a:xfrm>
                      <a:off x="0" y="0"/>
                      <a:ext cx="6639560" cy="9364345"/>
                    </a:xfrm>
                    <a:prstGeom prst="rect">
                      <a:avLst/>
                    </a:prstGeom>
                  </pic:spPr>
                </pic:pic>
              </a:graphicData>
            </a:graphic>
          </wp:inline>
        </w:drawing>
      </w:r>
    </w:p>
    <w:p w14:paraId="2967CB94">
      <w:pPr>
        <w:pStyle w:val="13"/>
        <w:outlineLvl w:val="0"/>
        <w:rPr>
          <w:rFonts w:ascii="Times New Roman" w:hAnsi="Times New Roman" w:cs="Times New Roman"/>
          <w:b/>
          <w:color w:val="auto"/>
          <w:sz w:val="24"/>
          <w:szCs w:val="24"/>
        </w:rPr>
        <w:sectPr>
          <w:pgSz w:w="11906" w:h="16838"/>
          <w:pgMar w:top="720" w:right="720" w:bottom="720" w:left="720" w:header="567" w:footer="567" w:gutter="0"/>
          <w:pgBorders>
            <w:top w:val="none" w:sz="0" w:space="0"/>
            <w:left w:val="none" w:sz="0" w:space="0"/>
            <w:bottom w:val="none" w:sz="0" w:space="0"/>
            <w:right w:val="none" w:sz="0" w:space="0"/>
          </w:pgBorders>
          <w:cols w:space="0" w:num="1"/>
          <w:rtlGutter w:val="0"/>
          <w:docGrid w:linePitch="312" w:charSpace="0"/>
        </w:sectPr>
      </w:pPr>
    </w:p>
    <w:p w14:paraId="24ABB85A">
      <w:pPr>
        <w:pStyle w:val="13"/>
        <w:jc w:val="left"/>
        <w:outlineLvl w:val="0"/>
        <w:rPr>
          <w:rFonts w:ascii="Times New Roman" w:hAnsi="Times New Roman" w:cs="Times New Roman"/>
          <w:b/>
          <w:color w:val="auto"/>
          <w:sz w:val="24"/>
          <w:szCs w:val="24"/>
        </w:rPr>
      </w:pPr>
      <w:r>
        <w:rPr>
          <w:rFonts w:hint="eastAsia" w:ascii="Times New Roman" w:hAnsi="Times New Roman" w:cs="Times New Roman"/>
          <w:b/>
          <w:color w:val="auto"/>
          <w:sz w:val="24"/>
          <w:szCs w:val="24"/>
        </w:rPr>
        <w:t>附件3  入园协议</w:t>
      </w:r>
    </w:p>
    <w:p w14:paraId="01D1983B">
      <w:pPr>
        <w:pStyle w:val="13"/>
        <w:jc w:val="left"/>
        <w:outlineLvl w:val="0"/>
        <w:rPr>
          <w:rFonts w:ascii="Times New Roman" w:hAnsi="Times New Roman" w:cs="Times New Roman"/>
          <w:b/>
          <w:color w:val="auto"/>
          <w:sz w:val="24"/>
          <w:szCs w:val="24"/>
        </w:rPr>
        <w:sectPr>
          <w:pgSz w:w="11906" w:h="16838"/>
          <w:pgMar w:top="720" w:right="720" w:bottom="720" w:left="720" w:header="567" w:footer="567" w:gutter="0"/>
          <w:pgBorders>
            <w:top w:val="none" w:sz="0" w:space="0"/>
            <w:left w:val="none" w:sz="0" w:space="0"/>
            <w:bottom w:val="none" w:sz="0" w:space="0"/>
            <w:right w:val="none" w:sz="0" w:space="0"/>
          </w:pgBorders>
          <w:cols w:space="0" w:num="1"/>
          <w:rtlGutter w:val="0"/>
          <w:docGrid w:linePitch="312" w:charSpace="0"/>
        </w:sectPr>
      </w:pPr>
      <w:r>
        <w:rPr>
          <w:rFonts w:ascii="Times New Roman" w:hAnsi="Times New Roman" w:cs="Times New Roman"/>
          <w:b/>
          <w:color w:val="auto"/>
          <w:sz w:val="24"/>
          <w:szCs w:val="24"/>
        </w:rPr>
        <w:drawing>
          <wp:inline distT="0" distB="0" distL="114300" distR="114300">
            <wp:extent cx="6645275" cy="9223375"/>
            <wp:effectExtent l="0" t="0" r="0" b="0"/>
            <wp:docPr id="78" name="图片 78" descr="1767577163275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1767577163275_01"/>
                    <pic:cNvPicPr>
                      <a:picLocks noChangeAspect="1"/>
                    </pic:cNvPicPr>
                  </pic:nvPicPr>
                  <pic:blipFill>
                    <a:blip r:embed="rId40"/>
                    <a:srcRect b="1865"/>
                    <a:stretch>
                      <a:fillRect/>
                    </a:stretch>
                  </pic:blipFill>
                  <pic:spPr>
                    <a:xfrm>
                      <a:off x="0" y="0"/>
                      <a:ext cx="6645275" cy="9223375"/>
                    </a:xfrm>
                    <a:prstGeom prst="rect">
                      <a:avLst/>
                    </a:prstGeom>
                  </pic:spPr>
                </pic:pic>
              </a:graphicData>
            </a:graphic>
          </wp:inline>
        </w:drawing>
      </w:r>
      <w:r>
        <w:rPr>
          <w:rFonts w:ascii="Times New Roman" w:hAnsi="Times New Roman" w:cs="Times New Roman"/>
          <w:b/>
          <w:color w:val="auto"/>
          <w:sz w:val="24"/>
          <w:szCs w:val="24"/>
        </w:rPr>
        <w:drawing>
          <wp:inline distT="0" distB="0" distL="114300" distR="114300">
            <wp:extent cx="6645275" cy="9199880"/>
            <wp:effectExtent l="0" t="0" r="3175" b="1270"/>
            <wp:docPr id="77" name="图片 77" descr="1767577163275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1767577163275_02"/>
                    <pic:cNvPicPr>
                      <a:picLocks noChangeAspect="1"/>
                    </pic:cNvPicPr>
                  </pic:nvPicPr>
                  <pic:blipFill>
                    <a:blip r:embed="rId41"/>
                    <a:srcRect b="2115"/>
                    <a:stretch>
                      <a:fillRect/>
                    </a:stretch>
                  </pic:blipFill>
                  <pic:spPr>
                    <a:xfrm>
                      <a:off x="0" y="0"/>
                      <a:ext cx="6645275" cy="9199880"/>
                    </a:xfrm>
                    <a:prstGeom prst="rect">
                      <a:avLst/>
                    </a:prstGeom>
                  </pic:spPr>
                </pic:pic>
              </a:graphicData>
            </a:graphic>
          </wp:inline>
        </w:drawing>
      </w:r>
    </w:p>
    <w:p w14:paraId="5F4D8681">
      <w:pPr>
        <w:pStyle w:val="13"/>
        <w:outlineLvl w:val="0"/>
        <w:rPr>
          <w:rFonts w:ascii="Times New Roman" w:hAnsi="Times New Roman" w:cs="Times New Roman"/>
          <w:b/>
          <w:color w:val="auto"/>
          <w:sz w:val="24"/>
          <w:szCs w:val="24"/>
        </w:rPr>
      </w:pPr>
      <w:r>
        <w:rPr>
          <w:rFonts w:hint="eastAsia" w:ascii="Times New Roman" w:hAnsi="Times New Roman" w:cs="Times New Roman"/>
          <w:b/>
          <w:color w:val="auto"/>
          <w:sz w:val="24"/>
          <w:szCs w:val="24"/>
        </w:rPr>
        <w:t>附件4  不动产权证</w:t>
      </w:r>
    </w:p>
    <w:p w14:paraId="3FC6C4F5">
      <w:pPr>
        <w:pStyle w:val="38"/>
        <w:spacing w:line="240" w:lineRule="auto"/>
        <w:ind w:firstLine="0" w:firstLineChars="0"/>
        <w:jc w:val="center"/>
        <w:rPr>
          <w:color w:val="auto"/>
        </w:rPr>
      </w:pPr>
      <w:r>
        <w:rPr>
          <w:rFonts w:hint="eastAsia"/>
          <w:b/>
          <w:color w:val="auto"/>
          <w:szCs w:val="24"/>
        </w:rPr>
        <w:drawing>
          <wp:inline distT="0" distB="0" distL="114300" distR="114300">
            <wp:extent cx="6588760" cy="9344025"/>
            <wp:effectExtent l="0" t="0" r="0" b="0"/>
            <wp:docPr id="115" name="图片 115" descr="不动产权证（金属再生资源）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不动产权证（金属再生资源）_01"/>
                    <pic:cNvPicPr>
                      <a:picLocks noChangeAspect="1"/>
                    </pic:cNvPicPr>
                  </pic:nvPicPr>
                  <pic:blipFill>
                    <a:blip r:embed="rId42"/>
                    <a:srcRect t="930" b="1309"/>
                    <a:stretch>
                      <a:fillRect/>
                    </a:stretch>
                  </pic:blipFill>
                  <pic:spPr>
                    <a:xfrm>
                      <a:off x="0" y="0"/>
                      <a:ext cx="6588760" cy="9344025"/>
                    </a:xfrm>
                    <a:prstGeom prst="rect">
                      <a:avLst/>
                    </a:prstGeom>
                  </pic:spPr>
                </pic:pic>
              </a:graphicData>
            </a:graphic>
          </wp:inline>
        </w:drawing>
      </w:r>
    </w:p>
    <w:p w14:paraId="7212023E">
      <w:pPr>
        <w:pStyle w:val="13"/>
        <w:outlineLvl w:val="0"/>
        <w:rPr>
          <w:rFonts w:ascii="Times New Roman" w:hAnsi="Times New Roman" w:cs="Times New Roman"/>
          <w:b/>
          <w:color w:val="auto"/>
          <w:sz w:val="24"/>
          <w:szCs w:val="24"/>
        </w:rPr>
        <w:sectPr>
          <w:pgSz w:w="11906" w:h="16838"/>
          <w:pgMar w:top="720" w:right="720" w:bottom="720" w:left="720" w:header="567" w:footer="567" w:gutter="0"/>
          <w:pgBorders>
            <w:top w:val="none" w:sz="0" w:space="0"/>
            <w:left w:val="none" w:sz="0" w:space="0"/>
            <w:bottom w:val="none" w:sz="0" w:space="0"/>
            <w:right w:val="none" w:sz="0" w:space="0"/>
          </w:pgBorders>
          <w:cols w:space="0" w:num="1"/>
          <w:rtlGutter w:val="0"/>
          <w:docGrid w:linePitch="312" w:charSpace="0"/>
        </w:sectPr>
      </w:pPr>
      <w:r>
        <w:rPr>
          <w:rFonts w:hint="eastAsia" w:ascii="Times New Roman" w:hAnsi="Times New Roman" w:cs="Times New Roman"/>
          <w:b/>
          <w:color w:val="auto"/>
          <w:sz w:val="24"/>
          <w:szCs w:val="24"/>
        </w:rPr>
        <w:drawing>
          <wp:inline distT="0" distB="0" distL="114300" distR="114300">
            <wp:extent cx="6565900" cy="9558020"/>
            <wp:effectExtent l="0" t="0" r="6350" b="5080"/>
            <wp:docPr id="114" name="图片 114" descr="不动产权证（金属再生资源）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不动产权证（金属再生资源）_02"/>
                    <pic:cNvPicPr>
                      <a:picLocks noChangeAspect="1"/>
                    </pic:cNvPicPr>
                  </pic:nvPicPr>
                  <pic:blipFill>
                    <a:blip r:embed="rId43"/>
                    <a:stretch>
                      <a:fillRect/>
                    </a:stretch>
                  </pic:blipFill>
                  <pic:spPr>
                    <a:xfrm>
                      <a:off x="0" y="0"/>
                      <a:ext cx="6565900" cy="9558020"/>
                    </a:xfrm>
                    <a:prstGeom prst="rect">
                      <a:avLst/>
                    </a:prstGeom>
                  </pic:spPr>
                </pic:pic>
              </a:graphicData>
            </a:graphic>
          </wp:inline>
        </w:drawing>
      </w:r>
      <w:r>
        <w:rPr>
          <w:rFonts w:hint="eastAsia" w:ascii="Times New Roman" w:hAnsi="Times New Roman" w:cs="Times New Roman"/>
          <w:b/>
          <w:color w:val="auto"/>
          <w:sz w:val="24"/>
          <w:szCs w:val="24"/>
        </w:rPr>
        <w:drawing>
          <wp:inline distT="0" distB="0" distL="114300" distR="114300">
            <wp:extent cx="6611620" cy="9557385"/>
            <wp:effectExtent l="0" t="0" r="17780" b="5715"/>
            <wp:docPr id="113" name="图片 113" descr="不动产权证（金属再生资源）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不动产权证（金属再生资源）_03"/>
                    <pic:cNvPicPr>
                      <a:picLocks noChangeAspect="1"/>
                    </pic:cNvPicPr>
                  </pic:nvPicPr>
                  <pic:blipFill>
                    <a:blip r:embed="rId44"/>
                    <a:stretch>
                      <a:fillRect/>
                    </a:stretch>
                  </pic:blipFill>
                  <pic:spPr>
                    <a:xfrm>
                      <a:off x="0" y="0"/>
                      <a:ext cx="6611620" cy="9557385"/>
                    </a:xfrm>
                    <a:prstGeom prst="rect">
                      <a:avLst/>
                    </a:prstGeom>
                  </pic:spPr>
                </pic:pic>
              </a:graphicData>
            </a:graphic>
          </wp:inline>
        </w:drawing>
      </w:r>
    </w:p>
    <w:p w14:paraId="0FDDFE3E">
      <w:pPr>
        <w:pStyle w:val="13"/>
        <w:outlineLvl w:val="0"/>
        <w:rPr>
          <w:rFonts w:ascii="Times New Roman" w:hAnsi="Times New Roman" w:cs="Times New Roman"/>
          <w:b/>
          <w:color w:val="auto"/>
          <w:sz w:val="24"/>
          <w:szCs w:val="24"/>
        </w:rPr>
      </w:pPr>
      <w:r>
        <w:rPr>
          <w:rFonts w:hint="eastAsia" w:ascii="Times New Roman" w:hAnsi="Times New Roman" w:cs="Times New Roman"/>
          <w:b/>
          <w:color w:val="auto"/>
          <w:sz w:val="24"/>
          <w:szCs w:val="24"/>
        </w:rPr>
        <w:t>附件5  建设用地规划条件意见书</w:t>
      </w:r>
    </w:p>
    <w:p w14:paraId="13887727">
      <w:pPr>
        <w:pStyle w:val="38"/>
        <w:spacing w:line="240" w:lineRule="auto"/>
        <w:ind w:firstLine="0" w:firstLineChars="0"/>
        <w:jc w:val="center"/>
        <w:rPr>
          <w:color w:val="auto"/>
        </w:rPr>
      </w:pPr>
      <w:r>
        <w:rPr>
          <w:rFonts w:hint="eastAsia"/>
          <w:b/>
          <w:color w:val="auto"/>
          <w:szCs w:val="24"/>
        </w:rPr>
        <w:drawing>
          <wp:inline distT="0" distB="0" distL="114300" distR="114300">
            <wp:extent cx="6641465" cy="9165590"/>
            <wp:effectExtent l="0" t="0" r="6985" b="16510"/>
            <wp:docPr id="121" name="图片 121" descr="条件意见书（金属再生资源）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条件意见书（金属再生资源）_01"/>
                    <pic:cNvPicPr>
                      <a:picLocks noChangeAspect="1"/>
                    </pic:cNvPicPr>
                  </pic:nvPicPr>
                  <pic:blipFill>
                    <a:blip r:embed="rId45"/>
                    <a:stretch>
                      <a:fillRect/>
                    </a:stretch>
                  </pic:blipFill>
                  <pic:spPr>
                    <a:xfrm>
                      <a:off x="0" y="0"/>
                      <a:ext cx="6641465" cy="9165590"/>
                    </a:xfrm>
                    <a:prstGeom prst="rect">
                      <a:avLst/>
                    </a:prstGeom>
                  </pic:spPr>
                </pic:pic>
              </a:graphicData>
            </a:graphic>
          </wp:inline>
        </w:drawing>
      </w:r>
    </w:p>
    <w:p w14:paraId="7CD1598E">
      <w:pPr>
        <w:pStyle w:val="38"/>
        <w:ind w:firstLine="480"/>
        <w:rPr>
          <w:color w:val="auto"/>
        </w:rPr>
        <w:sectPr>
          <w:pgSz w:w="11906" w:h="16838"/>
          <w:pgMar w:top="720" w:right="720" w:bottom="720" w:left="720" w:header="567" w:footer="567" w:gutter="0"/>
          <w:pgBorders>
            <w:top w:val="none" w:sz="0" w:space="0"/>
            <w:left w:val="none" w:sz="0" w:space="0"/>
            <w:bottom w:val="none" w:sz="0" w:space="0"/>
            <w:right w:val="none" w:sz="0" w:space="0"/>
          </w:pgBorders>
          <w:cols w:space="0" w:num="1"/>
          <w:rtlGutter w:val="0"/>
          <w:docGrid w:linePitch="312" w:charSpace="0"/>
        </w:sectPr>
      </w:pPr>
    </w:p>
    <w:p w14:paraId="3DB093B2">
      <w:pPr>
        <w:pStyle w:val="13"/>
        <w:jc w:val="center"/>
        <w:rPr>
          <w:rFonts w:ascii="Times New Roman" w:hAnsi="Times New Roman" w:cs="Times New Roman"/>
          <w:b/>
          <w:color w:val="auto"/>
          <w:sz w:val="24"/>
          <w:szCs w:val="24"/>
        </w:rPr>
        <w:sectPr>
          <w:type w:val="continuous"/>
          <w:pgSz w:w="11906" w:h="16838"/>
          <w:pgMar w:top="720" w:right="720" w:bottom="720" w:left="720" w:header="851" w:footer="851" w:gutter="0"/>
          <w:pgBorders>
            <w:top w:val="none" w:sz="0" w:space="0"/>
            <w:left w:val="none" w:sz="0" w:space="0"/>
            <w:bottom w:val="none" w:sz="0" w:space="0"/>
            <w:right w:val="none" w:sz="0" w:space="0"/>
          </w:pgBorders>
          <w:cols w:space="0" w:num="1"/>
          <w:docGrid w:linePitch="312" w:charSpace="0"/>
        </w:sectPr>
      </w:pPr>
      <w:r>
        <w:rPr>
          <w:rFonts w:hint="eastAsia" w:ascii="Times New Roman" w:hAnsi="Times New Roman" w:cs="Times New Roman"/>
          <w:b/>
          <w:color w:val="auto"/>
          <w:sz w:val="24"/>
          <w:szCs w:val="24"/>
        </w:rPr>
        <w:drawing>
          <wp:inline distT="0" distB="0" distL="114300" distR="114300">
            <wp:extent cx="6604000" cy="9556750"/>
            <wp:effectExtent l="0" t="0" r="6350" b="6350"/>
            <wp:docPr id="120" name="图片 120" descr="条件意见书（金属再生资源）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条件意见书（金属再生资源）_02"/>
                    <pic:cNvPicPr>
                      <a:picLocks noChangeAspect="1"/>
                    </pic:cNvPicPr>
                  </pic:nvPicPr>
                  <pic:blipFill>
                    <a:blip r:embed="rId46"/>
                    <a:stretch>
                      <a:fillRect/>
                    </a:stretch>
                  </pic:blipFill>
                  <pic:spPr>
                    <a:xfrm>
                      <a:off x="0" y="0"/>
                      <a:ext cx="6604000" cy="9556750"/>
                    </a:xfrm>
                    <a:prstGeom prst="rect">
                      <a:avLst/>
                    </a:prstGeom>
                  </pic:spPr>
                </pic:pic>
              </a:graphicData>
            </a:graphic>
          </wp:inline>
        </w:drawing>
      </w:r>
      <w:r>
        <w:rPr>
          <w:rFonts w:hint="eastAsia" w:ascii="Times New Roman" w:hAnsi="Times New Roman" w:cs="Times New Roman"/>
          <w:b/>
          <w:color w:val="auto"/>
          <w:sz w:val="24"/>
          <w:szCs w:val="24"/>
        </w:rPr>
        <w:drawing>
          <wp:inline distT="0" distB="0" distL="114300" distR="114300">
            <wp:extent cx="6641465" cy="9232900"/>
            <wp:effectExtent l="0" t="0" r="6985" b="6350"/>
            <wp:docPr id="117" name="图片 117" descr="条件意见书（金属再生资源）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条件意见书（金属再生资源）_03"/>
                    <pic:cNvPicPr>
                      <a:picLocks noChangeAspect="1"/>
                    </pic:cNvPicPr>
                  </pic:nvPicPr>
                  <pic:blipFill>
                    <a:blip r:embed="rId47"/>
                    <a:stretch>
                      <a:fillRect/>
                    </a:stretch>
                  </pic:blipFill>
                  <pic:spPr>
                    <a:xfrm>
                      <a:off x="0" y="0"/>
                      <a:ext cx="6641465" cy="9232900"/>
                    </a:xfrm>
                    <a:prstGeom prst="rect">
                      <a:avLst/>
                    </a:prstGeom>
                  </pic:spPr>
                </pic:pic>
              </a:graphicData>
            </a:graphic>
          </wp:inline>
        </w:drawing>
      </w:r>
      <w:r>
        <w:rPr>
          <w:rFonts w:hint="eastAsia" w:ascii="Times New Roman" w:hAnsi="Times New Roman" w:cs="Times New Roman"/>
          <w:b/>
          <w:color w:val="auto"/>
          <w:sz w:val="24"/>
          <w:szCs w:val="24"/>
        </w:rPr>
        <w:drawing>
          <wp:inline distT="0" distB="0" distL="114300" distR="114300">
            <wp:extent cx="6641465" cy="9019540"/>
            <wp:effectExtent l="0" t="0" r="6985" b="10160"/>
            <wp:docPr id="116" name="图片 116" descr="条件意见书（金属再生资源）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条件意见书（金属再生资源）_04"/>
                    <pic:cNvPicPr>
                      <a:picLocks noChangeAspect="1"/>
                    </pic:cNvPicPr>
                  </pic:nvPicPr>
                  <pic:blipFill>
                    <a:blip r:embed="rId48"/>
                    <a:stretch>
                      <a:fillRect/>
                    </a:stretch>
                  </pic:blipFill>
                  <pic:spPr>
                    <a:xfrm>
                      <a:off x="0" y="0"/>
                      <a:ext cx="6641465" cy="9019540"/>
                    </a:xfrm>
                    <a:prstGeom prst="rect">
                      <a:avLst/>
                    </a:prstGeom>
                  </pic:spPr>
                </pic:pic>
              </a:graphicData>
            </a:graphic>
          </wp:inline>
        </w:drawing>
      </w:r>
    </w:p>
    <w:p w14:paraId="6109D56B">
      <w:pPr>
        <w:pStyle w:val="13"/>
        <w:jc w:val="left"/>
        <w:rPr>
          <w:rFonts w:ascii="Times New Roman" w:hAnsi="Times New Roman" w:cs="Times New Roman"/>
          <w:b/>
          <w:color w:val="auto"/>
          <w:sz w:val="24"/>
          <w:szCs w:val="24"/>
        </w:rPr>
      </w:pPr>
      <w:r>
        <w:rPr>
          <w:rFonts w:hint="eastAsia" w:ascii="Times New Roman" w:hAnsi="Times New Roman" w:cs="Times New Roman"/>
          <w:b/>
          <w:color w:val="auto"/>
          <w:sz w:val="24"/>
          <w:szCs w:val="24"/>
        </w:rPr>
        <w:t>附件6  建设用地规划许可证</w:t>
      </w:r>
    </w:p>
    <w:p w14:paraId="10989E4C">
      <w:pPr>
        <w:pStyle w:val="13"/>
        <w:jc w:val="center"/>
        <w:rPr>
          <w:rFonts w:ascii="Times New Roman" w:hAnsi="Times New Roman" w:cs="Times New Roman"/>
          <w:b/>
          <w:color w:val="auto"/>
          <w:sz w:val="24"/>
          <w:szCs w:val="24"/>
        </w:rPr>
        <w:sectPr>
          <w:pgSz w:w="11906" w:h="16838"/>
          <w:pgMar w:top="720" w:right="720" w:bottom="720" w:left="720" w:header="567" w:footer="567" w:gutter="0"/>
          <w:pgBorders>
            <w:top w:val="none" w:sz="0" w:space="0"/>
            <w:left w:val="none" w:sz="0" w:space="0"/>
            <w:bottom w:val="none" w:sz="0" w:space="0"/>
            <w:right w:val="none" w:sz="0" w:space="0"/>
          </w:pgBorders>
          <w:cols w:space="0" w:num="1"/>
          <w:rtlGutter w:val="0"/>
          <w:docGrid w:linePitch="312" w:charSpace="0"/>
        </w:sectPr>
      </w:pPr>
      <w:r>
        <w:rPr>
          <w:rFonts w:ascii="Times New Roman" w:hAnsi="Times New Roman" w:cs="Times New Roman"/>
          <w:b/>
          <w:color w:val="auto"/>
          <w:sz w:val="24"/>
          <w:szCs w:val="24"/>
        </w:rPr>
        <w:drawing>
          <wp:inline distT="0" distB="0" distL="114300" distR="114300">
            <wp:extent cx="9296400" cy="6643370"/>
            <wp:effectExtent l="0" t="0" r="5080" b="0"/>
            <wp:docPr id="65" name="图片 65" descr="金属再生资源建设用地规划许可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金属再生资源建设用地规划许可证_01"/>
                    <pic:cNvPicPr>
                      <a:picLocks noChangeAspect="1"/>
                    </pic:cNvPicPr>
                  </pic:nvPicPr>
                  <pic:blipFill>
                    <a:blip r:embed="rId49"/>
                    <a:srcRect l="1001"/>
                    <a:stretch>
                      <a:fillRect/>
                    </a:stretch>
                  </pic:blipFill>
                  <pic:spPr>
                    <a:xfrm rot="16200000">
                      <a:off x="0" y="0"/>
                      <a:ext cx="9296400" cy="6643370"/>
                    </a:xfrm>
                    <a:prstGeom prst="rect">
                      <a:avLst/>
                    </a:prstGeom>
                  </pic:spPr>
                </pic:pic>
              </a:graphicData>
            </a:graphic>
          </wp:inline>
        </w:drawing>
      </w:r>
      <w:r>
        <w:rPr>
          <w:rFonts w:ascii="Times New Roman" w:hAnsi="Times New Roman" w:cs="Times New Roman"/>
          <w:b/>
          <w:color w:val="auto"/>
          <w:sz w:val="24"/>
          <w:szCs w:val="24"/>
        </w:rPr>
        <w:drawing>
          <wp:inline distT="0" distB="0" distL="114300" distR="114300">
            <wp:extent cx="9558020" cy="6445250"/>
            <wp:effectExtent l="0" t="0" r="12700" b="5080"/>
            <wp:docPr id="64" name="图片 64" descr="金属再生资源建设用地规划许可证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金属再生资源建设用地规划许可证_02"/>
                    <pic:cNvPicPr>
                      <a:picLocks noChangeAspect="1"/>
                    </pic:cNvPicPr>
                  </pic:nvPicPr>
                  <pic:blipFill>
                    <a:blip r:embed="rId50"/>
                    <a:stretch>
                      <a:fillRect/>
                    </a:stretch>
                  </pic:blipFill>
                  <pic:spPr>
                    <a:xfrm rot="16200000">
                      <a:off x="0" y="0"/>
                      <a:ext cx="9558020" cy="6445250"/>
                    </a:xfrm>
                    <a:prstGeom prst="rect">
                      <a:avLst/>
                    </a:prstGeom>
                  </pic:spPr>
                </pic:pic>
              </a:graphicData>
            </a:graphic>
          </wp:inline>
        </w:drawing>
      </w:r>
      <w:r>
        <w:rPr>
          <w:rFonts w:ascii="Times New Roman" w:hAnsi="Times New Roman" w:cs="Times New Roman"/>
          <w:b/>
          <w:color w:val="auto"/>
          <w:sz w:val="24"/>
          <w:szCs w:val="24"/>
        </w:rPr>
        <w:drawing>
          <wp:inline distT="0" distB="0" distL="114300" distR="114300">
            <wp:extent cx="9558020" cy="6445250"/>
            <wp:effectExtent l="0" t="0" r="12700" b="5080"/>
            <wp:docPr id="63" name="图片 63" descr="金属再生资源建设用地规划许可证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金属再生资源建设用地规划许可证_03"/>
                    <pic:cNvPicPr>
                      <a:picLocks noChangeAspect="1"/>
                    </pic:cNvPicPr>
                  </pic:nvPicPr>
                  <pic:blipFill>
                    <a:blip r:embed="rId51"/>
                    <a:stretch>
                      <a:fillRect/>
                    </a:stretch>
                  </pic:blipFill>
                  <pic:spPr>
                    <a:xfrm rot="16200000">
                      <a:off x="0" y="0"/>
                      <a:ext cx="9558020" cy="6445250"/>
                    </a:xfrm>
                    <a:prstGeom prst="rect">
                      <a:avLst/>
                    </a:prstGeom>
                  </pic:spPr>
                </pic:pic>
              </a:graphicData>
            </a:graphic>
          </wp:inline>
        </w:drawing>
      </w:r>
    </w:p>
    <w:p w14:paraId="0B9FFDB8">
      <w:pPr>
        <w:pStyle w:val="13"/>
        <w:jc w:val="left"/>
        <w:rPr>
          <w:rFonts w:ascii="Times New Roman" w:hAnsi="Times New Roman" w:cs="Times New Roman"/>
          <w:b/>
          <w:color w:val="auto"/>
          <w:sz w:val="24"/>
          <w:szCs w:val="24"/>
        </w:rPr>
      </w:pPr>
      <w:r>
        <w:rPr>
          <w:rFonts w:hint="eastAsia" w:ascii="Times New Roman" w:hAnsi="Times New Roman" w:cs="Times New Roman"/>
          <w:b/>
          <w:color w:val="auto"/>
          <w:sz w:val="24"/>
          <w:szCs w:val="24"/>
        </w:rPr>
        <w:t>附件7  鄂托克旗文化和旅游局局关于文物调查的函</w:t>
      </w:r>
    </w:p>
    <w:p w14:paraId="0BA336B8">
      <w:pPr>
        <w:pStyle w:val="13"/>
        <w:jc w:val="center"/>
        <w:rPr>
          <w:rFonts w:ascii="Times New Roman" w:hAnsi="Times New Roman" w:cs="Times New Roman"/>
          <w:b/>
          <w:color w:val="auto"/>
          <w:sz w:val="24"/>
          <w:szCs w:val="24"/>
        </w:rPr>
      </w:pPr>
      <w:r>
        <w:rPr>
          <w:rFonts w:hint="eastAsia" w:ascii="Times New Roman" w:hAnsi="Times New Roman" w:cs="Times New Roman"/>
          <w:b/>
          <w:color w:val="auto"/>
          <w:sz w:val="24"/>
          <w:szCs w:val="24"/>
        </w:rPr>
        <w:drawing>
          <wp:inline distT="0" distB="0" distL="114300" distR="114300">
            <wp:extent cx="6641465" cy="9213850"/>
            <wp:effectExtent l="0" t="0" r="6985" b="6350"/>
            <wp:docPr id="123" name="图片 123" descr="文旅文物调查的复函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文旅文物调查的复函_01"/>
                    <pic:cNvPicPr>
                      <a:picLocks noChangeAspect="1"/>
                    </pic:cNvPicPr>
                  </pic:nvPicPr>
                  <pic:blipFill>
                    <a:blip r:embed="rId52"/>
                    <a:srcRect t="1083" b="657"/>
                    <a:stretch>
                      <a:fillRect/>
                    </a:stretch>
                  </pic:blipFill>
                  <pic:spPr>
                    <a:xfrm>
                      <a:off x="0" y="0"/>
                      <a:ext cx="6641465" cy="9213850"/>
                    </a:xfrm>
                    <a:prstGeom prst="rect">
                      <a:avLst/>
                    </a:prstGeom>
                  </pic:spPr>
                </pic:pic>
              </a:graphicData>
            </a:graphic>
          </wp:inline>
        </w:drawing>
      </w:r>
    </w:p>
    <w:p w14:paraId="20D6622B">
      <w:pPr>
        <w:pStyle w:val="13"/>
        <w:jc w:val="left"/>
        <w:rPr>
          <w:rFonts w:hint="eastAsia" w:ascii="Times New Roman" w:hAnsi="Times New Roman" w:cs="Times New Roman"/>
          <w:b/>
          <w:color w:val="auto"/>
          <w:sz w:val="24"/>
          <w:szCs w:val="24"/>
        </w:rPr>
        <w:sectPr>
          <w:pgSz w:w="11906" w:h="16838"/>
          <w:pgMar w:top="720" w:right="720" w:bottom="720" w:left="720" w:header="567" w:footer="567" w:gutter="0"/>
          <w:pgBorders>
            <w:top w:val="none" w:sz="0" w:space="0"/>
            <w:left w:val="none" w:sz="0" w:space="0"/>
            <w:bottom w:val="none" w:sz="0" w:space="0"/>
            <w:right w:val="none" w:sz="0" w:space="0"/>
          </w:pgBorders>
          <w:cols w:space="0" w:num="1"/>
          <w:rtlGutter w:val="0"/>
          <w:docGrid w:linePitch="312" w:charSpace="0"/>
        </w:sectPr>
      </w:pPr>
      <w:r>
        <w:rPr>
          <w:rFonts w:hint="eastAsia" w:ascii="Times New Roman" w:hAnsi="Times New Roman" w:cs="Times New Roman"/>
          <w:b/>
          <w:color w:val="auto"/>
          <w:sz w:val="24"/>
          <w:szCs w:val="24"/>
        </w:rPr>
        <w:drawing>
          <wp:inline distT="0" distB="0" distL="114300" distR="114300">
            <wp:extent cx="6684645" cy="9168130"/>
            <wp:effectExtent l="0" t="0" r="1905" b="13970"/>
            <wp:docPr id="122" name="图片 122" descr="文旅文物调查的复函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文旅文物调查的复函_02"/>
                    <pic:cNvPicPr>
                      <a:picLocks noChangeAspect="1"/>
                    </pic:cNvPicPr>
                  </pic:nvPicPr>
                  <pic:blipFill>
                    <a:blip r:embed="rId53"/>
                    <a:srcRect l="1071" t="560" b="154"/>
                    <a:stretch>
                      <a:fillRect/>
                    </a:stretch>
                  </pic:blipFill>
                  <pic:spPr>
                    <a:xfrm>
                      <a:off x="0" y="0"/>
                      <a:ext cx="6684645" cy="9168130"/>
                    </a:xfrm>
                    <a:prstGeom prst="rect">
                      <a:avLst/>
                    </a:prstGeom>
                  </pic:spPr>
                </pic:pic>
              </a:graphicData>
            </a:graphic>
          </wp:inline>
        </w:drawing>
      </w:r>
    </w:p>
    <w:p w14:paraId="47E0E369">
      <w:pPr>
        <w:pStyle w:val="38"/>
        <w:spacing w:line="240" w:lineRule="auto"/>
        <w:ind w:firstLine="0" w:firstLineChars="0"/>
        <w:jc w:val="both"/>
        <w:rPr>
          <w:rFonts w:hint="eastAsia"/>
          <w:b/>
          <w:color w:val="auto"/>
          <w:szCs w:val="24"/>
          <w:lang w:val="en-US" w:eastAsia="zh-CN"/>
        </w:rPr>
      </w:pPr>
      <w:r>
        <w:rPr>
          <w:rFonts w:hint="eastAsia"/>
          <w:b/>
          <w:color w:val="auto"/>
          <w:szCs w:val="24"/>
          <w:lang w:val="en-US" w:eastAsia="zh-CN"/>
        </w:rPr>
        <w:t>附件8  鄂托克旗水利局关于复核项目位置的函</w:t>
      </w:r>
    </w:p>
    <w:p w14:paraId="0343E6B2">
      <w:pPr>
        <w:pStyle w:val="38"/>
        <w:spacing w:line="240" w:lineRule="auto"/>
        <w:ind w:firstLine="0" w:firstLineChars="0"/>
        <w:jc w:val="center"/>
        <w:rPr>
          <w:rFonts w:hint="default" w:eastAsia="宋体"/>
          <w:b/>
          <w:color w:val="auto"/>
          <w:szCs w:val="24"/>
          <w:lang w:val="en-US" w:eastAsia="zh-CN"/>
        </w:rPr>
      </w:pPr>
      <w:r>
        <w:rPr>
          <w:rFonts w:hint="default" w:eastAsia="宋体"/>
          <w:b/>
          <w:color w:val="auto"/>
          <w:szCs w:val="24"/>
          <w:lang w:val="en-US" w:eastAsia="zh-CN"/>
        </w:rPr>
        <w:drawing>
          <wp:inline distT="0" distB="0" distL="114300" distR="114300">
            <wp:extent cx="6580505" cy="9286240"/>
            <wp:effectExtent l="0" t="0" r="10795" b="10160"/>
            <wp:docPr id="350" name="图片 350" descr="文档扫描_20260309112534425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350" descr="文档扫描_20260309112534425_01"/>
                    <pic:cNvPicPr>
                      <a:picLocks noChangeAspect="1"/>
                    </pic:cNvPicPr>
                  </pic:nvPicPr>
                  <pic:blipFill>
                    <a:blip r:embed="rId54"/>
                    <a:srcRect l="2015" t="655"/>
                    <a:stretch>
                      <a:fillRect/>
                    </a:stretch>
                  </pic:blipFill>
                  <pic:spPr>
                    <a:xfrm>
                      <a:off x="0" y="0"/>
                      <a:ext cx="6580505" cy="9286240"/>
                    </a:xfrm>
                    <a:prstGeom prst="rect">
                      <a:avLst/>
                    </a:prstGeom>
                  </pic:spPr>
                </pic:pic>
              </a:graphicData>
            </a:graphic>
          </wp:inline>
        </w:drawing>
      </w:r>
    </w:p>
    <w:p w14:paraId="2E91100A">
      <w:pPr>
        <w:pStyle w:val="38"/>
        <w:spacing w:line="240" w:lineRule="auto"/>
        <w:ind w:firstLine="0" w:firstLineChars="0"/>
        <w:jc w:val="center"/>
        <w:rPr>
          <w:rFonts w:hint="default" w:eastAsia="宋体"/>
          <w:b/>
          <w:color w:val="auto"/>
          <w:szCs w:val="24"/>
          <w:lang w:val="en-US" w:eastAsia="zh-CN"/>
        </w:rPr>
      </w:pPr>
    </w:p>
    <w:p w14:paraId="6D5D3C8E">
      <w:pPr>
        <w:pStyle w:val="38"/>
        <w:spacing w:line="240" w:lineRule="auto"/>
        <w:ind w:firstLine="0" w:firstLineChars="0"/>
        <w:jc w:val="center"/>
        <w:rPr>
          <w:rFonts w:hint="default" w:eastAsia="宋体"/>
          <w:b/>
          <w:color w:val="auto"/>
          <w:szCs w:val="24"/>
          <w:lang w:val="en-US" w:eastAsia="zh-CN"/>
        </w:rPr>
        <w:sectPr>
          <w:pgSz w:w="11906" w:h="16838"/>
          <w:pgMar w:top="720" w:right="720" w:bottom="720" w:left="720" w:header="567" w:footer="567" w:gutter="0"/>
          <w:pgBorders>
            <w:top w:val="none" w:sz="0" w:space="0"/>
            <w:left w:val="none" w:sz="0" w:space="0"/>
            <w:bottom w:val="none" w:sz="0" w:space="0"/>
            <w:right w:val="none" w:sz="0" w:space="0"/>
          </w:pgBorders>
          <w:cols w:space="0" w:num="1"/>
          <w:rtlGutter w:val="0"/>
          <w:docGrid w:linePitch="312" w:charSpace="0"/>
        </w:sectPr>
      </w:pPr>
      <w:r>
        <w:rPr>
          <w:rFonts w:hint="default" w:eastAsia="宋体"/>
          <w:b/>
          <w:color w:val="auto"/>
          <w:szCs w:val="24"/>
          <w:lang w:val="en-US" w:eastAsia="zh-CN"/>
        </w:rPr>
        <w:drawing>
          <wp:inline distT="0" distB="0" distL="114300" distR="114300">
            <wp:extent cx="6467475" cy="9676130"/>
            <wp:effectExtent l="0" t="0" r="9525" b="1270"/>
            <wp:docPr id="351" name="图片 351" descr="文档扫描_20260309112534425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351" descr="文档扫描_20260309112534425_02"/>
                    <pic:cNvPicPr>
                      <a:picLocks noChangeAspect="1"/>
                    </pic:cNvPicPr>
                  </pic:nvPicPr>
                  <pic:blipFill>
                    <a:blip r:embed="rId55"/>
                    <a:stretch>
                      <a:fillRect/>
                    </a:stretch>
                  </pic:blipFill>
                  <pic:spPr>
                    <a:xfrm>
                      <a:off x="0" y="0"/>
                      <a:ext cx="6467475" cy="9676130"/>
                    </a:xfrm>
                    <a:prstGeom prst="rect">
                      <a:avLst/>
                    </a:prstGeom>
                  </pic:spPr>
                </pic:pic>
              </a:graphicData>
            </a:graphic>
          </wp:inline>
        </w:drawing>
      </w:r>
    </w:p>
    <w:p w14:paraId="569F8483">
      <w:pPr>
        <w:pStyle w:val="38"/>
        <w:spacing w:line="240" w:lineRule="auto"/>
        <w:ind w:firstLine="0" w:firstLineChars="0"/>
        <w:jc w:val="both"/>
        <w:rPr>
          <w:b/>
          <w:color w:val="auto"/>
          <w:szCs w:val="24"/>
        </w:rPr>
      </w:pPr>
      <w:r>
        <w:rPr>
          <w:rFonts w:hint="eastAsia"/>
          <w:b/>
          <w:color w:val="auto"/>
          <w:szCs w:val="24"/>
        </w:rPr>
        <w:t>附件</w:t>
      </w:r>
      <w:r>
        <w:rPr>
          <w:rFonts w:hint="eastAsia"/>
          <w:b/>
          <w:color w:val="auto"/>
          <w:szCs w:val="24"/>
          <w:lang w:val="en-US" w:eastAsia="zh-CN"/>
        </w:rPr>
        <w:t>9</w:t>
      </w:r>
      <w:r>
        <w:rPr>
          <w:rFonts w:hint="eastAsia"/>
          <w:b/>
          <w:color w:val="auto"/>
          <w:szCs w:val="24"/>
        </w:rPr>
        <w:t xml:space="preserve">  鄂托克高新技术产业开发区产业发展规划批复</w:t>
      </w:r>
    </w:p>
    <w:p w14:paraId="75D40BBF">
      <w:pPr>
        <w:pStyle w:val="38"/>
        <w:spacing w:line="240" w:lineRule="auto"/>
        <w:ind w:firstLine="0" w:firstLineChars="0"/>
        <w:jc w:val="center"/>
        <w:rPr>
          <w:b/>
          <w:color w:val="auto"/>
          <w:szCs w:val="24"/>
        </w:rPr>
      </w:pPr>
      <w:r>
        <w:rPr>
          <w:rFonts w:hint="eastAsia"/>
          <w:b/>
          <w:color w:val="auto"/>
          <w:szCs w:val="24"/>
        </w:rPr>
        <w:drawing>
          <wp:inline distT="0" distB="0" distL="114300" distR="114300">
            <wp:extent cx="6637020" cy="9304020"/>
            <wp:effectExtent l="0" t="0" r="0" b="0"/>
            <wp:docPr id="110" name="图片 1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1"/>
                    <pic:cNvPicPr>
                      <a:picLocks noChangeAspect="1"/>
                    </pic:cNvPicPr>
                  </pic:nvPicPr>
                  <pic:blipFill>
                    <a:blip r:embed="rId56"/>
                    <a:srcRect t="706" b="727"/>
                    <a:stretch>
                      <a:fillRect/>
                    </a:stretch>
                  </pic:blipFill>
                  <pic:spPr>
                    <a:xfrm>
                      <a:off x="0" y="0"/>
                      <a:ext cx="6637020" cy="9304020"/>
                    </a:xfrm>
                    <a:prstGeom prst="rect">
                      <a:avLst/>
                    </a:prstGeom>
                  </pic:spPr>
                </pic:pic>
              </a:graphicData>
            </a:graphic>
          </wp:inline>
        </w:drawing>
      </w:r>
      <w:r>
        <w:rPr>
          <w:rFonts w:hint="eastAsia"/>
          <w:b/>
          <w:color w:val="auto"/>
          <w:szCs w:val="24"/>
        </w:rPr>
        <w:drawing>
          <wp:inline distT="0" distB="0" distL="114300" distR="114300">
            <wp:extent cx="6601460" cy="9307830"/>
            <wp:effectExtent l="0" t="0" r="0" b="0"/>
            <wp:docPr id="109" name="图片 10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2"/>
                    <pic:cNvPicPr>
                      <a:picLocks noChangeAspect="1"/>
                    </pic:cNvPicPr>
                  </pic:nvPicPr>
                  <pic:blipFill>
                    <a:blip r:embed="rId57"/>
                    <a:srcRect t="486" r="536" b="520"/>
                    <a:stretch>
                      <a:fillRect/>
                    </a:stretch>
                  </pic:blipFill>
                  <pic:spPr>
                    <a:xfrm>
                      <a:off x="0" y="0"/>
                      <a:ext cx="6601460" cy="9307830"/>
                    </a:xfrm>
                    <a:prstGeom prst="rect">
                      <a:avLst/>
                    </a:prstGeom>
                  </pic:spPr>
                </pic:pic>
              </a:graphicData>
            </a:graphic>
          </wp:inline>
        </w:drawing>
      </w:r>
      <w:r>
        <w:rPr>
          <w:rFonts w:hint="eastAsia"/>
          <w:b/>
          <w:color w:val="auto"/>
          <w:szCs w:val="24"/>
        </w:rPr>
        <w:drawing>
          <wp:inline distT="0" distB="0" distL="114300" distR="114300">
            <wp:extent cx="6591935" cy="9349740"/>
            <wp:effectExtent l="0" t="0" r="0" b="0"/>
            <wp:docPr id="80" name="图片 8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3"/>
                    <pic:cNvPicPr>
                      <a:picLocks noChangeAspect="1"/>
                    </pic:cNvPicPr>
                  </pic:nvPicPr>
                  <pic:blipFill>
                    <a:blip r:embed="rId58"/>
                    <a:srcRect t="544" r="679" b="511"/>
                    <a:stretch>
                      <a:fillRect/>
                    </a:stretch>
                  </pic:blipFill>
                  <pic:spPr>
                    <a:xfrm>
                      <a:off x="0" y="0"/>
                      <a:ext cx="6591935" cy="9349740"/>
                    </a:xfrm>
                    <a:prstGeom prst="rect">
                      <a:avLst/>
                    </a:prstGeom>
                  </pic:spPr>
                </pic:pic>
              </a:graphicData>
            </a:graphic>
          </wp:inline>
        </w:drawing>
      </w:r>
    </w:p>
    <w:p w14:paraId="1A380E27">
      <w:pPr>
        <w:pStyle w:val="38"/>
        <w:spacing w:line="240" w:lineRule="auto"/>
        <w:ind w:firstLine="0" w:firstLineChars="0"/>
        <w:jc w:val="center"/>
        <w:rPr>
          <w:b/>
          <w:color w:val="auto"/>
          <w:szCs w:val="24"/>
        </w:rPr>
      </w:pPr>
    </w:p>
    <w:p w14:paraId="1BC869E3">
      <w:pPr>
        <w:pStyle w:val="38"/>
        <w:spacing w:line="240" w:lineRule="auto"/>
        <w:ind w:firstLine="0" w:firstLineChars="0"/>
        <w:jc w:val="center"/>
        <w:rPr>
          <w:rFonts w:hint="eastAsia"/>
          <w:color w:val="auto"/>
        </w:rPr>
        <w:sectPr>
          <w:pgSz w:w="11906" w:h="16838"/>
          <w:pgMar w:top="720" w:right="720" w:bottom="720" w:left="720" w:header="567" w:footer="567" w:gutter="0"/>
          <w:pgBorders>
            <w:top w:val="none" w:sz="0" w:space="0"/>
            <w:left w:val="none" w:sz="0" w:space="0"/>
            <w:bottom w:val="none" w:sz="0" w:space="0"/>
            <w:right w:val="none" w:sz="0" w:space="0"/>
          </w:pgBorders>
          <w:cols w:space="0" w:num="1"/>
          <w:rtlGutter w:val="0"/>
          <w:docGrid w:linePitch="312" w:charSpace="0"/>
        </w:sectPr>
      </w:pPr>
      <w:r>
        <w:rPr>
          <w:rFonts w:hint="eastAsia"/>
          <w:color w:val="auto"/>
        </w:rPr>
        <w:drawing>
          <wp:inline distT="0" distB="0" distL="114300" distR="114300">
            <wp:extent cx="6645275" cy="9399905"/>
            <wp:effectExtent l="0" t="0" r="3175" b="10795"/>
            <wp:docPr id="164" name="图片 164" descr="提取自（最终打印版）鄂尔多斯鄂托克高新技术产业开发区产业发展规划（2023-2035年）-主体文本附件汇总合并-20240708(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descr="提取自（最终打印版）鄂尔多斯鄂托克高新技术产业开发区产业发展规划（2023-2035年）-主体文本附件汇总合并-20240708(1)_01"/>
                    <pic:cNvPicPr>
                      <a:picLocks noChangeAspect="1"/>
                    </pic:cNvPicPr>
                  </pic:nvPicPr>
                  <pic:blipFill>
                    <a:blip r:embed="rId59"/>
                    <a:stretch>
                      <a:fillRect/>
                    </a:stretch>
                  </pic:blipFill>
                  <pic:spPr>
                    <a:xfrm>
                      <a:off x="0" y="0"/>
                      <a:ext cx="6645275" cy="9399905"/>
                    </a:xfrm>
                    <a:prstGeom prst="rect">
                      <a:avLst/>
                    </a:prstGeom>
                  </pic:spPr>
                </pic:pic>
              </a:graphicData>
            </a:graphic>
          </wp:inline>
        </w:drawing>
      </w:r>
      <w:r>
        <w:rPr>
          <w:rFonts w:hint="eastAsia"/>
          <w:color w:val="auto"/>
        </w:rPr>
        <w:drawing>
          <wp:inline distT="0" distB="0" distL="114300" distR="114300">
            <wp:extent cx="6645275" cy="9399905"/>
            <wp:effectExtent l="0" t="0" r="3175" b="10795"/>
            <wp:docPr id="162" name="图片 162" descr="提取自（最终打印版）鄂尔多斯鄂托克高新技术产业开发区产业发展规划（2023-2035年）-主体文本附件汇总合并-20240708(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提取自（最终打印版）鄂尔多斯鄂托克高新技术产业开发区产业发展规划（2023-2035年）-主体文本附件汇总合并-20240708(1)_02"/>
                    <pic:cNvPicPr>
                      <a:picLocks noChangeAspect="1"/>
                    </pic:cNvPicPr>
                  </pic:nvPicPr>
                  <pic:blipFill>
                    <a:blip r:embed="rId60"/>
                    <a:stretch>
                      <a:fillRect/>
                    </a:stretch>
                  </pic:blipFill>
                  <pic:spPr>
                    <a:xfrm>
                      <a:off x="0" y="0"/>
                      <a:ext cx="6645275" cy="9399905"/>
                    </a:xfrm>
                    <a:prstGeom prst="rect">
                      <a:avLst/>
                    </a:prstGeom>
                  </pic:spPr>
                </pic:pic>
              </a:graphicData>
            </a:graphic>
          </wp:inline>
        </w:drawing>
      </w:r>
      <w:r>
        <w:rPr>
          <w:rFonts w:hint="eastAsia"/>
          <w:color w:val="auto"/>
        </w:rPr>
        <w:drawing>
          <wp:inline distT="0" distB="0" distL="114300" distR="114300">
            <wp:extent cx="6645275" cy="9399905"/>
            <wp:effectExtent l="0" t="0" r="3175" b="10795"/>
            <wp:docPr id="150" name="图片 150" descr="提取自（最终打印版）鄂尔多斯鄂托克高新技术产业开发区产业发展规划（2023-2035年）-主体文本附件汇总合并-20240708(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提取自（最终打印版）鄂尔多斯鄂托克高新技术产业开发区产业发展规划（2023-2035年）-主体文本附件汇总合并-20240708(1)_03"/>
                    <pic:cNvPicPr>
                      <a:picLocks noChangeAspect="1"/>
                    </pic:cNvPicPr>
                  </pic:nvPicPr>
                  <pic:blipFill>
                    <a:blip r:embed="rId61"/>
                    <a:stretch>
                      <a:fillRect/>
                    </a:stretch>
                  </pic:blipFill>
                  <pic:spPr>
                    <a:xfrm>
                      <a:off x="0" y="0"/>
                      <a:ext cx="6645275" cy="9399905"/>
                    </a:xfrm>
                    <a:prstGeom prst="rect">
                      <a:avLst/>
                    </a:prstGeom>
                  </pic:spPr>
                </pic:pic>
              </a:graphicData>
            </a:graphic>
          </wp:inline>
        </w:drawing>
      </w:r>
      <w:r>
        <w:rPr>
          <w:rFonts w:hint="eastAsia"/>
          <w:color w:val="auto"/>
        </w:rPr>
        <w:drawing>
          <wp:inline distT="0" distB="0" distL="114300" distR="114300">
            <wp:extent cx="6645275" cy="9399905"/>
            <wp:effectExtent l="0" t="0" r="3175" b="10795"/>
            <wp:docPr id="142" name="图片 142" descr="提取自（最终打印版）鄂尔多斯鄂托克高新技术产业开发区产业发展规划（2023-2035年）-主体文本附件汇总合并-20240708(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提取自（最终打印版）鄂尔多斯鄂托克高新技术产业开发区产业发展规划（2023-2035年）-主体文本附件汇总合并-20240708(1)_04"/>
                    <pic:cNvPicPr>
                      <a:picLocks noChangeAspect="1"/>
                    </pic:cNvPicPr>
                  </pic:nvPicPr>
                  <pic:blipFill>
                    <a:blip r:embed="rId62"/>
                    <a:stretch>
                      <a:fillRect/>
                    </a:stretch>
                  </pic:blipFill>
                  <pic:spPr>
                    <a:xfrm>
                      <a:off x="0" y="0"/>
                      <a:ext cx="6645275" cy="9399905"/>
                    </a:xfrm>
                    <a:prstGeom prst="rect">
                      <a:avLst/>
                    </a:prstGeom>
                  </pic:spPr>
                </pic:pic>
              </a:graphicData>
            </a:graphic>
          </wp:inline>
        </w:drawing>
      </w:r>
      <w:r>
        <w:rPr>
          <w:color w:val="auto"/>
        </w:rPr>
        <mc:AlternateContent>
          <mc:Choice Requires="wps">
            <w:drawing>
              <wp:anchor distT="0" distB="0" distL="114300" distR="114300" simplePos="0" relativeHeight="251689984" behindDoc="0" locked="0" layoutInCell="1" allowOverlap="1">
                <wp:simplePos x="0" y="0"/>
                <wp:positionH relativeFrom="column">
                  <wp:posOffset>877570</wp:posOffset>
                </wp:positionH>
                <wp:positionV relativeFrom="paragraph">
                  <wp:posOffset>7621270</wp:posOffset>
                </wp:positionV>
                <wp:extent cx="5181600" cy="657225"/>
                <wp:effectExtent l="9525" t="9525" r="9525" b="19050"/>
                <wp:wrapNone/>
                <wp:docPr id="165" name="矩形 165"/>
                <wp:cNvGraphicFramePr/>
                <a:graphic xmlns:a="http://schemas.openxmlformats.org/drawingml/2006/main">
                  <a:graphicData uri="http://schemas.microsoft.com/office/word/2010/wordprocessingShape">
                    <wps:wsp>
                      <wps:cNvSpPr/>
                      <wps:spPr>
                        <a:xfrm>
                          <a:off x="1334770" y="8078470"/>
                          <a:ext cx="5181600" cy="657225"/>
                        </a:xfrm>
                        <a:prstGeom prst="rect">
                          <a:avLst/>
                        </a:pr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9.1pt;margin-top:600.1pt;height:51.75pt;width:408pt;z-index:251689984;v-text-anchor:middle;mso-width-relative:page;mso-height-relative:page;" filled="f" stroked="t" coordsize="21600,21600" o:gfxdata="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D0A+nvWAAAADQEAAA8AAAAAAAAAAQAgAAAAIgAAAGRycy9kb3ducmV2LnhtbFBL&#10;AQIUABQAAAAIAIdO4kDYzIbKagIAAMQEAAAOAAAAAAAAAAEAIAAAACUBAABkcnMvZTJvRG9jLnht&#10;bFBLBQYAAAAABgAGAFkBAAABBgAAAAA=&#10;">
                <v:fill on="f" focussize="0,0"/>
                <v:stroke weight="1.5pt" color="#FF0000 [2404]" joinstyle="round"/>
                <v:imagedata o:title=""/>
                <o:lock v:ext="edit" aspectratio="f"/>
              </v:rect>
            </w:pict>
          </mc:Fallback>
        </mc:AlternateContent>
      </w:r>
      <w:r>
        <w:rPr>
          <w:rFonts w:hint="eastAsia"/>
          <w:color w:val="auto"/>
        </w:rPr>
        <w:drawing>
          <wp:inline distT="0" distB="0" distL="114300" distR="114300">
            <wp:extent cx="6645275" cy="9399905"/>
            <wp:effectExtent l="0" t="0" r="3175" b="10795"/>
            <wp:docPr id="139" name="图片 139" descr="提取自（最终打印版）鄂尔多斯鄂托克高新技术产业开发区产业发展规划（2023-2035年）-主体文本附件汇总合并-20240708(1)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提取自（最终打印版）鄂尔多斯鄂托克高新技术产业开发区产业发展规划（2023-2035年）-主体文本附件汇总合并-20240708(1)_05"/>
                    <pic:cNvPicPr>
                      <a:picLocks noChangeAspect="1"/>
                    </pic:cNvPicPr>
                  </pic:nvPicPr>
                  <pic:blipFill>
                    <a:blip r:embed="rId63"/>
                    <a:stretch>
                      <a:fillRect/>
                    </a:stretch>
                  </pic:blipFill>
                  <pic:spPr>
                    <a:xfrm>
                      <a:off x="0" y="0"/>
                      <a:ext cx="6645275" cy="9399905"/>
                    </a:xfrm>
                    <a:prstGeom prst="rect">
                      <a:avLst/>
                    </a:prstGeom>
                  </pic:spPr>
                </pic:pic>
              </a:graphicData>
            </a:graphic>
          </wp:inline>
        </w:drawing>
      </w:r>
      <w:r>
        <w:rPr>
          <w:rFonts w:hint="eastAsia"/>
          <w:color w:val="auto"/>
        </w:rPr>
        <w:drawing>
          <wp:inline distT="0" distB="0" distL="114300" distR="114300">
            <wp:extent cx="6645275" cy="9399905"/>
            <wp:effectExtent l="0" t="0" r="3175" b="10795"/>
            <wp:docPr id="138" name="图片 138" descr="提取自（最终打印版）鄂尔多斯鄂托克高新技术产业开发区产业发展规划（2023-2035年）-主体文本附件汇总合并-20240708(1)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提取自（最终打印版）鄂尔多斯鄂托克高新技术产业开发区产业发展规划（2023-2035年）-主体文本附件汇总合并-20240708(1)_06"/>
                    <pic:cNvPicPr>
                      <a:picLocks noChangeAspect="1"/>
                    </pic:cNvPicPr>
                  </pic:nvPicPr>
                  <pic:blipFill>
                    <a:blip r:embed="rId64"/>
                    <a:stretch>
                      <a:fillRect/>
                    </a:stretch>
                  </pic:blipFill>
                  <pic:spPr>
                    <a:xfrm>
                      <a:off x="0" y="0"/>
                      <a:ext cx="6645275" cy="9399905"/>
                    </a:xfrm>
                    <a:prstGeom prst="rect">
                      <a:avLst/>
                    </a:prstGeom>
                  </pic:spPr>
                </pic:pic>
              </a:graphicData>
            </a:graphic>
          </wp:inline>
        </w:drawing>
      </w:r>
      <w:r>
        <w:rPr>
          <w:rFonts w:hint="eastAsia"/>
          <w:color w:val="auto"/>
        </w:rPr>
        <w:drawing>
          <wp:inline distT="0" distB="0" distL="114300" distR="114300">
            <wp:extent cx="6645275" cy="9399905"/>
            <wp:effectExtent l="0" t="0" r="3175" b="10795"/>
            <wp:docPr id="137" name="图片 137" descr="提取自（最终打印版）鄂尔多斯鄂托克高新技术产业开发区产业发展规划（2023-2035年）-主体文本附件汇总合并-20240708(1)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提取自（最终打印版）鄂尔多斯鄂托克高新技术产业开发区产业发展规划（2023-2035年）-主体文本附件汇总合并-20240708(1)_07"/>
                    <pic:cNvPicPr>
                      <a:picLocks noChangeAspect="1"/>
                    </pic:cNvPicPr>
                  </pic:nvPicPr>
                  <pic:blipFill>
                    <a:blip r:embed="rId65"/>
                    <a:stretch>
                      <a:fillRect/>
                    </a:stretch>
                  </pic:blipFill>
                  <pic:spPr>
                    <a:xfrm>
                      <a:off x="0" y="0"/>
                      <a:ext cx="6645275" cy="9399905"/>
                    </a:xfrm>
                    <a:prstGeom prst="rect">
                      <a:avLst/>
                    </a:prstGeom>
                  </pic:spPr>
                </pic:pic>
              </a:graphicData>
            </a:graphic>
          </wp:inline>
        </w:drawing>
      </w:r>
    </w:p>
    <w:p w14:paraId="3C78231B">
      <w:pPr>
        <w:pStyle w:val="38"/>
        <w:spacing w:line="240" w:lineRule="auto"/>
        <w:ind w:firstLine="0" w:firstLineChars="0"/>
        <w:rPr>
          <w:b/>
          <w:color w:val="auto"/>
          <w:szCs w:val="24"/>
        </w:rPr>
      </w:pPr>
      <w:r>
        <w:rPr>
          <w:rFonts w:hint="eastAsia"/>
          <w:b/>
          <w:color w:val="auto"/>
          <w:szCs w:val="24"/>
        </w:rPr>
        <w:t>附件</w:t>
      </w:r>
      <w:r>
        <w:rPr>
          <w:rFonts w:hint="eastAsia"/>
          <w:b/>
          <w:color w:val="auto"/>
          <w:szCs w:val="24"/>
          <w:lang w:val="en-US" w:eastAsia="zh-CN"/>
        </w:rPr>
        <w:t>10</w:t>
      </w:r>
      <w:r>
        <w:rPr>
          <w:rFonts w:hint="eastAsia"/>
          <w:b/>
          <w:color w:val="auto"/>
          <w:szCs w:val="24"/>
        </w:rPr>
        <w:t xml:space="preserve">  鄂托克经济开发区国土空间规划蒙西产业园环评审查意见</w:t>
      </w:r>
    </w:p>
    <w:p w14:paraId="7C152354">
      <w:pPr>
        <w:pStyle w:val="38"/>
        <w:spacing w:line="240" w:lineRule="auto"/>
        <w:ind w:firstLine="0" w:firstLineChars="0"/>
        <w:jc w:val="center"/>
        <w:rPr>
          <w:b/>
          <w:color w:val="auto"/>
          <w:szCs w:val="24"/>
        </w:rPr>
        <w:sectPr>
          <w:pgSz w:w="11906" w:h="16838"/>
          <w:pgMar w:top="720" w:right="720" w:bottom="720" w:left="720" w:header="567" w:footer="567" w:gutter="0"/>
          <w:pgBorders>
            <w:top w:val="none" w:sz="0" w:space="0"/>
            <w:left w:val="none" w:sz="0" w:space="0"/>
            <w:bottom w:val="none" w:sz="0" w:space="0"/>
            <w:right w:val="none" w:sz="0" w:space="0"/>
          </w:pgBorders>
          <w:cols w:space="0" w:num="1"/>
          <w:rtlGutter w:val="0"/>
          <w:docGrid w:linePitch="312" w:charSpace="0"/>
        </w:sectPr>
      </w:pPr>
      <w:r>
        <w:rPr>
          <w:b/>
          <w:color w:val="auto"/>
          <w:szCs w:val="24"/>
        </w:rPr>
        <w:drawing>
          <wp:inline distT="0" distB="0" distL="114300" distR="114300">
            <wp:extent cx="6645275" cy="9230995"/>
            <wp:effectExtent l="0" t="0" r="0" b="0"/>
            <wp:docPr id="141" name="图片 141" descr="内蒙古自治区生态环境厅关于《鄂托克经济开发区国土空间总体规划（2021-2035）蒙西产业园环境影响报告书》的审查意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内蒙古自治区生态环境厅关于《鄂托克经济开发区国土空间总体规划（2021-2035）蒙西产业园环境影响报告书》的审查意见_01"/>
                    <pic:cNvPicPr>
                      <a:picLocks noChangeAspect="1"/>
                    </pic:cNvPicPr>
                  </pic:nvPicPr>
                  <pic:blipFill>
                    <a:blip r:embed="rId66"/>
                    <a:srcRect t="1784"/>
                    <a:stretch>
                      <a:fillRect/>
                    </a:stretch>
                  </pic:blipFill>
                  <pic:spPr>
                    <a:xfrm>
                      <a:off x="0" y="0"/>
                      <a:ext cx="6645275" cy="9230995"/>
                    </a:xfrm>
                    <a:prstGeom prst="rect">
                      <a:avLst/>
                    </a:prstGeom>
                  </pic:spPr>
                </pic:pic>
              </a:graphicData>
            </a:graphic>
          </wp:inline>
        </w:drawing>
      </w:r>
      <w:r>
        <w:rPr>
          <w:b/>
          <w:color w:val="auto"/>
          <w:szCs w:val="24"/>
        </w:rPr>
        <w:drawing>
          <wp:inline distT="0" distB="0" distL="114300" distR="114300">
            <wp:extent cx="6645275" cy="9398635"/>
            <wp:effectExtent l="0" t="0" r="3175" b="12065"/>
            <wp:docPr id="136" name="图片 136" descr="内蒙古自治区生态环境厅关于《鄂托克经济开发区国土空间总体规划（2021-2035）蒙西产业园环境影响报告书》的审查意见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内蒙古自治区生态环境厅关于《鄂托克经济开发区国土空间总体规划（2021-2035）蒙西产业园环境影响报告书》的审查意见_02"/>
                    <pic:cNvPicPr>
                      <a:picLocks noChangeAspect="1"/>
                    </pic:cNvPicPr>
                  </pic:nvPicPr>
                  <pic:blipFill>
                    <a:blip r:embed="rId67"/>
                    <a:stretch>
                      <a:fillRect/>
                    </a:stretch>
                  </pic:blipFill>
                  <pic:spPr>
                    <a:xfrm>
                      <a:off x="0" y="0"/>
                      <a:ext cx="6645275" cy="9398635"/>
                    </a:xfrm>
                    <a:prstGeom prst="rect">
                      <a:avLst/>
                    </a:prstGeom>
                  </pic:spPr>
                </pic:pic>
              </a:graphicData>
            </a:graphic>
          </wp:inline>
        </w:drawing>
      </w:r>
      <w:r>
        <w:rPr>
          <w:b/>
          <w:color w:val="auto"/>
          <w:szCs w:val="24"/>
        </w:rPr>
        <w:drawing>
          <wp:inline distT="0" distB="0" distL="114300" distR="114300">
            <wp:extent cx="6645275" cy="9398635"/>
            <wp:effectExtent l="0" t="0" r="3175" b="12065"/>
            <wp:docPr id="134" name="图片 134" descr="内蒙古自治区生态环境厅关于《鄂托克经济开发区国土空间总体规划（2021-2035）蒙西产业园环境影响报告书》的审查意见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内蒙古自治区生态环境厅关于《鄂托克经济开发区国土空间总体规划（2021-2035）蒙西产业园环境影响报告书》的审查意见_03"/>
                    <pic:cNvPicPr>
                      <a:picLocks noChangeAspect="1"/>
                    </pic:cNvPicPr>
                  </pic:nvPicPr>
                  <pic:blipFill>
                    <a:blip r:embed="rId68"/>
                    <a:stretch>
                      <a:fillRect/>
                    </a:stretch>
                  </pic:blipFill>
                  <pic:spPr>
                    <a:xfrm>
                      <a:off x="0" y="0"/>
                      <a:ext cx="6645275" cy="9398635"/>
                    </a:xfrm>
                    <a:prstGeom prst="rect">
                      <a:avLst/>
                    </a:prstGeom>
                  </pic:spPr>
                </pic:pic>
              </a:graphicData>
            </a:graphic>
          </wp:inline>
        </w:drawing>
      </w:r>
      <w:r>
        <w:rPr>
          <w:b/>
          <w:color w:val="auto"/>
          <w:szCs w:val="24"/>
        </w:rPr>
        <w:drawing>
          <wp:inline distT="0" distB="0" distL="114300" distR="114300">
            <wp:extent cx="6645275" cy="9398635"/>
            <wp:effectExtent l="0" t="0" r="3175" b="12065"/>
            <wp:docPr id="133" name="图片 133" descr="内蒙古自治区生态环境厅关于《鄂托克经济开发区国土空间总体规划（2021-2035）蒙西产业园环境影响报告书》的审查意见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内蒙古自治区生态环境厅关于《鄂托克经济开发区国土空间总体规划（2021-2035）蒙西产业园环境影响报告书》的审查意见_04"/>
                    <pic:cNvPicPr>
                      <a:picLocks noChangeAspect="1"/>
                    </pic:cNvPicPr>
                  </pic:nvPicPr>
                  <pic:blipFill>
                    <a:blip r:embed="rId69"/>
                    <a:stretch>
                      <a:fillRect/>
                    </a:stretch>
                  </pic:blipFill>
                  <pic:spPr>
                    <a:xfrm>
                      <a:off x="0" y="0"/>
                      <a:ext cx="6645275" cy="9398635"/>
                    </a:xfrm>
                    <a:prstGeom prst="rect">
                      <a:avLst/>
                    </a:prstGeom>
                  </pic:spPr>
                </pic:pic>
              </a:graphicData>
            </a:graphic>
          </wp:inline>
        </w:drawing>
      </w:r>
      <w:r>
        <w:rPr>
          <w:b/>
          <w:color w:val="auto"/>
          <w:szCs w:val="24"/>
        </w:rPr>
        <w:drawing>
          <wp:inline distT="0" distB="0" distL="114300" distR="114300">
            <wp:extent cx="6645275" cy="9398635"/>
            <wp:effectExtent l="0" t="0" r="3175" b="12065"/>
            <wp:docPr id="132" name="图片 132" descr="内蒙古自治区生态环境厅关于《鄂托克经济开发区国土空间总体规划（2021-2035）蒙西产业园环境影响报告书》的审查意见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内蒙古自治区生态环境厅关于《鄂托克经济开发区国土空间总体规划（2021-2035）蒙西产业园环境影响报告书》的审查意见_05"/>
                    <pic:cNvPicPr>
                      <a:picLocks noChangeAspect="1"/>
                    </pic:cNvPicPr>
                  </pic:nvPicPr>
                  <pic:blipFill>
                    <a:blip r:embed="rId70"/>
                    <a:stretch>
                      <a:fillRect/>
                    </a:stretch>
                  </pic:blipFill>
                  <pic:spPr>
                    <a:xfrm>
                      <a:off x="0" y="0"/>
                      <a:ext cx="6645275" cy="9398635"/>
                    </a:xfrm>
                    <a:prstGeom prst="rect">
                      <a:avLst/>
                    </a:prstGeom>
                  </pic:spPr>
                </pic:pic>
              </a:graphicData>
            </a:graphic>
          </wp:inline>
        </w:drawing>
      </w:r>
      <w:r>
        <w:rPr>
          <w:b/>
          <w:color w:val="auto"/>
          <w:szCs w:val="24"/>
        </w:rPr>
        <w:drawing>
          <wp:inline distT="0" distB="0" distL="114300" distR="114300">
            <wp:extent cx="6645275" cy="9398635"/>
            <wp:effectExtent l="0" t="0" r="3175" b="12065"/>
            <wp:docPr id="129" name="图片 129" descr="内蒙古自治区生态环境厅关于《鄂托克经济开发区国土空间总体规划（2021-2035）蒙西产业园环境影响报告书》的审查意见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内蒙古自治区生态环境厅关于《鄂托克经济开发区国土空间总体规划（2021-2035）蒙西产业园环境影响报告书》的审查意见_06"/>
                    <pic:cNvPicPr>
                      <a:picLocks noChangeAspect="1"/>
                    </pic:cNvPicPr>
                  </pic:nvPicPr>
                  <pic:blipFill>
                    <a:blip r:embed="rId71"/>
                    <a:stretch>
                      <a:fillRect/>
                    </a:stretch>
                  </pic:blipFill>
                  <pic:spPr>
                    <a:xfrm>
                      <a:off x="0" y="0"/>
                      <a:ext cx="6645275" cy="9398635"/>
                    </a:xfrm>
                    <a:prstGeom prst="rect">
                      <a:avLst/>
                    </a:prstGeom>
                  </pic:spPr>
                </pic:pic>
              </a:graphicData>
            </a:graphic>
          </wp:inline>
        </w:drawing>
      </w:r>
      <w:r>
        <w:rPr>
          <w:b/>
          <w:color w:val="auto"/>
          <w:szCs w:val="24"/>
        </w:rPr>
        <w:drawing>
          <wp:inline distT="0" distB="0" distL="114300" distR="114300">
            <wp:extent cx="6645275" cy="9398635"/>
            <wp:effectExtent l="0" t="0" r="3175" b="12065"/>
            <wp:docPr id="128" name="图片 128" descr="内蒙古自治区生态环境厅关于《鄂托克经济开发区国土空间总体规划（2021-2035）蒙西产业园环境影响报告书》的审查意见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内蒙古自治区生态环境厅关于《鄂托克经济开发区国土空间总体规划（2021-2035）蒙西产业园环境影响报告书》的审查意见_07"/>
                    <pic:cNvPicPr>
                      <a:picLocks noChangeAspect="1"/>
                    </pic:cNvPicPr>
                  </pic:nvPicPr>
                  <pic:blipFill>
                    <a:blip r:embed="rId72"/>
                    <a:stretch>
                      <a:fillRect/>
                    </a:stretch>
                  </pic:blipFill>
                  <pic:spPr>
                    <a:xfrm>
                      <a:off x="0" y="0"/>
                      <a:ext cx="6645275" cy="9398635"/>
                    </a:xfrm>
                    <a:prstGeom prst="rect">
                      <a:avLst/>
                    </a:prstGeom>
                  </pic:spPr>
                </pic:pic>
              </a:graphicData>
            </a:graphic>
          </wp:inline>
        </w:drawing>
      </w:r>
      <w:r>
        <w:rPr>
          <w:b/>
          <w:color w:val="auto"/>
          <w:szCs w:val="24"/>
        </w:rPr>
        <w:drawing>
          <wp:inline distT="0" distB="0" distL="114300" distR="114300">
            <wp:extent cx="6645275" cy="9398635"/>
            <wp:effectExtent l="0" t="0" r="3175" b="12065"/>
            <wp:docPr id="127" name="图片 127" descr="内蒙古自治区生态环境厅关于《鄂托克经济开发区国土空间总体规划（2021-2035）蒙西产业园环境影响报告书》的审查意见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内蒙古自治区生态环境厅关于《鄂托克经济开发区国土空间总体规划（2021-2035）蒙西产业园环境影响报告书》的审查意见_08"/>
                    <pic:cNvPicPr>
                      <a:picLocks noChangeAspect="1"/>
                    </pic:cNvPicPr>
                  </pic:nvPicPr>
                  <pic:blipFill>
                    <a:blip r:embed="rId73"/>
                    <a:stretch>
                      <a:fillRect/>
                    </a:stretch>
                  </pic:blipFill>
                  <pic:spPr>
                    <a:xfrm>
                      <a:off x="0" y="0"/>
                      <a:ext cx="6645275" cy="9398635"/>
                    </a:xfrm>
                    <a:prstGeom prst="rect">
                      <a:avLst/>
                    </a:prstGeom>
                  </pic:spPr>
                </pic:pic>
              </a:graphicData>
            </a:graphic>
          </wp:inline>
        </w:drawing>
      </w:r>
    </w:p>
    <w:p w14:paraId="23AC0F69">
      <w:pPr>
        <w:pStyle w:val="38"/>
        <w:spacing w:line="240" w:lineRule="auto"/>
        <w:ind w:firstLine="0" w:firstLineChars="0"/>
        <w:rPr>
          <w:b/>
          <w:color w:val="auto"/>
          <w:szCs w:val="24"/>
        </w:rPr>
      </w:pPr>
      <w:r>
        <w:rPr>
          <w:rFonts w:hint="eastAsia"/>
          <w:b/>
          <w:color w:val="auto"/>
          <w:szCs w:val="24"/>
        </w:rPr>
        <w:t>附件1</w:t>
      </w:r>
      <w:r>
        <w:rPr>
          <w:rFonts w:hint="eastAsia"/>
          <w:b/>
          <w:color w:val="auto"/>
          <w:szCs w:val="24"/>
          <w:lang w:val="en-US" w:eastAsia="zh-CN"/>
        </w:rPr>
        <w:t>1</w:t>
      </w:r>
      <w:r>
        <w:rPr>
          <w:rFonts w:hint="eastAsia"/>
          <w:b/>
          <w:color w:val="auto"/>
          <w:szCs w:val="24"/>
        </w:rPr>
        <w:t xml:space="preserve">  三线一单查询报告</w:t>
      </w:r>
    </w:p>
    <w:p w14:paraId="08856503">
      <w:pPr>
        <w:pStyle w:val="38"/>
        <w:spacing w:line="240" w:lineRule="auto"/>
        <w:ind w:firstLine="0" w:firstLineChars="0"/>
        <w:rPr>
          <w:rFonts w:hint="eastAsia"/>
          <w:b/>
          <w:color w:val="auto"/>
          <w:szCs w:val="24"/>
        </w:rPr>
        <w:sectPr>
          <w:pgSz w:w="11906" w:h="16838"/>
          <w:pgMar w:top="720" w:right="720" w:bottom="720" w:left="720" w:header="567" w:footer="567" w:gutter="0"/>
          <w:pgBorders>
            <w:top w:val="none" w:sz="0" w:space="0"/>
            <w:left w:val="none" w:sz="0" w:space="0"/>
            <w:bottom w:val="none" w:sz="0" w:space="0"/>
            <w:right w:val="none" w:sz="0" w:space="0"/>
          </w:pgBorders>
          <w:cols w:space="0" w:num="1"/>
          <w:rtlGutter w:val="0"/>
          <w:docGrid w:linePitch="312" w:charSpace="0"/>
        </w:sectPr>
      </w:pPr>
      <w:r>
        <w:rPr>
          <w:rFonts w:hint="eastAsia"/>
          <w:b/>
          <w:color w:val="auto"/>
          <w:szCs w:val="24"/>
        </w:rPr>
        <w:drawing>
          <wp:inline distT="0" distB="0" distL="114300" distR="114300">
            <wp:extent cx="9305925" cy="6641465"/>
            <wp:effectExtent l="0" t="0" r="6985" b="9525"/>
            <wp:docPr id="22" name="图片 22" descr="华泽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华泽_01"/>
                    <pic:cNvPicPr>
                      <a:picLocks noChangeAspect="1"/>
                    </pic:cNvPicPr>
                  </pic:nvPicPr>
                  <pic:blipFill>
                    <a:blip r:embed="rId74"/>
                    <a:srcRect r="986"/>
                    <a:stretch>
                      <a:fillRect/>
                    </a:stretch>
                  </pic:blipFill>
                  <pic:spPr>
                    <a:xfrm rot="16200000">
                      <a:off x="0" y="0"/>
                      <a:ext cx="9305925" cy="6641465"/>
                    </a:xfrm>
                    <a:prstGeom prst="rect">
                      <a:avLst/>
                    </a:prstGeom>
                  </pic:spPr>
                </pic:pic>
              </a:graphicData>
            </a:graphic>
          </wp:inline>
        </w:drawing>
      </w:r>
    </w:p>
    <w:p w14:paraId="76EEA17D">
      <w:pPr>
        <w:pStyle w:val="38"/>
        <w:spacing w:line="240" w:lineRule="auto"/>
        <w:ind w:firstLine="0" w:firstLineChars="0"/>
        <w:rPr>
          <w:b/>
          <w:color w:val="auto"/>
          <w:szCs w:val="24"/>
        </w:rPr>
      </w:pPr>
      <w:r>
        <w:rPr>
          <w:rFonts w:hint="eastAsia"/>
          <w:b/>
          <w:color w:val="auto"/>
          <w:szCs w:val="24"/>
        </w:rPr>
        <w:t>附件1</w:t>
      </w:r>
      <w:r>
        <w:rPr>
          <w:rFonts w:hint="eastAsia"/>
          <w:b/>
          <w:color w:val="auto"/>
          <w:szCs w:val="24"/>
          <w:lang w:val="en-US" w:eastAsia="zh-CN"/>
        </w:rPr>
        <w:t>2</w:t>
      </w:r>
      <w:r>
        <w:rPr>
          <w:rFonts w:hint="eastAsia"/>
          <w:b/>
          <w:color w:val="auto"/>
          <w:szCs w:val="24"/>
        </w:rPr>
        <w:t xml:space="preserve">  监测报告</w:t>
      </w:r>
    </w:p>
    <w:p w14:paraId="7A6BE4B3">
      <w:pPr>
        <w:pStyle w:val="38"/>
        <w:spacing w:line="240" w:lineRule="auto"/>
        <w:ind w:firstLine="0" w:firstLineChars="0"/>
        <w:jc w:val="center"/>
        <w:rPr>
          <w:b/>
          <w:color w:val="auto"/>
          <w:szCs w:val="24"/>
        </w:rPr>
        <w:sectPr>
          <w:pgSz w:w="11906" w:h="16838"/>
          <w:pgMar w:top="720" w:right="720" w:bottom="720" w:left="720" w:header="567" w:footer="567" w:gutter="0"/>
          <w:pgBorders>
            <w:top w:val="none" w:sz="0" w:space="0"/>
            <w:left w:val="none" w:sz="0" w:space="0"/>
            <w:bottom w:val="none" w:sz="0" w:space="0"/>
            <w:right w:val="none" w:sz="0" w:space="0"/>
          </w:pgBorders>
          <w:cols w:space="0" w:num="1"/>
          <w:rtlGutter w:val="0"/>
          <w:docGrid w:linePitch="312" w:charSpace="0"/>
        </w:sectPr>
      </w:pPr>
      <w:r>
        <w:rPr>
          <w:b/>
          <w:color w:val="auto"/>
          <w:szCs w:val="24"/>
        </w:rPr>
        <w:drawing>
          <wp:inline distT="0" distB="0" distL="114300" distR="114300">
            <wp:extent cx="6584950" cy="9331325"/>
            <wp:effectExtent l="0" t="0" r="0" b="0"/>
            <wp:docPr id="62" name="图片 62" descr="ZM251110129K内蒙古华泽装备制造有限公司金属再生资源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ZM251110129K内蒙古华泽装备制造有限公司金属再生资源_01"/>
                    <pic:cNvPicPr>
                      <a:picLocks noChangeAspect="1"/>
                    </pic:cNvPicPr>
                  </pic:nvPicPr>
                  <pic:blipFill>
                    <a:blip r:embed="rId75"/>
                    <a:srcRect t="797" b="1601"/>
                    <a:stretch>
                      <a:fillRect/>
                    </a:stretch>
                  </pic:blipFill>
                  <pic:spPr>
                    <a:xfrm>
                      <a:off x="0" y="0"/>
                      <a:ext cx="6584950" cy="9331325"/>
                    </a:xfrm>
                    <a:prstGeom prst="rect">
                      <a:avLst/>
                    </a:prstGeom>
                  </pic:spPr>
                </pic:pic>
              </a:graphicData>
            </a:graphic>
          </wp:inline>
        </w:drawing>
      </w:r>
      <w:r>
        <w:rPr>
          <w:b/>
          <w:color w:val="auto"/>
          <w:szCs w:val="24"/>
        </w:rPr>
        <w:drawing>
          <wp:inline distT="0" distB="0" distL="114300" distR="114300">
            <wp:extent cx="6597015" cy="9560560"/>
            <wp:effectExtent l="0" t="0" r="13335" b="2540"/>
            <wp:docPr id="61" name="图片 61" descr="ZM251110129K内蒙古华泽装备制造有限公司金属再生资源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ZM251110129K内蒙古华泽装备制造有限公司金属再生资源_02"/>
                    <pic:cNvPicPr>
                      <a:picLocks noChangeAspect="1"/>
                    </pic:cNvPicPr>
                  </pic:nvPicPr>
                  <pic:blipFill>
                    <a:blip r:embed="rId76"/>
                    <a:stretch>
                      <a:fillRect/>
                    </a:stretch>
                  </pic:blipFill>
                  <pic:spPr>
                    <a:xfrm>
                      <a:off x="0" y="0"/>
                      <a:ext cx="6597015" cy="9560560"/>
                    </a:xfrm>
                    <a:prstGeom prst="rect">
                      <a:avLst/>
                    </a:prstGeom>
                  </pic:spPr>
                </pic:pic>
              </a:graphicData>
            </a:graphic>
          </wp:inline>
        </w:drawing>
      </w:r>
      <w:r>
        <w:rPr>
          <w:b/>
          <w:color w:val="auto"/>
          <w:szCs w:val="24"/>
        </w:rPr>
        <w:drawing>
          <wp:inline distT="0" distB="0" distL="114300" distR="114300">
            <wp:extent cx="6597015" cy="9560560"/>
            <wp:effectExtent l="0" t="0" r="13335" b="2540"/>
            <wp:docPr id="60" name="图片 60" descr="ZM251110129K内蒙古华泽装备制造有限公司金属再生资源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ZM251110129K内蒙古华泽装备制造有限公司金属再生资源_03"/>
                    <pic:cNvPicPr>
                      <a:picLocks noChangeAspect="1"/>
                    </pic:cNvPicPr>
                  </pic:nvPicPr>
                  <pic:blipFill>
                    <a:blip r:embed="rId77"/>
                    <a:stretch>
                      <a:fillRect/>
                    </a:stretch>
                  </pic:blipFill>
                  <pic:spPr>
                    <a:xfrm>
                      <a:off x="0" y="0"/>
                      <a:ext cx="6597015" cy="9560560"/>
                    </a:xfrm>
                    <a:prstGeom prst="rect">
                      <a:avLst/>
                    </a:prstGeom>
                  </pic:spPr>
                </pic:pic>
              </a:graphicData>
            </a:graphic>
          </wp:inline>
        </w:drawing>
      </w:r>
      <w:r>
        <w:rPr>
          <w:b/>
          <w:color w:val="auto"/>
          <w:szCs w:val="24"/>
        </w:rPr>
        <w:drawing>
          <wp:inline distT="0" distB="0" distL="114300" distR="114300">
            <wp:extent cx="6597015" cy="9560560"/>
            <wp:effectExtent l="0" t="0" r="13335" b="2540"/>
            <wp:docPr id="54" name="图片 54" descr="ZM251110129K内蒙古华泽装备制造有限公司金属再生资源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ZM251110129K内蒙古华泽装备制造有限公司金属再生资源_04"/>
                    <pic:cNvPicPr>
                      <a:picLocks noChangeAspect="1"/>
                    </pic:cNvPicPr>
                  </pic:nvPicPr>
                  <pic:blipFill>
                    <a:blip r:embed="rId78"/>
                    <a:stretch>
                      <a:fillRect/>
                    </a:stretch>
                  </pic:blipFill>
                  <pic:spPr>
                    <a:xfrm>
                      <a:off x="0" y="0"/>
                      <a:ext cx="6597015" cy="9560560"/>
                    </a:xfrm>
                    <a:prstGeom prst="rect">
                      <a:avLst/>
                    </a:prstGeom>
                  </pic:spPr>
                </pic:pic>
              </a:graphicData>
            </a:graphic>
          </wp:inline>
        </w:drawing>
      </w:r>
      <w:r>
        <w:rPr>
          <w:b/>
          <w:color w:val="auto"/>
          <w:szCs w:val="24"/>
        </w:rPr>
        <w:drawing>
          <wp:inline distT="0" distB="0" distL="114300" distR="114300">
            <wp:extent cx="6597015" cy="9560560"/>
            <wp:effectExtent l="0" t="0" r="13335" b="2540"/>
            <wp:docPr id="53" name="图片 53" descr="ZM251110129K内蒙古华泽装备制造有限公司金属再生资源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ZM251110129K内蒙古华泽装备制造有限公司金属再生资源_05"/>
                    <pic:cNvPicPr>
                      <a:picLocks noChangeAspect="1"/>
                    </pic:cNvPicPr>
                  </pic:nvPicPr>
                  <pic:blipFill>
                    <a:blip r:embed="rId79"/>
                    <a:stretch>
                      <a:fillRect/>
                    </a:stretch>
                  </pic:blipFill>
                  <pic:spPr>
                    <a:xfrm>
                      <a:off x="0" y="0"/>
                      <a:ext cx="6597015" cy="9560560"/>
                    </a:xfrm>
                    <a:prstGeom prst="rect">
                      <a:avLst/>
                    </a:prstGeom>
                  </pic:spPr>
                </pic:pic>
              </a:graphicData>
            </a:graphic>
          </wp:inline>
        </w:drawing>
      </w:r>
      <w:r>
        <w:rPr>
          <w:b/>
          <w:color w:val="auto"/>
          <w:szCs w:val="24"/>
        </w:rPr>
        <w:drawing>
          <wp:inline distT="0" distB="0" distL="114300" distR="114300">
            <wp:extent cx="6597015" cy="9560560"/>
            <wp:effectExtent l="0" t="0" r="13335" b="2540"/>
            <wp:docPr id="20" name="图片 20" descr="ZM251110129K内蒙古华泽装备制造有限公司金属再生资源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ZM251110129K内蒙古华泽装备制造有限公司金属再生资源_06"/>
                    <pic:cNvPicPr>
                      <a:picLocks noChangeAspect="1"/>
                    </pic:cNvPicPr>
                  </pic:nvPicPr>
                  <pic:blipFill>
                    <a:blip r:embed="rId80"/>
                    <a:stretch>
                      <a:fillRect/>
                    </a:stretch>
                  </pic:blipFill>
                  <pic:spPr>
                    <a:xfrm>
                      <a:off x="0" y="0"/>
                      <a:ext cx="6597015" cy="9560560"/>
                    </a:xfrm>
                    <a:prstGeom prst="rect">
                      <a:avLst/>
                    </a:prstGeom>
                  </pic:spPr>
                </pic:pic>
              </a:graphicData>
            </a:graphic>
          </wp:inline>
        </w:drawing>
      </w:r>
      <w:r>
        <w:rPr>
          <w:b/>
          <w:color w:val="auto"/>
          <w:szCs w:val="24"/>
        </w:rPr>
        <w:drawing>
          <wp:inline distT="0" distB="0" distL="114300" distR="114300">
            <wp:extent cx="6597015" cy="9560560"/>
            <wp:effectExtent l="0" t="0" r="13335" b="2540"/>
            <wp:docPr id="16" name="图片 16" descr="ZM251110129K内蒙古华泽装备制造有限公司金属再生资源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M251110129K内蒙古华泽装备制造有限公司金属再生资源_07"/>
                    <pic:cNvPicPr>
                      <a:picLocks noChangeAspect="1"/>
                    </pic:cNvPicPr>
                  </pic:nvPicPr>
                  <pic:blipFill>
                    <a:blip r:embed="rId81"/>
                    <a:stretch>
                      <a:fillRect/>
                    </a:stretch>
                  </pic:blipFill>
                  <pic:spPr>
                    <a:xfrm>
                      <a:off x="0" y="0"/>
                      <a:ext cx="6597015" cy="9560560"/>
                    </a:xfrm>
                    <a:prstGeom prst="rect">
                      <a:avLst/>
                    </a:prstGeom>
                  </pic:spPr>
                </pic:pic>
              </a:graphicData>
            </a:graphic>
          </wp:inline>
        </w:drawing>
      </w:r>
      <w:r>
        <w:rPr>
          <w:b/>
          <w:color w:val="auto"/>
          <w:szCs w:val="24"/>
        </w:rPr>
        <w:drawing>
          <wp:inline distT="0" distB="0" distL="114300" distR="114300">
            <wp:extent cx="6584950" cy="9560560"/>
            <wp:effectExtent l="0" t="0" r="6350" b="2540"/>
            <wp:docPr id="14" name="图片 14" descr="ZM251110129K内蒙古华泽装备制造有限公司金属再生资源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ZM251110129K内蒙古华泽装备制造有限公司金属再生资源_08"/>
                    <pic:cNvPicPr>
                      <a:picLocks noChangeAspect="1"/>
                    </pic:cNvPicPr>
                  </pic:nvPicPr>
                  <pic:blipFill>
                    <a:blip r:embed="rId82"/>
                    <a:stretch>
                      <a:fillRect/>
                    </a:stretch>
                  </pic:blipFill>
                  <pic:spPr>
                    <a:xfrm>
                      <a:off x="0" y="0"/>
                      <a:ext cx="6584950" cy="9560560"/>
                    </a:xfrm>
                    <a:prstGeom prst="rect">
                      <a:avLst/>
                    </a:prstGeom>
                  </pic:spPr>
                </pic:pic>
              </a:graphicData>
            </a:graphic>
          </wp:inline>
        </w:drawing>
      </w:r>
      <w:r>
        <w:rPr>
          <w:b/>
          <w:color w:val="auto"/>
          <w:szCs w:val="24"/>
        </w:rPr>
        <w:drawing>
          <wp:inline distT="0" distB="0" distL="114300" distR="114300">
            <wp:extent cx="6597015" cy="9560560"/>
            <wp:effectExtent l="0" t="0" r="13335" b="2540"/>
            <wp:docPr id="13" name="图片 13" descr="ZM251110129K内蒙古华泽装备制造有限公司金属再生资源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ZM251110129K内蒙古华泽装备制造有限公司金属再生资源_09"/>
                    <pic:cNvPicPr>
                      <a:picLocks noChangeAspect="1"/>
                    </pic:cNvPicPr>
                  </pic:nvPicPr>
                  <pic:blipFill>
                    <a:blip r:embed="rId83"/>
                    <a:stretch>
                      <a:fillRect/>
                    </a:stretch>
                  </pic:blipFill>
                  <pic:spPr>
                    <a:xfrm>
                      <a:off x="0" y="0"/>
                      <a:ext cx="6597015" cy="9560560"/>
                    </a:xfrm>
                    <a:prstGeom prst="rect">
                      <a:avLst/>
                    </a:prstGeom>
                  </pic:spPr>
                </pic:pic>
              </a:graphicData>
            </a:graphic>
          </wp:inline>
        </w:drawing>
      </w:r>
      <w:r>
        <w:rPr>
          <w:b/>
          <w:color w:val="auto"/>
          <w:szCs w:val="24"/>
        </w:rPr>
        <w:drawing>
          <wp:inline distT="0" distB="0" distL="114300" distR="114300">
            <wp:extent cx="6597015" cy="9560560"/>
            <wp:effectExtent l="0" t="0" r="13335" b="2540"/>
            <wp:docPr id="12" name="图片 12" descr="ZM251110129K内蒙古华泽装备制造有限公司金属再生资源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ZM251110129K内蒙古华泽装备制造有限公司金属再生资源_10"/>
                    <pic:cNvPicPr>
                      <a:picLocks noChangeAspect="1"/>
                    </pic:cNvPicPr>
                  </pic:nvPicPr>
                  <pic:blipFill>
                    <a:blip r:embed="rId84"/>
                    <a:stretch>
                      <a:fillRect/>
                    </a:stretch>
                  </pic:blipFill>
                  <pic:spPr>
                    <a:xfrm>
                      <a:off x="0" y="0"/>
                      <a:ext cx="6597015" cy="9560560"/>
                    </a:xfrm>
                    <a:prstGeom prst="rect">
                      <a:avLst/>
                    </a:prstGeom>
                  </pic:spPr>
                </pic:pic>
              </a:graphicData>
            </a:graphic>
          </wp:inline>
        </w:drawing>
      </w:r>
      <w:r>
        <w:rPr>
          <w:b/>
          <w:color w:val="auto"/>
          <w:szCs w:val="24"/>
        </w:rPr>
        <w:drawing>
          <wp:inline distT="0" distB="0" distL="114300" distR="114300">
            <wp:extent cx="6597015" cy="9560560"/>
            <wp:effectExtent l="0" t="0" r="13335" b="2540"/>
            <wp:docPr id="4" name="图片 4" descr="ZM251110129K内蒙古华泽装备制造有限公司金属再生资源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ZM251110129K内蒙古华泽装备制造有限公司金属再生资源_11"/>
                    <pic:cNvPicPr>
                      <a:picLocks noChangeAspect="1"/>
                    </pic:cNvPicPr>
                  </pic:nvPicPr>
                  <pic:blipFill>
                    <a:blip r:embed="rId85"/>
                    <a:stretch>
                      <a:fillRect/>
                    </a:stretch>
                  </pic:blipFill>
                  <pic:spPr>
                    <a:xfrm>
                      <a:off x="0" y="0"/>
                      <a:ext cx="6597015" cy="9560560"/>
                    </a:xfrm>
                    <a:prstGeom prst="rect">
                      <a:avLst/>
                    </a:prstGeom>
                  </pic:spPr>
                </pic:pic>
              </a:graphicData>
            </a:graphic>
          </wp:inline>
        </w:drawing>
      </w:r>
      <w:r>
        <w:rPr>
          <w:b/>
          <w:color w:val="auto"/>
          <w:szCs w:val="24"/>
        </w:rPr>
        <w:drawing>
          <wp:inline distT="0" distB="0" distL="114300" distR="114300">
            <wp:extent cx="6597015" cy="9560560"/>
            <wp:effectExtent l="0" t="0" r="13335" b="2540"/>
            <wp:docPr id="3" name="图片 3" descr="ZM251110129K内蒙古华泽装备制造有限公司金属再生资源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ZM251110129K内蒙古华泽装备制造有限公司金属再生资源_12"/>
                    <pic:cNvPicPr>
                      <a:picLocks noChangeAspect="1"/>
                    </pic:cNvPicPr>
                  </pic:nvPicPr>
                  <pic:blipFill>
                    <a:blip r:embed="rId86"/>
                    <a:stretch>
                      <a:fillRect/>
                    </a:stretch>
                  </pic:blipFill>
                  <pic:spPr>
                    <a:xfrm>
                      <a:off x="0" y="0"/>
                      <a:ext cx="6597015" cy="9560560"/>
                    </a:xfrm>
                    <a:prstGeom prst="rect">
                      <a:avLst/>
                    </a:prstGeom>
                  </pic:spPr>
                </pic:pic>
              </a:graphicData>
            </a:graphic>
          </wp:inline>
        </w:drawing>
      </w:r>
      <w:r>
        <w:rPr>
          <w:b/>
          <w:color w:val="auto"/>
          <w:szCs w:val="24"/>
        </w:rPr>
        <w:drawing>
          <wp:inline distT="0" distB="0" distL="114300" distR="114300">
            <wp:extent cx="6597015" cy="9560560"/>
            <wp:effectExtent l="0" t="0" r="13335" b="2540"/>
            <wp:docPr id="2" name="图片 2" descr="ZM251110129K内蒙古华泽装备制造有限公司金属再生资源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ZM251110129K内蒙古华泽装备制造有限公司金属再生资源_13"/>
                    <pic:cNvPicPr>
                      <a:picLocks noChangeAspect="1"/>
                    </pic:cNvPicPr>
                  </pic:nvPicPr>
                  <pic:blipFill>
                    <a:blip r:embed="rId87"/>
                    <a:stretch>
                      <a:fillRect/>
                    </a:stretch>
                  </pic:blipFill>
                  <pic:spPr>
                    <a:xfrm>
                      <a:off x="0" y="0"/>
                      <a:ext cx="6597015" cy="9560560"/>
                    </a:xfrm>
                    <a:prstGeom prst="rect">
                      <a:avLst/>
                    </a:prstGeom>
                  </pic:spPr>
                </pic:pic>
              </a:graphicData>
            </a:graphic>
          </wp:inline>
        </w:drawing>
      </w:r>
      <w:r>
        <w:rPr>
          <w:b/>
          <w:color w:val="auto"/>
          <w:szCs w:val="24"/>
        </w:rPr>
        <w:drawing>
          <wp:inline distT="0" distB="0" distL="114300" distR="114300">
            <wp:extent cx="6597015" cy="9560560"/>
            <wp:effectExtent l="0" t="0" r="13335" b="2540"/>
            <wp:docPr id="1" name="图片 1" descr="ZM251110129K内蒙古华泽装备制造有限公司金属再生资源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ZM251110129K内蒙古华泽装备制造有限公司金属再生资源_14"/>
                    <pic:cNvPicPr>
                      <a:picLocks noChangeAspect="1"/>
                    </pic:cNvPicPr>
                  </pic:nvPicPr>
                  <pic:blipFill>
                    <a:blip r:embed="rId88"/>
                    <a:stretch>
                      <a:fillRect/>
                    </a:stretch>
                  </pic:blipFill>
                  <pic:spPr>
                    <a:xfrm>
                      <a:off x="0" y="0"/>
                      <a:ext cx="6597015" cy="9560560"/>
                    </a:xfrm>
                    <a:prstGeom prst="rect">
                      <a:avLst/>
                    </a:prstGeom>
                  </pic:spPr>
                </pic:pic>
              </a:graphicData>
            </a:graphic>
          </wp:inline>
        </w:drawing>
      </w:r>
    </w:p>
    <w:p w14:paraId="78FEC269">
      <w:pPr>
        <w:pStyle w:val="38"/>
        <w:spacing w:line="240" w:lineRule="auto"/>
        <w:ind w:firstLine="0" w:firstLineChars="0"/>
        <w:jc w:val="both"/>
        <w:rPr>
          <w:rFonts w:hint="eastAsia"/>
          <w:b/>
          <w:color w:val="auto"/>
          <w:szCs w:val="24"/>
          <w:lang w:val="en-US" w:eastAsia="zh-CN"/>
        </w:rPr>
      </w:pPr>
      <w:r>
        <w:rPr>
          <w:rFonts w:hint="eastAsia"/>
          <w:b/>
          <w:color w:val="auto"/>
          <w:szCs w:val="24"/>
          <w:lang w:val="en-US" w:eastAsia="zh-CN"/>
        </w:rPr>
        <w:t>附件13 颗粒物区域削减量的说明</w:t>
      </w:r>
    </w:p>
    <w:p w14:paraId="31D96F65">
      <w:pPr>
        <w:pStyle w:val="38"/>
        <w:spacing w:line="240" w:lineRule="auto"/>
        <w:ind w:firstLine="0" w:firstLineChars="0"/>
        <w:jc w:val="both"/>
        <w:rPr>
          <w:rFonts w:hint="default"/>
          <w:b/>
          <w:color w:val="auto"/>
          <w:szCs w:val="24"/>
          <w:lang w:val="en-US" w:eastAsia="zh-CN"/>
        </w:rPr>
      </w:pPr>
      <w:r>
        <w:rPr>
          <w:rFonts w:hint="default"/>
          <w:b/>
          <w:color w:val="auto"/>
          <w:szCs w:val="24"/>
          <w:lang w:val="en-US" w:eastAsia="zh-CN"/>
        </w:rPr>
        <w:drawing>
          <wp:inline distT="0" distB="0" distL="114300" distR="114300">
            <wp:extent cx="6623050" cy="9366250"/>
            <wp:effectExtent l="0" t="0" r="6350" b="6350"/>
            <wp:docPr id="36" name="图片 36" descr="鄂尔多斯市生态环境局鄂托克旗分局关子 内蒙古华泽装备制造有限公司金属再生资源综合利用项目 区域削减量的说明(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鄂尔多斯市生态环境局鄂托克旗分局关子 内蒙古华泽装备制造有限公司金属再生资源综合利用项目 区域削减量的说明(1)_01"/>
                    <pic:cNvPicPr>
                      <a:picLocks noChangeAspect="1"/>
                    </pic:cNvPicPr>
                  </pic:nvPicPr>
                  <pic:blipFill>
                    <a:blip r:embed="rId89"/>
                    <a:stretch>
                      <a:fillRect/>
                    </a:stretch>
                  </pic:blipFill>
                  <pic:spPr>
                    <a:xfrm>
                      <a:off x="0" y="0"/>
                      <a:ext cx="6623050" cy="9366250"/>
                    </a:xfrm>
                    <a:prstGeom prst="rect">
                      <a:avLst/>
                    </a:prstGeom>
                  </pic:spPr>
                </pic:pic>
              </a:graphicData>
            </a:graphic>
          </wp:inline>
        </w:drawing>
      </w:r>
    </w:p>
    <w:sectPr>
      <w:pgSz w:w="11906" w:h="16838"/>
      <w:pgMar w:top="720" w:right="720" w:bottom="720" w:left="720" w:header="567" w:footer="567" w:gutter="0"/>
      <w:pgBorders>
        <w:top w:val="none" w:sz="0" w:space="0"/>
        <w:left w:val="none" w:sz="0" w:space="0"/>
        <w:bottom w:val="none" w:sz="0" w:space="0"/>
        <w:right w:val="none" w:sz="0" w:space="0"/>
      </w:pgBorders>
      <w:cols w:space="0" w:num="1"/>
      <w:rtlGutter w:val="0"/>
      <w:docGrid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gaowa" w:date="2026-05-12T09:28:58Z" w:initials="">
    <w:p w14:paraId="628B0E3A">
      <w:pPr>
        <w:pStyle w:val="9"/>
        <w:rPr>
          <w:rFonts w:hint="eastAsia" w:eastAsia="宋体"/>
          <w:lang w:val="en-US" w:eastAsia="zh-CN"/>
        </w:rPr>
      </w:pPr>
      <w:r>
        <w:annotationRef/>
      </w:r>
    </w:p>
  </w:comment>
  <w:comment w:id="1" w:author="丫丫" w:date="2026-05-14T14:34:28Z" w:initials="">
    <w:p w14:paraId="31D6C94C">
      <w:pPr>
        <w:pStyle w:val="9"/>
        <w:rPr>
          <w:rFonts w:hint="default" w:eastAsia="宋体"/>
          <w:color w:val="FF0000"/>
          <w:lang w:val="en-US" w:eastAsia="zh-CN"/>
        </w:rPr>
      </w:pPr>
      <w:r>
        <w:rPr>
          <w:rFonts w:hint="eastAsia"/>
          <w:color w:val="FF0000"/>
          <w:lang w:val="en-US" w:eastAsia="zh-CN"/>
        </w:rPr>
        <w:t>2019年就是最新的标准</w:t>
      </w:r>
    </w:p>
  </w:comment>
  <w:comment w:id="2" w:author="gaowa" w:date="2026-05-12T15:54:44Z" w:initials="">
    <w:p w14:paraId="1C5C642B">
      <w:pPr>
        <w:pStyle w:val="9"/>
        <w:rPr>
          <w:rFonts w:hint="eastAsia" w:eastAsia="宋体"/>
          <w:lang w:eastAsia="zh-CN"/>
        </w:rPr>
      </w:pPr>
      <w:r>
        <w:rPr>
          <w:rFonts w:hint="eastAsia"/>
          <w:lang w:eastAsia="zh-CN"/>
        </w:rPr>
        <w:t>补充与蒙西园区相符性分析</w:t>
      </w:r>
    </w:p>
  </w:comment>
  <w:comment w:id="3" w:author="丫丫" w:date="2026-05-13T15:06:03Z" w:initials="">
    <w:p w14:paraId="3EB24D44">
      <w:pPr>
        <w:pStyle w:val="9"/>
        <w:rPr>
          <w:rFonts w:hint="default" w:eastAsia="宋体"/>
          <w:lang w:val="en-US" w:eastAsia="zh-CN"/>
        </w:rPr>
      </w:pPr>
      <w:r>
        <w:rPr>
          <w:rFonts w:hint="eastAsia"/>
          <w:lang w:val="en-US" w:eastAsia="zh-CN"/>
        </w:rPr>
        <w:t>已补充，见表1-5</w:t>
      </w:r>
    </w:p>
  </w:comment>
  <w:comment w:id="4" w:author="gaowa" w:date="2026-05-12T09:44:50Z" w:initials="">
    <w:p w14:paraId="0138DFC0">
      <w:pPr>
        <w:pStyle w:val="9"/>
        <w:rPr>
          <w:rFonts w:hint="eastAsia" w:eastAsia="宋体"/>
          <w:lang w:eastAsia="zh-CN"/>
        </w:rPr>
      </w:pPr>
      <w:r>
        <w:rPr>
          <w:rFonts w:hint="eastAsia"/>
          <w:lang w:eastAsia="zh-CN"/>
        </w:rPr>
        <w:t>核实，</w:t>
      </w:r>
    </w:p>
  </w:comment>
  <w:comment w:id="5" w:author="gaowa" w:date="2026-05-12T09:50:40Z" w:initials="">
    <w:p w14:paraId="68AF5BA6">
      <w:pPr>
        <w:pStyle w:val="9"/>
        <w:rPr>
          <w:rFonts w:hint="eastAsia" w:eastAsia="宋体"/>
          <w:lang w:eastAsia="zh-CN"/>
        </w:rPr>
      </w:pPr>
      <w:r>
        <w:rPr>
          <w:rFonts w:hint="eastAsia"/>
          <w:lang w:eastAsia="zh-CN"/>
        </w:rPr>
        <w:t>与该项的符合性</w:t>
      </w:r>
    </w:p>
  </w:comment>
  <w:comment w:id="6" w:author="gaowa" w:date="2026-05-12T09:50:20Z" w:initials="">
    <w:p w14:paraId="673B7CE3">
      <w:pPr>
        <w:pStyle w:val="9"/>
        <w:rPr>
          <w:rFonts w:hint="eastAsia" w:eastAsia="宋体"/>
          <w:lang w:eastAsia="zh-CN"/>
        </w:rPr>
      </w:pPr>
      <w:r>
        <w:rPr>
          <w:rFonts w:hint="eastAsia"/>
          <w:lang w:eastAsia="zh-CN"/>
        </w:rPr>
        <w:t>必须配备</w:t>
      </w:r>
    </w:p>
  </w:comment>
  <w:comment w:id="7" w:author="gaowa" w:date="2026-05-12T11:00:00Z" w:initials="">
    <w:p w14:paraId="697B6ECC">
      <w:pPr>
        <w:pStyle w:val="9"/>
        <w:rPr>
          <w:rFonts w:hint="eastAsia" w:eastAsia="宋体"/>
          <w:lang w:eastAsia="zh-CN"/>
        </w:rPr>
      </w:pPr>
      <w:r>
        <w:rPr>
          <w:rFonts w:hint="eastAsia"/>
          <w:lang w:eastAsia="zh-CN"/>
        </w:rPr>
        <w:t>废钢无清洗工艺，核实需要消耗水吗</w:t>
      </w:r>
    </w:p>
  </w:comment>
  <w:comment w:id="8" w:author="gaowa" w:date="2026-05-06T17:11:01Z" w:initials="">
    <w:p w14:paraId="31FF3D82">
      <w:pPr>
        <w:pStyle w:val="9"/>
        <w:rPr>
          <w:rFonts w:hint="eastAsia" w:eastAsia="宋体"/>
          <w:lang w:eastAsia="zh-CN"/>
        </w:rPr>
      </w:pPr>
      <w:r>
        <w:rPr>
          <w:rFonts w:hint="eastAsia"/>
          <w:lang w:eastAsia="zh-CN"/>
        </w:rPr>
        <w:t>和下文不一致</w:t>
      </w:r>
    </w:p>
  </w:comment>
  <w:comment w:id="9" w:author="gaowa" w:date="2026-05-12T09:52:22Z" w:initials="">
    <w:p w14:paraId="54005799">
      <w:pPr>
        <w:pStyle w:val="9"/>
      </w:pPr>
      <w:r>
        <w:annotationRef/>
      </w:r>
    </w:p>
  </w:comment>
  <w:comment w:id="10" w:author="gaowa" w:date="2026-05-12T09:53:08Z" w:initials="">
    <w:p w14:paraId="6E8B9C67">
      <w:pPr>
        <w:pStyle w:val="9"/>
      </w:pPr>
      <w:r>
        <w:annotationRef/>
      </w:r>
    </w:p>
  </w:comment>
  <w:comment w:id="11" w:author="gaowa" w:date="2026-05-06T17:08:03Z" w:initials="">
    <w:p w14:paraId="4591B945">
      <w:pPr>
        <w:pStyle w:val="9"/>
        <w:rPr>
          <w:rFonts w:hint="eastAsia" w:eastAsia="宋体"/>
          <w:lang w:val="en-US" w:eastAsia="zh-CN"/>
        </w:rPr>
      </w:pPr>
      <w:r>
        <w:rPr>
          <w:rFonts w:hint="eastAsia"/>
          <w:lang w:val="en-US" w:eastAsia="zh-CN"/>
        </w:rPr>
        <w:t>有成品库房吗？</w:t>
      </w:r>
    </w:p>
  </w:comment>
  <w:comment w:id="12" w:author="丫丫" w:date="2026-05-12T17:15:40Z" w:initials="">
    <w:p w14:paraId="0A9EC374">
      <w:pPr>
        <w:pStyle w:val="9"/>
        <w:rPr>
          <w:rFonts w:hint="default" w:eastAsia="宋体"/>
          <w:lang w:val="en-US" w:eastAsia="zh-CN"/>
        </w:rPr>
      </w:pPr>
      <w:r>
        <w:rPr>
          <w:rFonts w:hint="eastAsia"/>
          <w:lang w:val="en-US" w:eastAsia="zh-CN"/>
        </w:rPr>
        <w:t>没有单独的成品库房，成品存放于破碎车间内</w:t>
      </w:r>
    </w:p>
  </w:comment>
  <w:comment w:id="13" w:author="gaowa" w:date="2026-05-12T10:05:07Z" w:initials="">
    <w:p w14:paraId="6D4119EF">
      <w:pPr>
        <w:pStyle w:val="9"/>
      </w:pPr>
      <w:r>
        <w:annotationRef/>
      </w:r>
    </w:p>
  </w:comment>
  <w:comment w:id="14" w:author="gaowa" w:date="2026-05-06T17:12:50Z" w:initials="">
    <w:p w14:paraId="5A0796A8">
      <w:pPr>
        <w:pStyle w:val="9"/>
        <w:rPr>
          <w:rFonts w:hint="eastAsia" w:eastAsia="宋体"/>
          <w:lang w:eastAsia="zh-CN"/>
        </w:rPr>
      </w:pPr>
      <w:r>
        <w:rPr>
          <w:rFonts w:hint="eastAsia"/>
          <w:lang w:eastAsia="zh-CN"/>
        </w:rPr>
        <w:t>粉尘如何使用？作为原料还是产品？</w:t>
      </w:r>
    </w:p>
  </w:comment>
  <w:comment w:id="15" w:author="gaowa" w:date="2026-05-12T10:55:02Z" w:initials="">
    <w:p w14:paraId="4028DC4C">
      <w:pPr>
        <w:pStyle w:val="9"/>
        <w:rPr>
          <w:rFonts w:hint="eastAsia" w:eastAsia="宋体"/>
          <w:lang w:eastAsia="zh-CN"/>
        </w:rPr>
      </w:pPr>
      <w:r>
        <w:rPr>
          <w:rFonts w:hint="eastAsia"/>
          <w:lang w:eastAsia="zh-CN"/>
        </w:rPr>
        <w:t>重新描述，不用具体企业名称</w:t>
      </w:r>
    </w:p>
  </w:comment>
  <w:comment w:id="16" w:author="gaowa" w:date="2026-05-06T17:20:04Z" w:initials="">
    <w:p w14:paraId="2AD4516D">
      <w:pPr>
        <w:pStyle w:val="9"/>
        <w:rPr>
          <w:rFonts w:hint="eastAsia" w:eastAsia="宋体"/>
          <w:lang w:eastAsia="zh-CN"/>
        </w:rPr>
      </w:pPr>
      <w:r>
        <w:rPr>
          <w:rFonts w:hint="eastAsia"/>
          <w:lang w:eastAsia="zh-CN"/>
        </w:rPr>
        <w:t>具体要求是什么，明确达到什么样的指标</w:t>
      </w:r>
    </w:p>
  </w:comment>
  <w:comment w:id="17" w:author="丫丫" w:date="2026-05-13T15:07:30Z" w:initials="">
    <w:p w14:paraId="6FE8DF83">
      <w:pPr>
        <w:pStyle w:val="9"/>
        <w:rPr>
          <w:rFonts w:hint="default" w:eastAsia="宋体"/>
          <w:lang w:val="en-US" w:eastAsia="zh-CN"/>
        </w:rPr>
      </w:pPr>
      <w:r>
        <w:rPr>
          <w:rFonts w:hint="eastAsia"/>
          <w:lang w:val="en-US" w:eastAsia="zh-CN"/>
        </w:rPr>
        <w:t>已补充，见下文</w:t>
      </w:r>
    </w:p>
  </w:comment>
  <w:comment w:id="18" w:author="gaowa" w:date="2026-05-12T10:56:07Z" w:initials="">
    <w:p w14:paraId="345F2310">
      <w:pPr>
        <w:pStyle w:val="9"/>
        <w:rPr>
          <w:rFonts w:hint="eastAsia" w:eastAsia="宋体"/>
          <w:lang w:eastAsia="zh-CN"/>
        </w:rPr>
      </w:pPr>
      <w:r>
        <w:rPr>
          <w:rFonts w:hint="eastAsia"/>
          <w:lang w:eastAsia="zh-CN"/>
        </w:rPr>
        <w:t>重新描述</w:t>
      </w:r>
    </w:p>
  </w:comment>
  <w:comment w:id="19" w:author="gaowa" w:date="2026-05-12T15:45:49Z" w:initials="">
    <w:p w14:paraId="65F27433">
      <w:pPr>
        <w:pStyle w:val="9"/>
        <w:rPr>
          <w:rFonts w:hint="eastAsia" w:eastAsia="宋体"/>
          <w:lang w:eastAsia="zh-CN"/>
        </w:rPr>
      </w:pPr>
      <w:r>
        <w:rPr>
          <w:rFonts w:hint="eastAsia"/>
          <w:lang w:eastAsia="zh-CN"/>
        </w:rPr>
        <w:t>补充用途，用于哪一个工艺</w:t>
      </w:r>
    </w:p>
  </w:comment>
  <w:comment w:id="20" w:author="gaowa" w:date="2026-05-12T11:12:34Z" w:initials="">
    <w:p w14:paraId="249E2F77">
      <w:pPr>
        <w:pStyle w:val="9"/>
        <w:rPr>
          <w:rFonts w:hint="default" w:eastAsia="宋体"/>
          <w:lang w:val="en-US" w:eastAsia="zh-CN"/>
        </w:rPr>
      </w:pPr>
      <w:r>
        <w:rPr>
          <w:rFonts w:hint="eastAsia"/>
          <w:lang w:val="en-US" w:eastAsia="zh-CN"/>
        </w:rPr>
        <w:t>废水处理工艺是和企业核实过的</w:t>
      </w:r>
    </w:p>
  </w:comment>
  <w:comment w:id="21" w:author="gaowa" w:date="2026-05-07T09:13:10Z" w:initials="">
    <w:p w14:paraId="0008226B">
      <w:pPr>
        <w:pStyle w:val="9"/>
        <w:rPr>
          <w:rFonts w:hint="eastAsia" w:eastAsia="宋体"/>
          <w:lang w:eastAsia="zh-CN"/>
        </w:rPr>
      </w:pPr>
      <w:r>
        <w:rPr>
          <w:rFonts w:hint="eastAsia"/>
          <w:lang w:eastAsia="zh-CN"/>
        </w:rPr>
        <w:t>合格的标准是什么</w:t>
      </w:r>
    </w:p>
  </w:comment>
  <w:comment w:id="22" w:author="gaowa" w:date="2026-05-12T09:11:37Z" w:initials="">
    <w:p w14:paraId="3276FEE4">
      <w:pPr>
        <w:pStyle w:val="9"/>
        <w:rPr>
          <w:rFonts w:hint="eastAsia" w:eastAsia="宋体"/>
          <w:lang w:eastAsia="zh-CN"/>
        </w:rPr>
      </w:pPr>
      <w:r>
        <w:rPr>
          <w:rFonts w:hint="eastAsia"/>
          <w:lang w:eastAsia="zh-CN"/>
        </w:rPr>
        <w:t>重新描述</w:t>
      </w:r>
    </w:p>
  </w:comment>
  <w:comment w:id="23" w:author="丫丫" w:date="2026-05-13T15:13:24Z" w:initials="">
    <w:p w14:paraId="5D87CB78">
      <w:pPr>
        <w:pStyle w:val="9"/>
        <w:rPr>
          <w:rFonts w:hint="default" w:eastAsia="宋体"/>
          <w:lang w:val="en-US" w:eastAsia="zh-CN"/>
        </w:rPr>
      </w:pPr>
      <w:r>
        <w:rPr>
          <w:rFonts w:hint="eastAsia"/>
          <w:lang w:val="en-US" w:eastAsia="zh-CN"/>
        </w:rPr>
        <w:t>已修改</w:t>
      </w:r>
    </w:p>
  </w:comment>
  <w:comment w:id="24" w:author="gaowa" w:date="2026-05-12T10:29:28Z" w:initials="">
    <w:p w14:paraId="567541B8">
      <w:pPr>
        <w:pStyle w:val="9"/>
        <w:rPr>
          <w:rFonts w:hint="eastAsia" w:eastAsia="宋体"/>
          <w:lang w:eastAsia="zh-CN"/>
        </w:rPr>
      </w:pPr>
      <w:r>
        <w:rPr>
          <w:rFonts w:hint="eastAsia"/>
          <w:lang w:eastAsia="zh-CN"/>
        </w:rPr>
        <w:t>依据什么确定的？</w:t>
      </w:r>
    </w:p>
  </w:comment>
  <w:comment w:id="25" w:author="丫丫" w:date="2026-05-12T17:43:46Z" w:initials="">
    <w:p w14:paraId="339BC80D">
      <w:pPr>
        <w:pStyle w:val="9"/>
        <w:rPr>
          <w:rFonts w:hint="default" w:eastAsia="宋体"/>
          <w:lang w:val="en-US" w:eastAsia="zh-CN"/>
        </w:rPr>
      </w:pPr>
      <w:r>
        <w:rPr>
          <w:rFonts w:hint="eastAsia"/>
          <w:lang w:val="en-US" w:eastAsia="zh-CN"/>
        </w:rPr>
        <w:t>卡车的车身、底盘多为镀锌防腐层，维修清洗时被冲洗进入废水；铅蓄电池维修更换过程中可能产生铅尘，地面清洗时进入废水</w:t>
      </w:r>
    </w:p>
  </w:comment>
  <w:comment w:id="26" w:author="gaowa" w:date="2026-05-07T09:30:37Z" w:initials="">
    <w:p w14:paraId="2826E456">
      <w:pPr>
        <w:pStyle w:val="9"/>
      </w:pPr>
      <w:r>
        <w:annotationRef/>
      </w:r>
    </w:p>
  </w:comment>
  <w:comment w:id="27" w:author="gaowa" w:date="2026-05-11T08:56:44Z" w:initials="">
    <w:p w14:paraId="07363185">
      <w:pPr>
        <w:pStyle w:val="9"/>
        <w:rPr>
          <w:rFonts w:hint="eastAsia" w:eastAsia="宋体"/>
          <w:lang w:eastAsia="zh-CN"/>
        </w:rPr>
      </w:pPr>
      <w:r>
        <w:rPr>
          <w:rFonts w:hint="eastAsia"/>
          <w:lang w:eastAsia="zh-CN"/>
        </w:rPr>
        <w:t>核实监测数据来源</w:t>
      </w:r>
    </w:p>
  </w:comment>
  <w:comment w:id="28" w:author="丫丫" w:date="2026-05-13T15:16:22Z" w:initials="">
    <w:p w14:paraId="44B1AD88">
      <w:pPr>
        <w:pStyle w:val="9"/>
        <w:rPr>
          <w:rFonts w:hint="default" w:eastAsia="宋体"/>
          <w:lang w:val="en-US" w:eastAsia="zh-CN"/>
        </w:rPr>
      </w:pPr>
      <w:r>
        <w:rPr>
          <w:rFonts w:hint="eastAsia"/>
          <w:lang w:val="en-US" w:eastAsia="zh-CN"/>
        </w:rPr>
        <w:t>已核实</w:t>
      </w:r>
    </w:p>
  </w:comment>
  <w:comment w:id="29" w:author="gaowa" w:date="2026-05-11T09:01:14Z" w:initials="">
    <w:p w14:paraId="03F17EC7">
      <w:pPr>
        <w:pStyle w:val="9"/>
        <w:rPr>
          <w:rFonts w:hint="eastAsia" w:eastAsia="宋体"/>
          <w:lang w:eastAsia="zh-CN"/>
        </w:rPr>
      </w:pPr>
      <w:r>
        <w:rPr>
          <w:rFonts w:hint="eastAsia"/>
          <w:lang w:eastAsia="zh-CN"/>
        </w:rPr>
        <w:t>补充日均值</w:t>
      </w:r>
    </w:p>
  </w:comment>
  <w:comment w:id="30" w:author="丫丫" w:date="2026-05-13T15:17:11Z" w:initials="">
    <w:p w14:paraId="465F7389">
      <w:pPr>
        <w:pStyle w:val="9"/>
        <w:rPr>
          <w:rFonts w:hint="default" w:eastAsia="宋体"/>
          <w:lang w:val="en-US" w:eastAsia="zh-CN"/>
        </w:rPr>
      </w:pPr>
      <w:r>
        <w:rPr>
          <w:rFonts w:hint="eastAsia"/>
          <w:lang w:val="en-US" w:eastAsia="zh-CN"/>
        </w:rPr>
        <w:t>大气达标区判定用年均值，不用日均值</w:t>
      </w:r>
    </w:p>
  </w:comment>
  <w:comment w:id="31" w:author="gaowa" w:date="2026-05-07T10:32:00Z" w:initials="">
    <w:p w14:paraId="2BBA6DBC">
      <w:pPr>
        <w:pStyle w:val="9"/>
      </w:pPr>
      <w:r>
        <w:annotationRef/>
      </w:r>
    </w:p>
  </w:comment>
  <w:comment w:id="32" w:author="gaowa" w:date="2026-05-07T11:12:29Z" w:initials="">
    <w:p w14:paraId="704FC518">
      <w:pPr>
        <w:pStyle w:val="9"/>
        <w:rPr>
          <w:rFonts w:hint="eastAsia" w:eastAsia="宋体"/>
          <w:lang w:eastAsia="zh-CN"/>
        </w:rPr>
      </w:pPr>
      <w:r>
        <w:rPr>
          <w:rFonts w:hint="eastAsia"/>
          <w:lang w:eastAsia="zh-CN"/>
        </w:rPr>
        <w:t>更新</w:t>
      </w:r>
    </w:p>
  </w:comment>
  <w:comment w:id="33" w:author="gaowa" w:date="2026-05-07T11:13:31Z" w:initials="">
    <w:p w14:paraId="1909533F">
      <w:pPr>
        <w:pStyle w:val="9"/>
        <w:rPr>
          <w:rFonts w:hint="eastAsia" w:eastAsia="宋体"/>
          <w:lang w:eastAsia="zh-CN"/>
        </w:rPr>
      </w:pPr>
      <w:r>
        <w:rPr>
          <w:rFonts w:hint="eastAsia"/>
          <w:lang w:eastAsia="zh-CN"/>
        </w:rPr>
        <w:t>更新</w:t>
      </w:r>
    </w:p>
  </w:comment>
  <w:comment w:id="34" w:author="gaowa" w:date="2026-05-07T11:16:57Z" w:initials="">
    <w:p w14:paraId="1054DA88">
      <w:pPr>
        <w:pStyle w:val="9"/>
      </w:pPr>
      <w:r>
        <w:annotationRef/>
      </w:r>
    </w:p>
  </w:comment>
  <w:comment w:id="35" w:author="gaowa" w:date="2026-05-11T15:14:26Z" w:initials="">
    <w:p w14:paraId="574467DE">
      <w:pPr>
        <w:pStyle w:val="9"/>
        <w:rPr>
          <w:rFonts w:hint="eastAsia" w:eastAsia="宋体"/>
          <w:lang w:eastAsia="zh-CN"/>
        </w:rPr>
      </w:pPr>
      <w:r>
        <w:rPr>
          <w:rFonts w:hint="eastAsia"/>
          <w:lang w:eastAsia="zh-CN"/>
        </w:rPr>
        <w:t>明确表几</w:t>
      </w:r>
    </w:p>
  </w:comment>
  <w:comment w:id="36" w:author="gaowa" w:date="2026-05-12T16:07:31Z" w:initials="">
    <w:p w14:paraId="26A87A9D">
      <w:pPr>
        <w:pStyle w:val="9"/>
        <w:rPr>
          <w:rFonts w:hint="eastAsia" w:eastAsia="宋体"/>
          <w:lang w:eastAsia="zh-CN"/>
        </w:rPr>
      </w:pPr>
      <w:r>
        <w:rPr>
          <w:rFonts w:hint="eastAsia"/>
          <w:lang w:eastAsia="zh-CN"/>
        </w:rPr>
        <w:t>核实清洗废水是否需要自行监测？</w:t>
      </w:r>
    </w:p>
  </w:comment>
  <w:comment w:id="37" w:author="丫丫" w:date="2026-05-13T15:17:40Z" w:initials="">
    <w:p w14:paraId="10342307">
      <w:pPr>
        <w:pStyle w:val="9"/>
        <w:rPr>
          <w:rFonts w:hint="default" w:eastAsia="宋体"/>
          <w:lang w:val="en-US" w:eastAsia="zh-CN"/>
        </w:rPr>
      </w:pPr>
      <w:r>
        <w:rPr>
          <w:rFonts w:hint="eastAsia"/>
          <w:lang w:val="en-US" w:eastAsia="zh-CN"/>
        </w:rPr>
        <w:t>已补充自行监测表，见表4-8</w:t>
      </w:r>
    </w:p>
  </w:comment>
  <w:comment w:id="38" w:author="gaowa" w:date="2026-05-12T10:34:24Z" w:initials="">
    <w:p w14:paraId="58706A3E">
      <w:pPr>
        <w:pStyle w:val="9"/>
        <w:rPr>
          <w:rFonts w:hint="eastAsia" w:eastAsia="宋体"/>
          <w:lang w:eastAsia="zh-CN"/>
        </w:rPr>
      </w:pPr>
      <w:r>
        <w:rPr>
          <w:rFonts w:hint="eastAsia"/>
          <w:lang w:eastAsia="zh-CN"/>
        </w:rPr>
        <w:t>核实</w:t>
      </w:r>
    </w:p>
  </w:comment>
  <w:comment w:id="39" w:author="丫丫" w:date="2026-05-13T10:03:44Z" w:initials="">
    <w:p w14:paraId="5D68F864">
      <w:pPr>
        <w:pStyle w:val="9"/>
        <w:rPr>
          <w:rFonts w:hint="default" w:eastAsia="宋体"/>
          <w:lang w:val="en-US" w:eastAsia="zh-CN"/>
        </w:rPr>
      </w:pPr>
      <w:r>
        <w:rPr>
          <w:rFonts w:hint="eastAsia"/>
          <w:lang w:val="en-US" w:eastAsia="zh-CN"/>
        </w:rPr>
        <w:t>已核实，土壤导则中三级评价是5年一次</w:t>
      </w:r>
    </w:p>
  </w:comment>
  <w:comment w:id="40" w:author="gaowa" w:date="2026-05-12T16:00:03Z" w:initials="">
    <w:p w14:paraId="44D9E4F0">
      <w:pPr>
        <w:pStyle w:val="9"/>
        <w:rPr>
          <w:rFonts w:hint="eastAsia" w:eastAsia="宋体"/>
          <w:lang w:eastAsia="zh-CN"/>
        </w:rPr>
      </w:pPr>
      <w:r>
        <w:rPr>
          <w:rFonts w:hint="eastAsia"/>
          <w:lang w:eastAsia="zh-CN"/>
        </w:rPr>
        <w:t>立项过期，更新</w:t>
      </w:r>
    </w:p>
  </w:comment>
  <w:comment w:id="41" w:author="丫丫" w:date="2026-05-13T15:15:21Z" w:initials="">
    <w:p w14:paraId="60E057DF">
      <w:pPr>
        <w:pStyle w:val="9"/>
        <w:rPr>
          <w:rFonts w:hint="eastAsia" w:eastAsia="宋体"/>
          <w:lang w:val="en-US" w:eastAsia="zh-CN"/>
        </w:rPr>
      </w:pPr>
      <w:r>
        <w:rPr>
          <w:rFonts w:hint="eastAsia"/>
          <w:lang w:val="en-US" w:eastAsia="zh-CN"/>
        </w:rPr>
        <w:t>未过期</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28B0E3A" w15:done="0"/>
  <w15:commentEx w15:paraId="31D6C94C" w15:done="0" w15:paraIdParent="628B0E3A"/>
  <w15:commentEx w15:paraId="1C5C642B" w15:done="0"/>
  <w15:commentEx w15:paraId="3EB24D44" w15:done="0" w15:paraIdParent="1C5C642B"/>
  <w15:commentEx w15:paraId="0138DFC0" w15:done="0"/>
  <w15:commentEx w15:paraId="68AF5BA6" w15:done="0"/>
  <w15:commentEx w15:paraId="673B7CE3" w15:done="0"/>
  <w15:commentEx w15:paraId="697B6ECC" w15:done="0"/>
  <w15:commentEx w15:paraId="31FF3D82" w15:done="0"/>
  <w15:commentEx w15:paraId="54005799" w15:done="0"/>
  <w15:commentEx w15:paraId="6E8B9C67" w15:done="0"/>
  <w15:commentEx w15:paraId="4591B945" w15:done="0"/>
  <w15:commentEx w15:paraId="0A9EC374" w15:done="0" w15:paraIdParent="4591B945"/>
  <w15:commentEx w15:paraId="6D4119EF" w15:done="0"/>
  <w15:commentEx w15:paraId="5A0796A8" w15:done="0"/>
  <w15:commentEx w15:paraId="4028DC4C" w15:done="0"/>
  <w15:commentEx w15:paraId="2AD4516D" w15:done="0"/>
  <w15:commentEx w15:paraId="6FE8DF83" w15:done="0" w15:paraIdParent="2AD4516D"/>
  <w15:commentEx w15:paraId="345F2310" w15:done="0"/>
  <w15:commentEx w15:paraId="65F27433" w15:done="0"/>
  <w15:commentEx w15:paraId="249E2F77" w15:done="0"/>
  <w15:commentEx w15:paraId="0008226B" w15:done="0"/>
  <w15:commentEx w15:paraId="3276FEE4" w15:done="0"/>
  <w15:commentEx w15:paraId="5D87CB78" w15:done="0" w15:paraIdParent="3276FEE4"/>
  <w15:commentEx w15:paraId="567541B8" w15:done="0"/>
  <w15:commentEx w15:paraId="339BC80D" w15:done="0" w15:paraIdParent="567541B8"/>
  <w15:commentEx w15:paraId="2826E456" w15:done="0"/>
  <w15:commentEx w15:paraId="07363185" w15:done="0"/>
  <w15:commentEx w15:paraId="44B1AD88" w15:done="0" w15:paraIdParent="07363185"/>
  <w15:commentEx w15:paraId="03F17EC7" w15:done="0"/>
  <w15:commentEx w15:paraId="465F7389" w15:done="0" w15:paraIdParent="03F17EC7"/>
  <w15:commentEx w15:paraId="2BBA6DBC" w15:done="0"/>
  <w15:commentEx w15:paraId="704FC518" w15:done="0"/>
  <w15:commentEx w15:paraId="1909533F" w15:done="0"/>
  <w15:commentEx w15:paraId="1054DA88" w15:done="0"/>
  <w15:commentEx w15:paraId="574467DE" w15:done="0"/>
  <w15:commentEx w15:paraId="26A87A9D" w15:done="0"/>
  <w15:commentEx w15:paraId="10342307" w15:done="0" w15:paraIdParent="26A87A9D"/>
  <w15:commentEx w15:paraId="58706A3E" w15:done="0"/>
  <w15:commentEx w15:paraId="5D68F864" w15:done="0" w15:paraIdParent="58706A3E"/>
  <w15:commentEx w15:paraId="44D9E4F0" w15:done="0"/>
  <w15:commentEx w15:paraId="60E057DF" w15:done="0" w15:paraIdParent="44D9E4F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7F" w:usb3="00000000" w:csb0="203F01FF" w:csb1="DFFF0000"/>
  </w:font>
  <w:font w:name="MS Serif">
    <w:altName w:val="Times New Roman"/>
    <w:panose1 w:val="00000000000000000000"/>
    <w:charset w:val="00"/>
    <w:family w:val="roman"/>
    <w:pitch w:val="default"/>
    <w:sig w:usb0="00000000" w:usb1="00000000" w:usb2="00000000" w:usb3="00000000" w:csb0="0000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C8F8F">
    <w:pPr>
      <w:pStyle w:val="1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3A855">
    <w:pPr>
      <w:pStyle w:val="18"/>
      <w:framePr w:wrap="around" w:vAnchor="text" w:hAnchor="margin" w:xAlign="center" w:y="1"/>
      <w:rPr>
        <w:rStyle w:val="29"/>
      </w:rPr>
    </w:pPr>
    <w:r>
      <w:fldChar w:fldCharType="begin"/>
    </w:r>
    <w:r>
      <w:rPr>
        <w:rStyle w:val="29"/>
      </w:rPr>
      <w:instrText xml:space="preserve">PAGE  </w:instrText>
    </w:r>
    <w:r>
      <w:fldChar w:fldCharType="end"/>
    </w:r>
  </w:p>
  <w:p w14:paraId="23B2483E">
    <w:pPr>
      <w:pStyle w:val="1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E8145">
    <w:pPr>
      <w:pStyle w:val="18"/>
      <w:ind w:right="360" w:firstLine="360"/>
    </w:pPr>
    <w:r>
      <mc:AlternateContent>
        <mc:Choice Requires="wps">
          <w:drawing>
            <wp:anchor distT="0" distB="0" distL="114300" distR="114300" simplePos="0" relativeHeight="251660288" behindDoc="0" locked="0" layoutInCell="1" allowOverlap="1">
              <wp:simplePos x="0" y="0"/>
              <wp:positionH relativeFrom="margin">
                <wp:posOffset>2842260</wp:posOffset>
              </wp:positionH>
              <wp:positionV relativeFrom="paragraph">
                <wp:posOffset>-18415</wp:posOffset>
              </wp:positionV>
              <wp:extent cx="152400" cy="127635"/>
              <wp:effectExtent l="0" t="0" r="0" b="0"/>
              <wp:wrapNone/>
              <wp:docPr id="179" name="文本框 179"/>
              <wp:cNvGraphicFramePr/>
              <a:graphic xmlns:a="http://schemas.openxmlformats.org/drawingml/2006/main">
                <a:graphicData uri="http://schemas.microsoft.com/office/word/2010/wordprocessingShape">
                  <wps:wsp>
                    <wps:cNvSpPr txBox="1"/>
                    <wps:spPr>
                      <a:xfrm>
                        <a:off x="0" y="0"/>
                        <a:ext cx="152400" cy="1276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1A3131">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23.8pt;margin-top:-1.45pt;height:10.05pt;width:12pt;mso-position-horizontal-relative:margin;z-index:251660288;mso-width-relative:page;mso-height-relative:page;" filled="f" stroked="f" coordsize="21600,21600" o:gfxdata="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KtCno9gAAAAJAQAADwAAAAAAAAABACAAAAAiAAAAZHJzL2Rvd25yZXYueG1s&#10;UEsBAhQAFAAAAAgAh07iQIBlfugxAgAAWQQAAA4AAAAAAAAAAQAgAAAAJwEAAGRycy9lMm9Eb2Mu&#10;eG1sUEsFBgAAAAAGAAYAWQEAAMoFAAAAAA==&#10;">
              <v:fill on="f" focussize="0,0"/>
              <v:stroke on="f" weight="0.5pt"/>
              <v:imagedata o:title=""/>
              <o:lock v:ext="edit" aspectratio="f"/>
              <v:textbox inset="0mm,0mm,0mm,0mm">
                <w:txbxContent>
                  <w:p w14:paraId="0F1A3131">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062B3">
    <w:pPr>
      <w:pStyle w:val="18"/>
      <w:ind w:right="360" w:firstLine="360"/>
    </w:pPr>
    <w:r>
      <mc:AlternateContent>
        <mc:Choice Requires="wps">
          <w:drawing>
            <wp:anchor distT="0" distB="0" distL="114300" distR="114300" simplePos="0" relativeHeight="251661312" behindDoc="0" locked="0" layoutInCell="1" allowOverlap="1">
              <wp:simplePos x="0" y="0"/>
              <wp:positionH relativeFrom="margin">
                <wp:posOffset>2820035</wp:posOffset>
              </wp:positionH>
              <wp:positionV relativeFrom="paragraph">
                <wp:posOffset>-1270</wp:posOffset>
              </wp:positionV>
              <wp:extent cx="129540" cy="1828800"/>
              <wp:effectExtent l="0" t="0" r="0" b="0"/>
              <wp:wrapNone/>
              <wp:docPr id="201" name="文本框 201"/>
              <wp:cNvGraphicFramePr/>
              <a:graphic xmlns:a="http://schemas.openxmlformats.org/drawingml/2006/main">
                <a:graphicData uri="http://schemas.microsoft.com/office/word/2010/wordprocessingShape">
                  <wps:wsp>
                    <wps:cNvSpPr txBox="1"/>
                    <wps:spPr>
                      <a:xfrm>
                        <a:off x="0" y="0"/>
                        <a:ext cx="12954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F1A9E7">
                          <w:pPr>
                            <w:pStyle w:val="18"/>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22.05pt;margin-top:-0.1pt;height:144pt;width:10.2pt;mso-position-horizontal-relative:margin;z-index:251661312;mso-width-relative:page;mso-height-relative:page;" filled="f" stroked="f" coordsize="21600,21600" o:gfxdata="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56xMndgAAAAJAQAADwAAAAAAAAABACAAAAAiAAAAZHJzL2Rvd25yZXYueG1s&#10;UEsBAhQAFAAAAAgAh07iQHnkBp4xAgAAWgQAAA4AAAAAAAAAAQAgAAAAJwEAAGRycy9lMm9Eb2Mu&#10;eG1sUEsFBgAAAAAGAAYAWQEAAMoFAAAAAA==&#10;">
              <v:fill on="f" focussize="0,0"/>
              <v:stroke on="f" weight="0.5pt"/>
              <v:imagedata o:title=""/>
              <o:lock v:ext="edit" aspectratio="f"/>
              <v:textbox inset="0mm,0mm,0mm,0mm" style="mso-fit-shape-to-text:t;">
                <w:txbxContent>
                  <w:p w14:paraId="2EF1A9E7">
                    <w:pPr>
                      <w:pStyle w:val="18"/>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0AF91">
    <w:pPr>
      <w:pStyle w:val="18"/>
      <w:ind w:right="360"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2" name="文本框 2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5CD0EC">
                          <w:pPr>
                            <w:pStyle w:val="18"/>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LA34tAgAAW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GLA34tAgAAWQQAAA4AAAAAAAAAAQAgAAAAHwEAAGRycy9lMm9Eb2MueG1sUEsFBgAAAAAG&#10;AAYAWQEAAL4FAAAAAA==&#10;">
              <v:fill on="f" focussize="0,0"/>
              <v:stroke on="f" weight="0.5pt"/>
              <v:imagedata o:title=""/>
              <o:lock v:ext="edit" aspectratio="f"/>
              <v:textbox inset="0mm,0mm,0mm,0mm" style="mso-fit-shape-to-text:t;">
                <w:txbxContent>
                  <w:p w14:paraId="355CD0EC">
                    <w:pPr>
                      <w:pStyle w:val="18"/>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3B886">
    <w:pPr>
      <w:pStyle w:val="18"/>
      <w:ind w:right="360"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3" name="文本框 2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E59B7">
                          <w:pPr>
                            <w:pStyle w:val="18"/>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LyMuAgAAWQQAAA4AAABkcnMvZTJvRG9jLnhtbK1UzY7TMBC+I/EO&#10;lu80aVes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1C8jLgIAAFkEAAAOAAAAAAAAAAEAIAAAAB8BAABkcnMvZTJvRG9jLnhtbFBLBQYAAAAA&#10;BgAGAFkBAAC/BQAAAAA=&#10;">
              <v:fill on="f" focussize="0,0"/>
              <v:stroke on="f" weight="0.5pt"/>
              <v:imagedata o:title=""/>
              <o:lock v:ext="edit" aspectratio="f"/>
              <v:textbox inset="0mm,0mm,0mm,0mm" style="mso-fit-shape-to-text:t;">
                <w:txbxContent>
                  <w:p w14:paraId="3ADE59B7">
                    <w:pPr>
                      <w:pStyle w:val="18"/>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DEDEE">
    <w:pPr>
      <w:pStyle w:val="18"/>
      <w:tabs>
        <w:tab w:val="left" w:pos="420"/>
        <w:tab w:val="center" w:pos="4482"/>
      </w:tabs>
      <w:ind w:right="360"/>
      <w:jc w:val="center"/>
      <w:rPr>
        <w:szCs w:val="18"/>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1DE0DA">
                          <w:pPr>
                            <w:pStyle w:val="18"/>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RNm2su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0TZtrLgIAAFkEAAAOAAAAAAAAAAEAIAAAAB8BAABkcnMvZTJvRG9jLnhtbFBLBQYAAAAA&#10;BgAGAFkBAAC/BQAAAAA=&#10;">
              <v:fill on="f" focussize="0,0"/>
              <v:stroke on="f" weight="0.5pt"/>
              <v:imagedata o:title=""/>
              <o:lock v:ext="edit" aspectratio="f"/>
              <v:textbox inset="0mm,0mm,0mm,0mm" style="mso-fit-shape-to-text:t;">
                <w:txbxContent>
                  <w:p w14:paraId="361DE0DA">
                    <w:pPr>
                      <w:pStyle w:val="18"/>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EB00E">
    <w:pPr>
      <w:pStyle w:val="18"/>
      <w:tabs>
        <w:tab w:val="left" w:pos="420"/>
        <w:tab w:val="center" w:pos="4482"/>
      </w:tabs>
      <w:ind w:right="360"/>
      <w:jc w:val="center"/>
      <w:rPr>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BE5BC">
    <w:pPr>
      <w:pStyle w:val="1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D20C7D"/>
    <w:multiLevelType w:val="singleLevel"/>
    <w:tmpl w:val="4CD20C7D"/>
    <w:lvl w:ilvl="0" w:tentative="0">
      <w:start w:val="1"/>
      <w:numFmt w:val="bullet"/>
      <w:pStyle w:val="11"/>
      <w:lvlText w:val=""/>
      <w:lvlJc w:val="left"/>
      <w:pPr>
        <w:tabs>
          <w:tab w:val="left" w:pos="2040"/>
        </w:tabs>
        <w:ind w:left="2040" w:hanging="360"/>
      </w:pPr>
      <w:rPr>
        <w:rFonts w:hint="default" w:ascii="Wingdings" w:hAnsi="Wingdings"/>
      </w:rPr>
    </w:lvl>
  </w:abstractNum>
  <w:abstractNum w:abstractNumId="1">
    <w:nsid w:val="637473C1"/>
    <w:multiLevelType w:val="singleLevel"/>
    <w:tmpl w:val="637473C1"/>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aowa">
    <w15:presenceInfo w15:providerId="WPS Office" w15:userId="1482689160"/>
  </w15:person>
  <w15:person w15:author="丫丫">
    <w15:presenceInfo w15:providerId="WPS Office" w15:userId="74707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ExYjg2YzIwZGU0YjFjODQxYWE0NTEzZmVkOGMzZmMifQ=="/>
  </w:docVars>
  <w:rsids>
    <w:rsidRoot w:val="00172A27"/>
    <w:rsid w:val="000060B3"/>
    <w:rsid w:val="00017DAC"/>
    <w:rsid w:val="00037209"/>
    <w:rsid w:val="0004308A"/>
    <w:rsid w:val="0004364B"/>
    <w:rsid w:val="00044EF2"/>
    <w:rsid w:val="00061B1F"/>
    <w:rsid w:val="000702C9"/>
    <w:rsid w:val="00072C91"/>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2A54"/>
    <w:rsid w:val="000D5A44"/>
    <w:rsid w:val="000E3ED2"/>
    <w:rsid w:val="0010155A"/>
    <w:rsid w:val="00113091"/>
    <w:rsid w:val="00131F42"/>
    <w:rsid w:val="001357F1"/>
    <w:rsid w:val="00140FA8"/>
    <w:rsid w:val="00142FEB"/>
    <w:rsid w:val="00143A2D"/>
    <w:rsid w:val="00145A41"/>
    <w:rsid w:val="001508DE"/>
    <w:rsid w:val="00151675"/>
    <w:rsid w:val="001567DD"/>
    <w:rsid w:val="00157435"/>
    <w:rsid w:val="00172A27"/>
    <w:rsid w:val="0017504D"/>
    <w:rsid w:val="0017671A"/>
    <w:rsid w:val="00177422"/>
    <w:rsid w:val="00184590"/>
    <w:rsid w:val="00186A28"/>
    <w:rsid w:val="001870D1"/>
    <w:rsid w:val="0018764F"/>
    <w:rsid w:val="0018781E"/>
    <w:rsid w:val="0019262D"/>
    <w:rsid w:val="001A1B35"/>
    <w:rsid w:val="001A48A2"/>
    <w:rsid w:val="001A6BB9"/>
    <w:rsid w:val="001A6F61"/>
    <w:rsid w:val="001B72B8"/>
    <w:rsid w:val="001C69B3"/>
    <w:rsid w:val="001D5595"/>
    <w:rsid w:val="001D7874"/>
    <w:rsid w:val="001D7F22"/>
    <w:rsid w:val="001E1A03"/>
    <w:rsid w:val="001F0F17"/>
    <w:rsid w:val="001F3347"/>
    <w:rsid w:val="001F69E4"/>
    <w:rsid w:val="00203FBC"/>
    <w:rsid w:val="002125B4"/>
    <w:rsid w:val="00215203"/>
    <w:rsid w:val="002155B8"/>
    <w:rsid w:val="00224839"/>
    <w:rsid w:val="002249B2"/>
    <w:rsid w:val="00226574"/>
    <w:rsid w:val="002278EC"/>
    <w:rsid w:val="00227DA6"/>
    <w:rsid w:val="0023280E"/>
    <w:rsid w:val="002377D1"/>
    <w:rsid w:val="002506BC"/>
    <w:rsid w:val="00251805"/>
    <w:rsid w:val="00254345"/>
    <w:rsid w:val="00264557"/>
    <w:rsid w:val="002805AB"/>
    <w:rsid w:val="00284204"/>
    <w:rsid w:val="00291773"/>
    <w:rsid w:val="00296128"/>
    <w:rsid w:val="002A168C"/>
    <w:rsid w:val="002A3DC7"/>
    <w:rsid w:val="002B49E2"/>
    <w:rsid w:val="002B7B00"/>
    <w:rsid w:val="002B7C44"/>
    <w:rsid w:val="002C2B17"/>
    <w:rsid w:val="002C6F37"/>
    <w:rsid w:val="002D3DD0"/>
    <w:rsid w:val="002E1F3A"/>
    <w:rsid w:val="002E2590"/>
    <w:rsid w:val="002E298A"/>
    <w:rsid w:val="002F23AE"/>
    <w:rsid w:val="00301978"/>
    <w:rsid w:val="00301AA6"/>
    <w:rsid w:val="0030332C"/>
    <w:rsid w:val="003051C2"/>
    <w:rsid w:val="00312296"/>
    <w:rsid w:val="00314F0E"/>
    <w:rsid w:val="00321D8E"/>
    <w:rsid w:val="00325928"/>
    <w:rsid w:val="00332863"/>
    <w:rsid w:val="0033684D"/>
    <w:rsid w:val="00337B42"/>
    <w:rsid w:val="00341B42"/>
    <w:rsid w:val="0034348F"/>
    <w:rsid w:val="003459BD"/>
    <w:rsid w:val="00356653"/>
    <w:rsid w:val="0035743F"/>
    <w:rsid w:val="00357BE2"/>
    <w:rsid w:val="00357F84"/>
    <w:rsid w:val="0036170C"/>
    <w:rsid w:val="00366E0F"/>
    <w:rsid w:val="003743BE"/>
    <w:rsid w:val="00381A72"/>
    <w:rsid w:val="00384676"/>
    <w:rsid w:val="00390857"/>
    <w:rsid w:val="0039383B"/>
    <w:rsid w:val="003A4BF3"/>
    <w:rsid w:val="003B420D"/>
    <w:rsid w:val="003C3F7B"/>
    <w:rsid w:val="003C6C16"/>
    <w:rsid w:val="003D5DDE"/>
    <w:rsid w:val="003D794D"/>
    <w:rsid w:val="003E3058"/>
    <w:rsid w:val="003E76A9"/>
    <w:rsid w:val="003F0809"/>
    <w:rsid w:val="003F6A8C"/>
    <w:rsid w:val="003F755C"/>
    <w:rsid w:val="00406D1E"/>
    <w:rsid w:val="00406F01"/>
    <w:rsid w:val="00416D50"/>
    <w:rsid w:val="00416FD5"/>
    <w:rsid w:val="00417772"/>
    <w:rsid w:val="00420E6A"/>
    <w:rsid w:val="00425A9E"/>
    <w:rsid w:val="00426D6B"/>
    <w:rsid w:val="00431E6C"/>
    <w:rsid w:val="00433CE7"/>
    <w:rsid w:val="004345A1"/>
    <w:rsid w:val="00452738"/>
    <w:rsid w:val="00456091"/>
    <w:rsid w:val="00466321"/>
    <w:rsid w:val="00484B9B"/>
    <w:rsid w:val="004855F6"/>
    <w:rsid w:val="0048661E"/>
    <w:rsid w:val="00494670"/>
    <w:rsid w:val="00496A4F"/>
    <w:rsid w:val="004A3823"/>
    <w:rsid w:val="004B3F87"/>
    <w:rsid w:val="004E6946"/>
    <w:rsid w:val="004F1AD8"/>
    <w:rsid w:val="004F5508"/>
    <w:rsid w:val="00500B28"/>
    <w:rsid w:val="005039CB"/>
    <w:rsid w:val="0050558F"/>
    <w:rsid w:val="00506286"/>
    <w:rsid w:val="00510813"/>
    <w:rsid w:val="00511990"/>
    <w:rsid w:val="00511DE0"/>
    <w:rsid w:val="00514870"/>
    <w:rsid w:val="00514B9B"/>
    <w:rsid w:val="00517F02"/>
    <w:rsid w:val="00524303"/>
    <w:rsid w:val="005258A2"/>
    <w:rsid w:val="00525941"/>
    <w:rsid w:val="005401AE"/>
    <w:rsid w:val="00542E07"/>
    <w:rsid w:val="00545424"/>
    <w:rsid w:val="00554A7B"/>
    <w:rsid w:val="0055572C"/>
    <w:rsid w:val="0056106A"/>
    <w:rsid w:val="00561B17"/>
    <w:rsid w:val="005671AC"/>
    <w:rsid w:val="00570143"/>
    <w:rsid w:val="005720AE"/>
    <w:rsid w:val="00594D77"/>
    <w:rsid w:val="005969E4"/>
    <w:rsid w:val="005A06B7"/>
    <w:rsid w:val="005A0EB4"/>
    <w:rsid w:val="005A1759"/>
    <w:rsid w:val="005A68A7"/>
    <w:rsid w:val="005C088A"/>
    <w:rsid w:val="005C1DBB"/>
    <w:rsid w:val="005D36AB"/>
    <w:rsid w:val="005F3D68"/>
    <w:rsid w:val="005F7127"/>
    <w:rsid w:val="0060421C"/>
    <w:rsid w:val="00613376"/>
    <w:rsid w:val="00616371"/>
    <w:rsid w:val="00617CC3"/>
    <w:rsid w:val="00625FB5"/>
    <w:rsid w:val="00636ACD"/>
    <w:rsid w:val="006377A6"/>
    <w:rsid w:val="00637A3D"/>
    <w:rsid w:val="006411EF"/>
    <w:rsid w:val="00643978"/>
    <w:rsid w:val="006459D3"/>
    <w:rsid w:val="00651796"/>
    <w:rsid w:val="00661224"/>
    <w:rsid w:val="006748B8"/>
    <w:rsid w:val="006775C3"/>
    <w:rsid w:val="00687E30"/>
    <w:rsid w:val="0069290A"/>
    <w:rsid w:val="0069775A"/>
    <w:rsid w:val="00697813"/>
    <w:rsid w:val="006A3EE8"/>
    <w:rsid w:val="006A72BF"/>
    <w:rsid w:val="006B03F2"/>
    <w:rsid w:val="006B37DC"/>
    <w:rsid w:val="006B4F68"/>
    <w:rsid w:val="006B7806"/>
    <w:rsid w:val="006C0592"/>
    <w:rsid w:val="006C272E"/>
    <w:rsid w:val="006C5479"/>
    <w:rsid w:val="006D089B"/>
    <w:rsid w:val="006D13B5"/>
    <w:rsid w:val="006E12FF"/>
    <w:rsid w:val="006E607E"/>
    <w:rsid w:val="00706C5D"/>
    <w:rsid w:val="007227CC"/>
    <w:rsid w:val="00732922"/>
    <w:rsid w:val="0075162E"/>
    <w:rsid w:val="00753DAD"/>
    <w:rsid w:val="00754034"/>
    <w:rsid w:val="00756556"/>
    <w:rsid w:val="007612BF"/>
    <w:rsid w:val="007618C4"/>
    <w:rsid w:val="00761BD3"/>
    <w:rsid w:val="00767980"/>
    <w:rsid w:val="00770B19"/>
    <w:rsid w:val="0077463F"/>
    <w:rsid w:val="007836EA"/>
    <w:rsid w:val="00784CDA"/>
    <w:rsid w:val="007906C4"/>
    <w:rsid w:val="007908ED"/>
    <w:rsid w:val="007940EA"/>
    <w:rsid w:val="007967E8"/>
    <w:rsid w:val="007A2170"/>
    <w:rsid w:val="007A22BF"/>
    <w:rsid w:val="007A3323"/>
    <w:rsid w:val="007B52F3"/>
    <w:rsid w:val="007B6A43"/>
    <w:rsid w:val="007B72B8"/>
    <w:rsid w:val="007B7A58"/>
    <w:rsid w:val="007C1DFA"/>
    <w:rsid w:val="007C21B5"/>
    <w:rsid w:val="007C2CDB"/>
    <w:rsid w:val="007E4BD2"/>
    <w:rsid w:val="00801393"/>
    <w:rsid w:val="00802F88"/>
    <w:rsid w:val="0081293E"/>
    <w:rsid w:val="00815465"/>
    <w:rsid w:val="00817AD5"/>
    <w:rsid w:val="00817E9A"/>
    <w:rsid w:val="008306BD"/>
    <w:rsid w:val="00831A80"/>
    <w:rsid w:val="00833743"/>
    <w:rsid w:val="008340A4"/>
    <w:rsid w:val="00862FD1"/>
    <w:rsid w:val="0087135F"/>
    <w:rsid w:val="00872D94"/>
    <w:rsid w:val="00880364"/>
    <w:rsid w:val="00890A8E"/>
    <w:rsid w:val="00891592"/>
    <w:rsid w:val="00891A12"/>
    <w:rsid w:val="00891E9E"/>
    <w:rsid w:val="008A2900"/>
    <w:rsid w:val="008A2F68"/>
    <w:rsid w:val="008A60AE"/>
    <w:rsid w:val="008B4FA6"/>
    <w:rsid w:val="008B5282"/>
    <w:rsid w:val="008B7C17"/>
    <w:rsid w:val="008C0480"/>
    <w:rsid w:val="008C2D01"/>
    <w:rsid w:val="008C3226"/>
    <w:rsid w:val="008C40E6"/>
    <w:rsid w:val="008D0F7A"/>
    <w:rsid w:val="008D68E4"/>
    <w:rsid w:val="008E0506"/>
    <w:rsid w:val="008E0CFF"/>
    <w:rsid w:val="008E5D6B"/>
    <w:rsid w:val="008E6B36"/>
    <w:rsid w:val="008E76F0"/>
    <w:rsid w:val="008F15FE"/>
    <w:rsid w:val="008F2D29"/>
    <w:rsid w:val="008F5187"/>
    <w:rsid w:val="008F60D8"/>
    <w:rsid w:val="00902727"/>
    <w:rsid w:val="0090312B"/>
    <w:rsid w:val="0091736D"/>
    <w:rsid w:val="009215A5"/>
    <w:rsid w:val="0093037A"/>
    <w:rsid w:val="00932CEA"/>
    <w:rsid w:val="00935466"/>
    <w:rsid w:val="0094154D"/>
    <w:rsid w:val="0095155F"/>
    <w:rsid w:val="00954429"/>
    <w:rsid w:val="009563CE"/>
    <w:rsid w:val="00976328"/>
    <w:rsid w:val="0097680D"/>
    <w:rsid w:val="009771E9"/>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DF6"/>
    <w:rsid w:val="00A53EC6"/>
    <w:rsid w:val="00A55C0F"/>
    <w:rsid w:val="00A56544"/>
    <w:rsid w:val="00A64603"/>
    <w:rsid w:val="00A72ACE"/>
    <w:rsid w:val="00A747E2"/>
    <w:rsid w:val="00A80993"/>
    <w:rsid w:val="00A8160A"/>
    <w:rsid w:val="00A82A77"/>
    <w:rsid w:val="00A8713F"/>
    <w:rsid w:val="00A90BA1"/>
    <w:rsid w:val="00A97A9A"/>
    <w:rsid w:val="00AA0671"/>
    <w:rsid w:val="00AA0F66"/>
    <w:rsid w:val="00AA2531"/>
    <w:rsid w:val="00AB1E09"/>
    <w:rsid w:val="00AB5330"/>
    <w:rsid w:val="00AB7747"/>
    <w:rsid w:val="00AC14CE"/>
    <w:rsid w:val="00AC2A56"/>
    <w:rsid w:val="00AC395D"/>
    <w:rsid w:val="00AD055E"/>
    <w:rsid w:val="00AD47A7"/>
    <w:rsid w:val="00AE5346"/>
    <w:rsid w:val="00AF0CBF"/>
    <w:rsid w:val="00AF16A0"/>
    <w:rsid w:val="00AF257F"/>
    <w:rsid w:val="00AF33CF"/>
    <w:rsid w:val="00AF3CA3"/>
    <w:rsid w:val="00AF4D50"/>
    <w:rsid w:val="00AF6179"/>
    <w:rsid w:val="00B02464"/>
    <w:rsid w:val="00B1295A"/>
    <w:rsid w:val="00B13186"/>
    <w:rsid w:val="00B20A45"/>
    <w:rsid w:val="00B22C5C"/>
    <w:rsid w:val="00B24F30"/>
    <w:rsid w:val="00B31ABF"/>
    <w:rsid w:val="00B33BE3"/>
    <w:rsid w:val="00B46E54"/>
    <w:rsid w:val="00B53B5D"/>
    <w:rsid w:val="00B6055E"/>
    <w:rsid w:val="00B6317D"/>
    <w:rsid w:val="00B64A2C"/>
    <w:rsid w:val="00B6616B"/>
    <w:rsid w:val="00B7723F"/>
    <w:rsid w:val="00B80534"/>
    <w:rsid w:val="00B8433C"/>
    <w:rsid w:val="00B87491"/>
    <w:rsid w:val="00B876C3"/>
    <w:rsid w:val="00BA29E9"/>
    <w:rsid w:val="00BA7142"/>
    <w:rsid w:val="00BB237C"/>
    <w:rsid w:val="00BB41A3"/>
    <w:rsid w:val="00BC32DC"/>
    <w:rsid w:val="00BC35B6"/>
    <w:rsid w:val="00BD1B51"/>
    <w:rsid w:val="00BD4596"/>
    <w:rsid w:val="00BE1405"/>
    <w:rsid w:val="00BE312D"/>
    <w:rsid w:val="00BF1C20"/>
    <w:rsid w:val="00C10578"/>
    <w:rsid w:val="00C135BC"/>
    <w:rsid w:val="00C13E4E"/>
    <w:rsid w:val="00C15C95"/>
    <w:rsid w:val="00C2596A"/>
    <w:rsid w:val="00C27537"/>
    <w:rsid w:val="00C328FE"/>
    <w:rsid w:val="00C33507"/>
    <w:rsid w:val="00C405A6"/>
    <w:rsid w:val="00C4409D"/>
    <w:rsid w:val="00C44E72"/>
    <w:rsid w:val="00C45A06"/>
    <w:rsid w:val="00C47E5B"/>
    <w:rsid w:val="00C57616"/>
    <w:rsid w:val="00C576ED"/>
    <w:rsid w:val="00C61E4B"/>
    <w:rsid w:val="00C64BFF"/>
    <w:rsid w:val="00C6683E"/>
    <w:rsid w:val="00C704E9"/>
    <w:rsid w:val="00C763C9"/>
    <w:rsid w:val="00C80057"/>
    <w:rsid w:val="00C82232"/>
    <w:rsid w:val="00C82913"/>
    <w:rsid w:val="00C859BE"/>
    <w:rsid w:val="00C972B1"/>
    <w:rsid w:val="00CA2CCE"/>
    <w:rsid w:val="00CA43FD"/>
    <w:rsid w:val="00CA7EF8"/>
    <w:rsid w:val="00CC489B"/>
    <w:rsid w:val="00CD2BCD"/>
    <w:rsid w:val="00CD3A4C"/>
    <w:rsid w:val="00CE10E9"/>
    <w:rsid w:val="00CE2910"/>
    <w:rsid w:val="00CE5393"/>
    <w:rsid w:val="00CF27AD"/>
    <w:rsid w:val="00CF3121"/>
    <w:rsid w:val="00CF36BE"/>
    <w:rsid w:val="00CF6000"/>
    <w:rsid w:val="00D003F3"/>
    <w:rsid w:val="00D0364F"/>
    <w:rsid w:val="00D06834"/>
    <w:rsid w:val="00D106CA"/>
    <w:rsid w:val="00D15F55"/>
    <w:rsid w:val="00D308ED"/>
    <w:rsid w:val="00D36D86"/>
    <w:rsid w:val="00D428AA"/>
    <w:rsid w:val="00D50A34"/>
    <w:rsid w:val="00D53EFA"/>
    <w:rsid w:val="00D62950"/>
    <w:rsid w:val="00D73299"/>
    <w:rsid w:val="00D74C0F"/>
    <w:rsid w:val="00D94A7C"/>
    <w:rsid w:val="00D95896"/>
    <w:rsid w:val="00DA0C03"/>
    <w:rsid w:val="00DA322C"/>
    <w:rsid w:val="00DB2983"/>
    <w:rsid w:val="00DB2CF3"/>
    <w:rsid w:val="00DB4755"/>
    <w:rsid w:val="00DC1257"/>
    <w:rsid w:val="00DC3DC0"/>
    <w:rsid w:val="00DC5B2B"/>
    <w:rsid w:val="00DC7971"/>
    <w:rsid w:val="00DD2CF6"/>
    <w:rsid w:val="00DD318D"/>
    <w:rsid w:val="00DD46C1"/>
    <w:rsid w:val="00DE2B59"/>
    <w:rsid w:val="00DE4901"/>
    <w:rsid w:val="00DF2E12"/>
    <w:rsid w:val="00DF514A"/>
    <w:rsid w:val="00DF6690"/>
    <w:rsid w:val="00DF6804"/>
    <w:rsid w:val="00E0358D"/>
    <w:rsid w:val="00E04323"/>
    <w:rsid w:val="00E070A2"/>
    <w:rsid w:val="00E12D42"/>
    <w:rsid w:val="00E15999"/>
    <w:rsid w:val="00E2656A"/>
    <w:rsid w:val="00E3393D"/>
    <w:rsid w:val="00E412D0"/>
    <w:rsid w:val="00E5536B"/>
    <w:rsid w:val="00E56322"/>
    <w:rsid w:val="00E60982"/>
    <w:rsid w:val="00E62C62"/>
    <w:rsid w:val="00E654C1"/>
    <w:rsid w:val="00E65D97"/>
    <w:rsid w:val="00E704A1"/>
    <w:rsid w:val="00E72A5A"/>
    <w:rsid w:val="00E73354"/>
    <w:rsid w:val="00E9242D"/>
    <w:rsid w:val="00E97A3E"/>
    <w:rsid w:val="00EB17AE"/>
    <w:rsid w:val="00EB5255"/>
    <w:rsid w:val="00EB535A"/>
    <w:rsid w:val="00EB5C47"/>
    <w:rsid w:val="00ED0639"/>
    <w:rsid w:val="00EF4755"/>
    <w:rsid w:val="00EF7135"/>
    <w:rsid w:val="00F027DB"/>
    <w:rsid w:val="00F14A7A"/>
    <w:rsid w:val="00F22985"/>
    <w:rsid w:val="00F3383E"/>
    <w:rsid w:val="00F465A7"/>
    <w:rsid w:val="00F50B7C"/>
    <w:rsid w:val="00F550E6"/>
    <w:rsid w:val="00F55114"/>
    <w:rsid w:val="00F674AF"/>
    <w:rsid w:val="00F74345"/>
    <w:rsid w:val="00F80A0A"/>
    <w:rsid w:val="00F81F91"/>
    <w:rsid w:val="00F82B19"/>
    <w:rsid w:val="00F9212D"/>
    <w:rsid w:val="00F965DA"/>
    <w:rsid w:val="00F97077"/>
    <w:rsid w:val="00FA324F"/>
    <w:rsid w:val="00FA406A"/>
    <w:rsid w:val="00FB503A"/>
    <w:rsid w:val="00FB516C"/>
    <w:rsid w:val="00FC206D"/>
    <w:rsid w:val="00FD0236"/>
    <w:rsid w:val="00FD0661"/>
    <w:rsid w:val="00FD18F4"/>
    <w:rsid w:val="00FD41E6"/>
    <w:rsid w:val="00FD54DB"/>
    <w:rsid w:val="00FD619F"/>
    <w:rsid w:val="00FD760D"/>
    <w:rsid w:val="01117E87"/>
    <w:rsid w:val="01215FB6"/>
    <w:rsid w:val="01290F7E"/>
    <w:rsid w:val="01311A5C"/>
    <w:rsid w:val="01435B86"/>
    <w:rsid w:val="014C6B51"/>
    <w:rsid w:val="015678CA"/>
    <w:rsid w:val="015D1E09"/>
    <w:rsid w:val="01685AF7"/>
    <w:rsid w:val="01826A17"/>
    <w:rsid w:val="01B41827"/>
    <w:rsid w:val="01BC79C8"/>
    <w:rsid w:val="01CD0678"/>
    <w:rsid w:val="01D31020"/>
    <w:rsid w:val="01D4135C"/>
    <w:rsid w:val="01D57883"/>
    <w:rsid w:val="01D90CF6"/>
    <w:rsid w:val="01DB7603"/>
    <w:rsid w:val="02076F1C"/>
    <w:rsid w:val="021F6D1A"/>
    <w:rsid w:val="022D1A18"/>
    <w:rsid w:val="024E7C57"/>
    <w:rsid w:val="02602A96"/>
    <w:rsid w:val="02641379"/>
    <w:rsid w:val="02697903"/>
    <w:rsid w:val="026E0D49"/>
    <w:rsid w:val="02860F7D"/>
    <w:rsid w:val="02A62291"/>
    <w:rsid w:val="02AD1269"/>
    <w:rsid w:val="02C27A19"/>
    <w:rsid w:val="02CC491D"/>
    <w:rsid w:val="02D037B2"/>
    <w:rsid w:val="02E02F52"/>
    <w:rsid w:val="02E4727E"/>
    <w:rsid w:val="02EF20C6"/>
    <w:rsid w:val="02F0530D"/>
    <w:rsid w:val="02F72BF6"/>
    <w:rsid w:val="02F96569"/>
    <w:rsid w:val="031F4A8A"/>
    <w:rsid w:val="03465822"/>
    <w:rsid w:val="035F40DD"/>
    <w:rsid w:val="036624E2"/>
    <w:rsid w:val="03892540"/>
    <w:rsid w:val="03AF6D28"/>
    <w:rsid w:val="03BF5FC7"/>
    <w:rsid w:val="03C926DB"/>
    <w:rsid w:val="03D41080"/>
    <w:rsid w:val="03E960B8"/>
    <w:rsid w:val="03EA7B21"/>
    <w:rsid w:val="03F07334"/>
    <w:rsid w:val="03F82FC0"/>
    <w:rsid w:val="040A684F"/>
    <w:rsid w:val="040C7782"/>
    <w:rsid w:val="041871BE"/>
    <w:rsid w:val="041D0FA1"/>
    <w:rsid w:val="042553B4"/>
    <w:rsid w:val="045A77D7"/>
    <w:rsid w:val="04660E90"/>
    <w:rsid w:val="04835302"/>
    <w:rsid w:val="048F1A9B"/>
    <w:rsid w:val="04B223A6"/>
    <w:rsid w:val="04CC1D57"/>
    <w:rsid w:val="04CF728E"/>
    <w:rsid w:val="04D81B14"/>
    <w:rsid w:val="04EB48D3"/>
    <w:rsid w:val="051E25B2"/>
    <w:rsid w:val="05207842"/>
    <w:rsid w:val="05322502"/>
    <w:rsid w:val="055E1F7D"/>
    <w:rsid w:val="0566444E"/>
    <w:rsid w:val="05836BF3"/>
    <w:rsid w:val="05924E4F"/>
    <w:rsid w:val="05AE1D59"/>
    <w:rsid w:val="05B64EE1"/>
    <w:rsid w:val="05C84DE8"/>
    <w:rsid w:val="05CF7BDD"/>
    <w:rsid w:val="05F83EAE"/>
    <w:rsid w:val="06053772"/>
    <w:rsid w:val="06177EE0"/>
    <w:rsid w:val="063E7D85"/>
    <w:rsid w:val="06431E80"/>
    <w:rsid w:val="064E1129"/>
    <w:rsid w:val="06532730"/>
    <w:rsid w:val="06697610"/>
    <w:rsid w:val="067803E8"/>
    <w:rsid w:val="068665E3"/>
    <w:rsid w:val="06913258"/>
    <w:rsid w:val="06994482"/>
    <w:rsid w:val="06BD0AAC"/>
    <w:rsid w:val="06C3354D"/>
    <w:rsid w:val="06F121A2"/>
    <w:rsid w:val="06F3506B"/>
    <w:rsid w:val="06F832D7"/>
    <w:rsid w:val="06FF1B26"/>
    <w:rsid w:val="070A6FCF"/>
    <w:rsid w:val="071B07B5"/>
    <w:rsid w:val="07272090"/>
    <w:rsid w:val="07293586"/>
    <w:rsid w:val="07295285"/>
    <w:rsid w:val="073B0D7B"/>
    <w:rsid w:val="073C31C4"/>
    <w:rsid w:val="07505971"/>
    <w:rsid w:val="07577EED"/>
    <w:rsid w:val="07636392"/>
    <w:rsid w:val="077640C0"/>
    <w:rsid w:val="07770C56"/>
    <w:rsid w:val="07927268"/>
    <w:rsid w:val="079E06FB"/>
    <w:rsid w:val="07A80859"/>
    <w:rsid w:val="07C03DF5"/>
    <w:rsid w:val="07C77E0F"/>
    <w:rsid w:val="07D80888"/>
    <w:rsid w:val="07E54DDB"/>
    <w:rsid w:val="07EA7B88"/>
    <w:rsid w:val="07F044FE"/>
    <w:rsid w:val="07F60974"/>
    <w:rsid w:val="080041F1"/>
    <w:rsid w:val="081D52ED"/>
    <w:rsid w:val="08310FF5"/>
    <w:rsid w:val="08320C02"/>
    <w:rsid w:val="08321497"/>
    <w:rsid w:val="08332819"/>
    <w:rsid w:val="08412B2A"/>
    <w:rsid w:val="08794E2C"/>
    <w:rsid w:val="087E477D"/>
    <w:rsid w:val="0882554E"/>
    <w:rsid w:val="089D5CA1"/>
    <w:rsid w:val="09000221"/>
    <w:rsid w:val="091C3B2C"/>
    <w:rsid w:val="092217DD"/>
    <w:rsid w:val="092263E9"/>
    <w:rsid w:val="093A7294"/>
    <w:rsid w:val="09651AB2"/>
    <w:rsid w:val="096B38AC"/>
    <w:rsid w:val="097F383C"/>
    <w:rsid w:val="098F0433"/>
    <w:rsid w:val="099A7D43"/>
    <w:rsid w:val="09BE25B6"/>
    <w:rsid w:val="09C603D2"/>
    <w:rsid w:val="09DC312A"/>
    <w:rsid w:val="09FC358C"/>
    <w:rsid w:val="0A13455E"/>
    <w:rsid w:val="0A21777C"/>
    <w:rsid w:val="0A263993"/>
    <w:rsid w:val="0A2C70CE"/>
    <w:rsid w:val="0A2D3AC2"/>
    <w:rsid w:val="0A341A17"/>
    <w:rsid w:val="0A395C78"/>
    <w:rsid w:val="0A5D702C"/>
    <w:rsid w:val="0A5E456E"/>
    <w:rsid w:val="0A64315D"/>
    <w:rsid w:val="0A696084"/>
    <w:rsid w:val="0A6D0D3A"/>
    <w:rsid w:val="0A8C7FBE"/>
    <w:rsid w:val="0AA755DF"/>
    <w:rsid w:val="0AB319EF"/>
    <w:rsid w:val="0AC46010"/>
    <w:rsid w:val="0AE0732E"/>
    <w:rsid w:val="0AE918B4"/>
    <w:rsid w:val="0B120D44"/>
    <w:rsid w:val="0B224DC6"/>
    <w:rsid w:val="0B2C2A43"/>
    <w:rsid w:val="0B3532C7"/>
    <w:rsid w:val="0B5346A2"/>
    <w:rsid w:val="0B5F4F7B"/>
    <w:rsid w:val="0B645DCC"/>
    <w:rsid w:val="0B925AA8"/>
    <w:rsid w:val="0B99576A"/>
    <w:rsid w:val="0BA55CCF"/>
    <w:rsid w:val="0BD27BF6"/>
    <w:rsid w:val="0BDE0CED"/>
    <w:rsid w:val="0BE55441"/>
    <w:rsid w:val="0BF92DE1"/>
    <w:rsid w:val="0C0F5923"/>
    <w:rsid w:val="0C3B3C7D"/>
    <w:rsid w:val="0C5D44E8"/>
    <w:rsid w:val="0C6E59F3"/>
    <w:rsid w:val="0C6F381A"/>
    <w:rsid w:val="0C72528F"/>
    <w:rsid w:val="0C887FEA"/>
    <w:rsid w:val="0CA5180B"/>
    <w:rsid w:val="0CA67258"/>
    <w:rsid w:val="0CAB2EAE"/>
    <w:rsid w:val="0CBF2F57"/>
    <w:rsid w:val="0CD66F96"/>
    <w:rsid w:val="0CD67C16"/>
    <w:rsid w:val="0CDD1E76"/>
    <w:rsid w:val="0CE73BD2"/>
    <w:rsid w:val="0CFF4990"/>
    <w:rsid w:val="0D0230E3"/>
    <w:rsid w:val="0D083FB4"/>
    <w:rsid w:val="0D093B48"/>
    <w:rsid w:val="0D1336AF"/>
    <w:rsid w:val="0D3443CA"/>
    <w:rsid w:val="0D4D1DCE"/>
    <w:rsid w:val="0D523741"/>
    <w:rsid w:val="0D58062B"/>
    <w:rsid w:val="0D587038"/>
    <w:rsid w:val="0D613228"/>
    <w:rsid w:val="0D621C7D"/>
    <w:rsid w:val="0D7A1AA8"/>
    <w:rsid w:val="0D8070E7"/>
    <w:rsid w:val="0D913B3D"/>
    <w:rsid w:val="0D9B7B45"/>
    <w:rsid w:val="0DAC48EC"/>
    <w:rsid w:val="0DC41211"/>
    <w:rsid w:val="0DC43F13"/>
    <w:rsid w:val="0DD95C10"/>
    <w:rsid w:val="0DDB6F15"/>
    <w:rsid w:val="0E236A3E"/>
    <w:rsid w:val="0E465F9E"/>
    <w:rsid w:val="0E4C78B4"/>
    <w:rsid w:val="0E547045"/>
    <w:rsid w:val="0E73034D"/>
    <w:rsid w:val="0E7D4A21"/>
    <w:rsid w:val="0E9C1E4E"/>
    <w:rsid w:val="0EA224A6"/>
    <w:rsid w:val="0EB775D4"/>
    <w:rsid w:val="0EBC66CF"/>
    <w:rsid w:val="0ED96FBA"/>
    <w:rsid w:val="0EEA4601"/>
    <w:rsid w:val="0EFD3B60"/>
    <w:rsid w:val="0F13775A"/>
    <w:rsid w:val="0F296723"/>
    <w:rsid w:val="0F2E2047"/>
    <w:rsid w:val="0F3F3324"/>
    <w:rsid w:val="0F5F45FE"/>
    <w:rsid w:val="0F6F7E3F"/>
    <w:rsid w:val="0F7756E1"/>
    <w:rsid w:val="0F77627B"/>
    <w:rsid w:val="0F9477AA"/>
    <w:rsid w:val="0F9A112B"/>
    <w:rsid w:val="0F9D3E41"/>
    <w:rsid w:val="0FA83AEC"/>
    <w:rsid w:val="0FAA55C0"/>
    <w:rsid w:val="0FD91EF8"/>
    <w:rsid w:val="0FE5719E"/>
    <w:rsid w:val="10023537"/>
    <w:rsid w:val="10034959"/>
    <w:rsid w:val="10244EF8"/>
    <w:rsid w:val="10387301"/>
    <w:rsid w:val="10571F62"/>
    <w:rsid w:val="106A73DE"/>
    <w:rsid w:val="106D2F64"/>
    <w:rsid w:val="108550E0"/>
    <w:rsid w:val="10AB3025"/>
    <w:rsid w:val="10B63710"/>
    <w:rsid w:val="10D50163"/>
    <w:rsid w:val="10DD00AA"/>
    <w:rsid w:val="10E65270"/>
    <w:rsid w:val="10F10820"/>
    <w:rsid w:val="110A60E1"/>
    <w:rsid w:val="110F45C7"/>
    <w:rsid w:val="111C2F7A"/>
    <w:rsid w:val="113A347E"/>
    <w:rsid w:val="113F4190"/>
    <w:rsid w:val="114A7AA2"/>
    <w:rsid w:val="116072A0"/>
    <w:rsid w:val="11665CA1"/>
    <w:rsid w:val="11763776"/>
    <w:rsid w:val="11844185"/>
    <w:rsid w:val="11936E1B"/>
    <w:rsid w:val="119D6F55"/>
    <w:rsid w:val="11A02C31"/>
    <w:rsid w:val="11A34B1A"/>
    <w:rsid w:val="11AD363C"/>
    <w:rsid w:val="11BF37BC"/>
    <w:rsid w:val="11C23ED1"/>
    <w:rsid w:val="11CC11FF"/>
    <w:rsid w:val="11D24E51"/>
    <w:rsid w:val="11E44B84"/>
    <w:rsid w:val="11F528ED"/>
    <w:rsid w:val="12071097"/>
    <w:rsid w:val="122E30C1"/>
    <w:rsid w:val="1240492F"/>
    <w:rsid w:val="127534D5"/>
    <w:rsid w:val="127759F8"/>
    <w:rsid w:val="1289761F"/>
    <w:rsid w:val="129A5602"/>
    <w:rsid w:val="12A32349"/>
    <w:rsid w:val="12A61E39"/>
    <w:rsid w:val="12AD1419"/>
    <w:rsid w:val="12B952A8"/>
    <w:rsid w:val="12BE7183"/>
    <w:rsid w:val="12EE5440"/>
    <w:rsid w:val="130354A4"/>
    <w:rsid w:val="133B228E"/>
    <w:rsid w:val="13497E95"/>
    <w:rsid w:val="136219AB"/>
    <w:rsid w:val="1375033C"/>
    <w:rsid w:val="137F2DB6"/>
    <w:rsid w:val="13951544"/>
    <w:rsid w:val="13951726"/>
    <w:rsid w:val="13B26B3B"/>
    <w:rsid w:val="13B62550"/>
    <w:rsid w:val="13BA5C50"/>
    <w:rsid w:val="13C00A21"/>
    <w:rsid w:val="13C62D42"/>
    <w:rsid w:val="13EC0844"/>
    <w:rsid w:val="140212F1"/>
    <w:rsid w:val="14042A4C"/>
    <w:rsid w:val="14180A19"/>
    <w:rsid w:val="141C2F82"/>
    <w:rsid w:val="14396509"/>
    <w:rsid w:val="145C5FB3"/>
    <w:rsid w:val="146A5814"/>
    <w:rsid w:val="1490086E"/>
    <w:rsid w:val="149E691D"/>
    <w:rsid w:val="14BF5434"/>
    <w:rsid w:val="14DD2C3C"/>
    <w:rsid w:val="14DD478A"/>
    <w:rsid w:val="14FE5F5C"/>
    <w:rsid w:val="15065D8D"/>
    <w:rsid w:val="1508102A"/>
    <w:rsid w:val="153E45AB"/>
    <w:rsid w:val="15602D96"/>
    <w:rsid w:val="15634011"/>
    <w:rsid w:val="15677655"/>
    <w:rsid w:val="156A53A0"/>
    <w:rsid w:val="156C5210"/>
    <w:rsid w:val="158C3A67"/>
    <w:rsid w:val="158D1887"/>
    <w:rsid w:val="1594241D"/>
    <w:rsid w:val="159C367D"/>
    <w:rsid w:val="15B032C9"/>
    <w:rsid w:val="15B10F7C"/>
    <w:rsid w:val="15D54F0F"/>
    <w:rsid w:val="15E20BF3"/>
    <w:rsid w:val="15E2587E"/>
    <w:rsid w:val="15F47AAD"/>
    <w:rsid w:val="16087E1D"/>
    <w:rsid w:val="16096413"/>
    <w:rsid w:val="161812A0"/>
    <w:rsid w:val="1635318D"/>
    <w:rsid w:val="164E6A70"/>
    <w:rsid w:val="16564724"/>
    <w:rsid w:val="16797F90"/>
    <w:rsid w:val="16816E45"/>
    <w:rsid w:val="16842491"/>
    <w:rsid w:val="16AF66B2"/>
    <w:rsid w:val="16B8213B"/>
    <w:rsid w:val="16F041D5"/>
    <w:rsid w:val="16F8533C"/>
    <w:rsid w:val="16FF1C54"/>
    <w:rsid w:val="171020DB"/>
    <w:rsid w:val="17375756"/>
    <w:rsid w:val="17465746"/>
    <w:rsid w:val="174C1B02"/>
    <w:rsid w:val="174C4EEB"/>
    <w:rsid w:val="17701D14"/>
    <w:rsid w:val="17735226"/>
    <w:rsid w:val="178D403B"/>
    <w:rsid w:val="17984235"/>
    <w:rsid w:val="17E06C0C"/>
    <w:rsid w:val="17EA27C8"/>
    <w:rsid w:val="17F83137"/>
    <w:rsid w:val="17FC5FFB"/>
    <w:rsid w:val="18117D55"/>
    <w:rsid w:val="18151F40"/>
    <w:rsid w:val="18273A1C"/>
    <w:rsid w:val="182867A9"/>
    <w:rsid w:val="18457233"/>
    <w:rsid w:val="184A3EE0"/>
    <w:rsid w:val="18787DD4"/>
    <w:rsid w:val="188E24CE"/>
    <w:rsid w:val="18932E60"/>
    <w:rsid w:val="189F624C"/>
    <w:rsid w:val="18A041AF"/>
    <w:rsid w:val="18AD1450"/>
    <w:rsid w:val="18BA0AB1"/>
    <w:rsid w:val="18D3325C"/>
    <w:rsid w:val="18D578DB"/>
    <w:rsid w:val="18E611E1"/>
    <w:rsid w:val="18E6357A"/>
    <w:rsid w:val="18F65DE3"/>
    <w:rsid w:val="19120228"/>
    <w:rsid w:val="19232435"/>
    <w:rsid w:val="19362169"/>
    <w:rsid w:val="193B777F"/>
    <w:rsid w:val="1965563C"/>
    <w:rsid w:val="19AC41D9"/>
    <w:rsid w:val="19B72B7E"/>
    <w:rsid w:val="1A165AF6"/>
    <w:rsid w:val="1A1938BA"/>
    <w:rsid w:val="1A1C66C0"/>
    <w:rsid w:val="1A266374"/>
    <w:rsid w:val="1A42393B"/>
    <w:rsid w:val="1A450189"/>
    <w:rsid w:val="1A556EF5"/>
    <w:rsid w:val="1A58119E"/>
    <w:rsid w:val="1A7025E8"/>
    <w:rsid w:val="1A8B2CCB"/>
    <w:rsid w:val="1A9062FF"/>
    <w:rsid w:val="1AAD45DE"/>
    <w:rsid w:val="1AAF06EB"/>
    <w:rsid w:val="1ACD7E07"/>
    <w:rsid w:val="1ACF6C99"/>
    <w:rsid w:val="1AD62C95"/>
    <w:rsid w:val="1AD87250"/>
    <w:rsid w:val="1AE34745"/>
    <w:rsid w:val="1AE63A6C"/>
    <w:rsid w:val="1AEF3A84"/>
    <w:rsid w:val="1B046F80"/>
    <w:rsid w:val="1B3267B5"/>
    <w:rsid w:val="1B40161D"/>
    <w:rsid w:val="1B441859"/>
    <w:rsid w:val="1B4E738E"/>
    <w:rsid w:val="1B5C0574"/>
    <w:rsid w:val="1B6606B1"/>
    <w:rsid w:val="1B8D003A"/>
    <w:rsid w:val="1B99078D"/>
    <w:rsid w:val="1B99253B"/>
    <w:rsid w:val="1B9A4716"/>
    <w:rsid w:val="1B9E26DE"/>
    <w:rsid w:val="1BAE5A03"/>
    <w:rsid w:val="1BCF2470"/>
    <w:rsid w:val="1BE75582"/>
    <w:rsid w:val="1BF7712A"/>
    <w:rsid w:val="1C170489"/>
    <w:rsid w:val="1C314E69"/>
    <w:rsid w:val="1C5E7925"/>
    <w:rsid w:val="1C633C63"/>
    <w:rsid w:val="1C6E062E"/>
    <w:rsid w:val="1C7A236C"/>
    <w:rsid w:val="1C7F09F5"/>
    <w:rsid w:val="1CAC4903"/>
    <w:rsid w:val="1CB74D44"/>
    <w:rsid w:val="1CBB73DF"/>
    <w:rsid w:val="1CBC1A5B"/>
    <w:rsid w:val="1CBE779B"/>
    <w:rsid w:val="1CCE6AC3"/>
    <w:rsid w:val="1CD557F2"/>
    <w:rsid w:val="1CFD070F"/>
    <w:rsid w:val="1D1D116C"/>
    <w:rsid w:val="1D540F6D"/>
    <w:rsid w:val="1D597C20"/>
    <w:rsid w:val="1D5F6196"/>
    <w:rsid w:val="1D6132A5"/>
    <w:rsid w:val="1D775D16"/>
    <w:rsid w:val="1D8E56D5"/>
    <w:rsid w:val="1D9425D3"/>
    <w:rsid w:val="1DAA66C6"/>
    <w:rsid w:val="1DC038FF"/>
    <w:rsid w:val="1DC1221D"/>
    <w:rsid w:val="1DCD6A22"/>
    <w:rsid w:val="1DD05275"/>
    <w:rsid w:val="1DF83E91"/>
    <w:rsid w:val="1E0433AB"/>
    <w:rsid w:val="1E303A24"/>
    <w:rsid w:val="1E4569AA"/>
    <w:rsid w:val="1E642427"/>
    <w:rsid w:val="1E7A43DA"/>
    <w:rsid w:val="1E831280"/>
    <w:rsid w:val="1E990AA4"/>
    <w:rsid w:val="1E9B2A6E"/>
    <w:rsid w:val="1EA95C37"/>
    <w:rsid w:val="1EB2002F"/>
    <w:rsid w:val="1EB91676"/>
    <w:rsid w:val="1EF93301"/>
    <w:rsid w:val="1F044620"/>
    <w:rsid w:val="1F152820"/>
    <w:rsid w:val="1F1C595D"/>
    <w:rsid w:val="1F274302"/>
    <w:rsid w:val="1F615A66"/>
    <w:rsid w:val="1F640F4B"/>
    <w:rsid w:val="1F7731BA"/>
    <w:rsid w:val="1F8B5AF7"/>
    <w:rsid w:val="1FA23B2A"/>
    <w:rsid w:val="1FA97878"/>
    <w:rsid w:val="1FB931AC"/>
    <w:rsid w:val="1FC77337"/>
    <w:rsid w:val="1FD037F0"/>
    <w:rsid w:val="1FDE70B6"/>
    <w:rsid w:val="1FE7539E"/>
    <w:rsid w:val="1FEE2AF8"/>
    <w:rsid w:val="1FF269E9"/>
    <w:rsid w:val="201725C8"/>
    <w:rsid w:val="20197464"/>
    <w:rsid w:val="204247FD"/>
    <w:rsid w:val="204D62AA"/>
    <w:rsid w:val="20580C17"/>
    <w:rsid w:val="205E1FA5"/>
    <w:rsid w:val="206646DA"/>
    <w:rsid w:val="20671BE0"/>
    <w:rsid w:val="20766998"/>
    <w:rsid w:val="20794D8E"/>
    <w:rsid w:val="2079503C"/>
    <w:rsid w:val="20963CB8"/>
    <w:rsid w:val="20A81A1B"/>
    <w:rsid w:val="20B07FB6"/>
    <w:rsid w:val="20B646FB"/>
    <w:rsid w:val="20BF0C96"/>
    <w:rsid w:val="20D12B0B"/>
    <w:rsid w:val="20EF0E4F"/>
    <w:rsid w:val="21033256"/>
    <w:rsid w:val="21112CEE"/>
    <w:rsid w:val="21360F40"/>
    <w:rsid w:val="213B74B1"/>
    <w:rsid w:val="21415B4F"/>
    <w:rsid w:val="2146407C"/>
    <w:rsid w:val="215979C8"/>
    <w:rsid w:val="215A2310"/>
    <w:rsid w:val="21682E26"/>
    <w:rsid w:val="216B497A"/>
    <w:rsid w:val="217A776E"/>
    <w:rsid w:val="217E4930"/>
    <w:rsid w:val="21A45161"/>
    <w:rsid w:val="21A879E9"/>
    <w:rsid w:val="21AC4CCC"/>
    <w:rsid w:val="21C7538A"/>
    <w:rsid w:val="21DE318A"/>
    <w:rsid w:val="21E309B4"/>
    <w:rsid w:val="21ED1ABE"/>
    <w:rsid w:val="21EF5B80"/>
    <w:rsid w:val="21F615CE"/>
    <w:rsid w:val="2211793E"/>
    <w:rsid w:val="221B2546"/>
    <w:rsid w:val="222B73D9"/>
    <w:rsid w:val="22401962"/>
    <w:rsid w:val="22576990"/>
    <w:rsid w:val="22582DE6"/>
    <w:rsid w:val="226E284B"/>
    <w:rsid w:val="227A5996"/>
    <w:rsid w:val="227E06DD"/>
    <w:rsid w:val="22AA3280"/>
    <w:rsid w:val="22BB3BF6"/>
    <w:rsid w:val="22C11246"/>
    <w:rsid w:val="22CC1448"/>
    <w:rsid w:val="22CC769A"/>
    <w:rsid w:val="22D4383E"/>
    <w:rsid w:val="22DD2242"/>
    <w:rsid w:val="22E51F40"/>
    <w:rsid w:val="22F34840"/>
    <w:rsid w:val="22F47480"/>
    <w:rsid w:val="23144B9D"/>
    <w:rsid w:val="232C1EE7"/>
    <w:rsid w:val="234D45F8"/>
    <w:rsid w:val="234E6DCC"/>
    <w:rsid w:val="238E1F84"/>
    <w:rsid w:val="23A16867"/>
    <w:rsid w:val="23A52D04"/>
    <w:rsid w:val="23AA19C9"/>
    <w:rsid w:val="23B66F42"/>
    <w:rsid w:val="23CC38D2"/>
    <w:rsid w:val="23DE1C48"/>
    <w:rsid w:val="23E704BC"/>
    <w:rsid w:val="23FE5D0C"/>
    <w:rsid w:val="240210CD"/>
    <w:rsid w:val="240A1454"/>
    <w:rsid w:val="240D3AC6"/>
    <w:rsid w:val="242C5960"/>
    <w:rsid w:val="24327310"/>
    <w:rsid w:val="24374EEE"/>
    <w:rsid w:val="24505CDB"/>
    <w:rsid w:val="245C32CA"/>
    <w:rsid w:val="24661428"/>
    <w:rsid w:val="24724271"/>
    <w:rsid w:val="247B61EB"/>
    <w:rsid w:val="2480698E"/>
    <w:rsid w:val="248376F4"/>
    <w:rsid w:val="249C05E8"/>
    <w:rsid w:val="24BF09F7"/>
    <w:rsid w:val="24D151E8"/>
    <w:rsid w:val="24FF3B50"/>
    <w:rsid w:val="25004781"/>
    <w:rsid w:val="252D53FE"/>
    <w:rsid w:val="254B6F9C"/>
    <w:rsid w:val="254B6FE3"/>
    <w:rsid w:val="2558727E"/>
    <w:rsid w:val="255A6C57"/>
    <w:rsid w:val="257E33D4"/>
    <w:rsid w:val="25BF7042"/>
    <w:rsid w:val="25EC2D81"/>
    <w:rsid w:val="25F34F3E"/>
    <w:rsid w:val="25F72C80"/>
    <w:rsid w:val="260C44FC"/>
    <w:rsid w:val="26182C1E"/>
    <w:rsid w:val="2629095F"/>
    <w:rsid w:val="264A37F0"/>
    <w:rsid w:val="264F265D"/>
    <w:rsid w:val="2652435A"/>
    <w:rsid w:val="26583D39"/>
    <w:rsid w:val="265C5F49"/>
    <w:rsid w:val="265D1F8F"/>
    <w:rsid w:val="26686E14"/>
    <w:rsid w:val="267166CF"/>
    <w:rsid w:val="2674531B"/>
    <w:rsid w:val="26934F9F"/>
    <w:rsid w:val="26E02C80"/>
    <w:rsid w:val="275060C2"/>
    <w:rsid w:val="2761728D"/>
    <w:rsid w:val="277057A2"/>
    <w:rsid w:val="27711B25"/>
    <w:rsid w:val="277E641E"/>
    <w:rsid w:val="27893DAB"/>
    <w:rsid w:val="278B7B24"/>
    <w:rsid w:val="27906EE8"/>
    <w:rsid w:val="279D467A"/>
    <w:rsid w:val="27B16E5E"/>
    <w:rsid w:val="27D81E20"/>
    <w:rsid w:val="27E71E20"/>
    <w:rsid w:val="280A073E"/>
    <w:rsid w:val="281713B7"/>
    <w:rsid w:val="281E2746"/>
    <w:rsid w:val="28243AD4"/>
    <w:rsid w:val="283D06F2"/>
    <w:rsid w:val="283D66C1"/>
    <w:rsid w:val="284243D0"/>
    <w:rsid w:val="286640ED"/>
    <w:rsid w:val="286F49D5"/>
    <w:rsid w:val="28784840"/>
    <w:rsid w:val="288C6AD8"/>
    <w:rsid w:val="289B1550"/>
    <w:rsid w:val="289C7B0E"/>
    <w:rsid w:val="289E5635"/>
    <w:rsid w:val="28F67359"/>
    <w:rsid w:val="28FC3BD8"/>
    <w:rsid w:val="290E1818"/>
    <w:rsid w:val="290F4131"/>
    <w:rsid w:val="29143B49"/>
    <w:rsid w:val="291554DB"/>
    <w:rsid w:val="292023F9"/>
    <w:rsid w:val="29206EB8"/>
    <w:rsid w:val="29276A27"/>
    <w:rsid w:val="295223C1"/>
    <w:rsid w:val="29595666"/>
    <w:rsid w:val="29696034"/>
    <w:rsid w:val="296D5007"/>
    <w:rsid w:val="29874881"/>
    <w:rsid w:val="299E3C9E"/>
    <w:rsid w:val="29AB6313"/>
    <w:rsid w:val="29B413E7"/>
    <w:rsid w:val="29BE027E"/>
    <w:rsid w:val="29C275A9"/>
    <w:rsid w:val="29C410CB"/>
    <w:rsid w:val="29C54E43"/>
    <w:rsid w:val="29CC3579"/>
    <w:rsid w:val="29CC4423"/>
    <w:rsid w:val="29CF1E07"/>
    <w:rsid w:val="29D71CDA"/>
    <w:rsid w:val="29E11CD5"/>
    <w:rsid w:val="29E325E0"/>
    <w:rsid w:val="29F00112"/>
    <w:rsid w:val="2A005C83"/>
    <w:rsid w:val="2A452503"/>
    <w:rsid w:val="2A755DDE"/>
    <w:rsid w:val="2A7D74CC"/>
    <w:rsid w:val="2A816FAC"/>
    <w:rsid w:val="2A854AAC"/>
    <w:rsid w:val="2A8E71C9"/>
    <w:rsid w:val="2A97058D"/>
    <w:rsid w:val="2A985A21"/>
    <w:rsid w:val="2A9A1E2C"/>
    <w:rsid w:val="2A9F7442"/>
    <w:rsid w:val="2AA413C0"/>
    <w:rsid w:val="2AA94D3A"/>
    <w:rsid w:val="2AB4113F"/>
    <w:rsid w:val="2ADE14E1"/>
    <w:rsid w:val="2AEC2D35"/>
    <w:rsid w:val="2AED28A3"/>
    <w:rsid w:val="2AFE1BCC"/>
    <w:rsid w:val="2AFE23BA"/>
    <w:rsid w:val="2B01489A"/>
    <w:rsid w:val="2B0D0850"/>
    <w:rsid w:val="2B3C2EE3"/>
    <w:rsid w:val="2B401585"/>
    <w:rsid w:val="2B427374"/>
    <w:rsid w:val="2B51706E"/>
    <w:rsid w:val="2B5711AB"/>
    <w:rsid w:val="2B5D3F7C"/>
    <w:rsid w:val="2B8D0C77"/>
    <w:rsid w:val="2BA936A8"/>
    <w:rsid w:val="2BB4228A"/>
    <w:rsid w:val="2BD34277"/>
    <w:rsid w:val="2C315A5A"/>
    <w:rsid w:val="2C4629A8"/>
    <w:rsid w:val="2C4B1C25"/>
    <w:rsid w:val="2C4D29BC"/>
    <w:rsid w:val="2C536736"/>
    <w:rsid w:val="2C6170A5"/>
    <w:rsid w:val="2C620A7A"/>
    <w:rsid w:val="2C907843"/>
    <w:rsid w:val="2CA567FD"/>
    <w:rsid w:val="2CAB39DD"/>
    <w:rsid w:val="2CB52F4D"/>
    <w:rsid w:val="2CD56C1B"/>
    <w:rsid w:val="2CD9549E"/>
    <w:rsid w:val="2CF156C9"/>
    <w:rsid w:val="2D0D43C5"/>
    <w:rsid w:val="2D1128AA"/>
    <w:rsid w:val="2D340315"/>
    <w:rsid w:val="2D390D8E"/>
    <w:rsid w:val="2D4367AA"/>
    <w:rsid w:val="2D5503F3"/>
    <w:rsid w:val="2D6055AE"/>
    <w:rsid w:val="2D621327"/>
    <w:rsid w:val="2D682829"/>
    <w:rsid w:val="2D7F2A1C"/>
    <w:rsid w:val="2D8A71B1"/>
    <w:rsid w:val="2D9439A6"/>
    <w:rsid w:val="2D9E56F5"/>
    <w:rsid w:val="2DB26E99"/>
    <w:rsid w:val="2DBA6ABB"/>
    <w:rsid w:val="2DBD12BC"/>
    <w:rsid w:val="2DE203BE"/>
    <w:rsid w:val="2E1341D4"/>
    <w:rsid w:val="2E167A29"/>
    <w:rsid w:val="2E271C28"/>
    <w:rsid w:val="2E291E44"/>
    <w:rsid w:val="2E314855"/>
    <w:rsid w:val="2E485114"/>
    <w:rsid w:val="2E667F96"/>
    <w:rsid w:val="2E8226AB"/>
    <w:rsid w:val="2E903C71"/>
    <w:rsid w:val="2EA03B36"/>
    <w:rsid w:val="2EA94167"/>
    <w:rsid w:val="2EA94D33"/>
    <w:rsid w:val="2ED74DED"/>
    <w:rsid w:val="2EDF0236"/>
    <w:rsid w:val="2EE23F7A"/>
    <w:rsid w:val="2EFA558F"/>
    <w:rsid w:val="2EFF1BC1"/>
    <w:rsid w:val="2F025A74"/>
    <w:rsid w:val="2F0F2DE8"/>
    <w:rsid w:val="2F495C8D"/>
    <w:rsid w:val="2F4E4AA2"/>
    <w:rsid w:val="2F5A7DDB"/>
    <w:rsid w:val="2FA572A9"/>
    <w:rsid w:val="2FCC6C79"/>
    <w:rsid w:val="2FD065E6"/>
    <w:rsid w:val="2FD26B7E"/>
    <w:rsid w:val="2FD96870"/>
    <w:rsid w:val="2FF65D56"/>
    <w:rsid w:val="301668A4"/>
    <w:rsid w:val="303D3985"/>
    <w:rsid w:val="3049232A"/>
    <w:rsid w:val="30580BC9"/>
    <w:rsid w:val="306C7DC6"/>
    <w:rsid w:val="30724DD6"/>
    <w:rsid w:val="3075311F"/>
    <w:rsid w:val="30C23E8A"/>
    <w:rsid w:val="30D46628"/>
    <w:rsid w:val="30F63C5D"/>
    <w:rsid w:val="310972F2"/>
    <w:rsid w:val="31102C85"/>
    <w:rsid w:val="311E2ED7"/>
    <w:rsid w:val="3148438F"/>
    <w:rsid w:val="315619EE"/>
    <w:rsid w:val="315C449C"/>
    <w:rsid w:val="315F080E"/>
    <w:rsid w:val="316506ED"/>
    <w:rsid w:val="31705FC1"/>
    <w:rsid w:val="31873844"/>
    <w:rsid w:val="319C4297"/>
    <w:rsid w:val="31B82709"/>
    <w:rsid w:val="31C02654"/>
    <w:rsid w:val="31CA3138"/>
    <w:rsid w:val="31CF2D03"/>
    <w:rsid w:val="31D05482"/>
    <w:rsid w:val="31DA4319"/>
    <w:rsid w:val="31E3249B"/>
    <w:rsid w:val="32093C30"/>
    <w:rsid w:val="32130E41"/>
    <w:rsid w:val="32303406"/>
    <w:rsid w:val="32362BEE"/>
    <w:rsid w:val="32400B34"/>
    <w:rsid w:val="32423302"/>
    <w:rsid w:val="32460333"/>
    <w:rsid w:val="32485077"/>
    <w:rsid w:val="32494863"/>
    <w:rsid w:val="324A4809"/>
    <w:rsid w:val="324E1E79"/>
    <w:rsid w:val="326A47D9"/>
    <w:rsid w:val="327318E0"/>
    <w:rsid w:val="327C7964"/>
    <w:rsid w:val="329B2BE5"/>
    <w:rsid w:val="329E6876"/>
    <w:rsid w:val="32A0771A"/>
    <w:rsid w:val="32A43486"/>
    <w:rsid w:val="32A63A63"/>
    <w:rsid w:val="32BC0FC9"/>
    <w:rsid w:val="32D22AAA"/>
    <w:rsid w:val="32EC2057"/>
    <w:rsid w:val="32FF7F0C"/>
    <w:rsid w:val="331D184C"/>
    <w:rsid w:val="33235945"/>
    <w:rsid w:val="333015F2"/>
    <w:rsid w:val="334B6320"/>
    <w:rsid w:val="335214F5"/>
    <w:rsid w:val="33522351"/>
    <w:rsid w:val="33943D62"/>
    <w:rsid w:val="33985946"/>
    <w:rsid w:val="33D934D4"/>
    <w:rsid w:val="33DB0B1F"/>
    <w:rsid w:val="33EB57CA"/>
    <w:rsid w:val="33FE2F6A"/>
    <w:rsid w:val="340C6244"/>
    <w:rsid w:val="340E07E5"/>
    <w:rsid w:val="34235BF7"/>
    <w:rsid w:val="343A7E32"/>
    <w:rsid w:val="344518D9"/>
    <w:rsid w:val="344D4B67"/>
    <w:rsid w:val="345C5DED"/>
    <w:rsid w:val="34660C80"/>
    <w:rsid w:val="347836E7"/>
    <w:rsid w:val="347E742F"/>
    <w:rsid w:val="34851430"/>
    <w:rsid w:val="34A22009"/>
    <w:rsid w:val="34A63DFC"/>
    <w:rsid w:val="34A955A8"/>
    <w:rsid w:val="34B64C44"/>
    <w:rsid w:val="34C2177D"/>
    <w:rsid w:val="34C4481E"/>
    <w:rsid w:val="34CC52D7"/>
    <w:rsid w:val="34EC6129"/>
    <w:rsid w:val="34FF56AD"/>
    <w:rsid w:val="35067872"/>
    <w:rsid w:val="35215623"/>
    <w:rsid w:val="352B2DCA"/>
    <w:rsid w:val="353D15FF"/>
    <w:rsid w:val="354D1029"/>
    <w:rsid w:val="355D0CEA"/>
    <w:rsid w:val="35635123"/>
    <w:rsid w:val="357629AA"/>
    <w:rsid w:val="358C5FA8"/>
    <w:rsid w:val="358D7389"/>
    <w:rsid w:val="359A3628"/>
    <w:rsid w:val="35C15DF1"/>
    <w:rsid w:val="35C36E72"/>
    <w:rsid w:val="35C37917"/>
    <w:rsid w:val="35CB558F"/>
    <w:rsid w:val="35DE3514"/>
    <w:rsid w:val="35FA00EE"/>
    <w:rsid w:val="35FE2C4A"/>
    <w:rsid w:val="36074A7F"/>
    <w:rsid w:val="360A1405"/>
    <w:rsid w:val="36233D4C"/>
    <w:rsid w:val="36325D12"/>
    <w:rsid w:val="363414E0"/>
    <w:rsid w:val="36352F10"/>
    <w:rsid w:val="36707E33"/>
    <w:rsid w:val="36923549"/>
    <w:rsid w:val="369D12D4"/>
    <w:rsid w:val="369E0A48"/>
    <w:rsid w:val="36A710FA"/>
    <w:rsid w:val="36AE738B"/>
    <w:rsid w:val="36B75FBF"/>
    <w:rsid w:val="36BD0C45"/>
    <w:rsid w:val="36C16230"/>
    <w:rsid w:val="36E52EF4"/>
    <w:rsid w:val="370479D9"/>
    <w:rsid w:val="371338F2"/>
    <w:rsid w:val="3753021A"/>
    <w:rsid w:val="37543CF6"/>
    <w:rsid w:val="375515B4"/>
    <w:rsid w:val="375708CB"/>
    <w:rsid w:val="375F2433"/>
    <w:rsid w:val="378A39CB"/>
    <w:rsid w:val="379245B6"/>
    <w:rsid w:val="379B7E94"/>
    <w:rsid w:val="379C5435"/>
    <w:rsid w:val="37E00298"/>
    <w:rsid w:val="37F232A7"/>
    <w:rsid w:val="37FB0978"/>
    <w:rsid w:val="38033FE9"/>
    <w:rsid w:val="383805EB"/>
    <w:rsid w:val="383B2EA0"/>
    <w:rsid w:val="384168B8"/>
    <w:rsid w:val="384E39DC"/>
    <w:rsid w:val="38B302F9"/>
    <w:rsid w:val="38B642D4"/>
    <w:rsid w:val="38C42F04"/>
    <w:rsid w:val="38D43B92"/>
    <w:rsid w:val="38DD49CB"/>
    <w:rsid w:val="38EC5F48"/>
    <w:rsid w:val="38EE0354"/>
    <w:rsid w:val="38F12CD3"/>
    <w:rsid w:val="38F142D1"/>
    <w:rsid w:val="38F94775"/>
    <w:rsid w:val="392971ED"/>
    <w:rsid w:val="39325651"/>
    <w:rsid w:val="393F45D5"/>
    <w:rsid w:val="394E6C03"/>
    <w:rsid w:val="396E47D8"/>
    <w:rsid w:val="39743B55"/>
    <w:rsid w:val="398C5748"/>
    <w:rsid w:val="39982E37"/>
    <w:rsid w:val="39A76BA3"/>
    <w:rsid w:val="39B84696"/>
    <w:rsid w:val="39C1117A"/>
    <w:rsid w:val="39DD3AE3"/>
    <w:rsid w:val="39E56B12"/>
    <w:rsid w:val="39EB26A4"/>
    <w:rsid w:val="39F13F9D"/>
    <w:rsid w:val="39F14503"/>
    <w:rsid w:val="3A26213B"/>
    <w:rsid w:val="3A2854EB"/>
    <w:rsid w:val="3A30455A"/>
    <w:rsid w:val="3A3951BD"/>
    <w:rsid w:val="3A4778DE"/>
    <w:rsid w:val="3A4D4C07"/>
    <w:rsid w:val="3A5E022F"/>
    <w:rsid w:val="3A647D60"/>
    <w:rsid w:val="3A695377"/>
    <w:rsid w:val="3A736AF5"/>
    <w:rsid w:val="3A8575BA"/>
    <w:rsid w:val="3A863EAD"/>
    <w:rsid w:val="3A872856"/>
    <w:rsid w:val="3AA8170D"/>
    <w:rsid w:val="3ADF3C25"/>
    <w:rsid w:val="3AF15126"/>
    <w:rsid w:val="3AF268AC"/>
    <w:rsid w:val="3AF37A62"/>
    <w:rsid w:val="3AF75099"/>
    <w:rsid w:val="3AF86E26"/>
    <w:rsid w:val="3B073BC8"/>
    <w:rsid w:val="3B236456"/>
    <w:rsid w:val="3B2B032F"/>
    <w:rsid w:val="3B351E28"/>
    <w:rsid w:val="3B3763D1"/>
    <w:rsid w:val="3B7271DF"/>
    <w:rsid w:val="3B960C7C"/>
    <w:rsid w:val="3B9A1C8B"/>
    <w:rsid w:val="3BAC552A"/>
    <w:rsid w:val="3BB15227"/>
    <w:rsid w:val="3BB52F69"/>
    <w:rsid w:val="3BC94324"/>
    <w:rsid w:val="3BE7142E"/>
    <w:rsid w:val="3BED44B1"/>
    <w:rsid w:val="3BFC46F4"/>
    <w:rsid w:val="3BFC48BF"/>
    <w:rsid w:val="3BFE66BE"/>
    <w:rsid w:val="3C0E7AE4"/>
    <w:rsid w:val="3C1034EC"/>
    <w:rsid w:val="3C2F6E1E"/>
    <w:rsid w:val="3C371BD0"/>
    <w:rsid w:val="3C3C7866"/>
    <w:rsid w:val="3C4F64BA"/>
    <w:rsid w:val="3C577B7C"/>
    <w:rsid w:val="3C59001F"/>
    <w:rsid w:val="3CA31014"/>
    <w:rsid w:val="3CCD0302"/>
    <w:rsid w:val="3CDA245A"/>
    <w:rsid w:val="3CE8111C"/>
    <w:rsid w:val="3CEA4D9C"/>
    <w:rsid w:val="3CF960F6"/>
    <w:rsid w:val="3D153845"/>
    <w:rsid w:val="3D1D6CE1"/>
    <w:rsid w:val="3D1E06B7"/>
    <w:rsid w:val="3D396D53"/>
    <w:rsid w:val="3D4520CB"/>
    <w:rsid w:val="3D483FA5"/>
    <w:rsid w:val="3D485596"/>
    <w:rsid w:val="3D4D2D2E"/>
    <w:rsid w:val="3D500578"/>
    <w:rsid w:val="3D583BAC"/>
    <w:rsid w:val="3D791099"/>
    <w:rsid w:val="3D89645B"/>
    <w:rsid w:val="3D8D259E"/>
    <w:rsid w:val="3D8F5697"/>
    <w:rsid w:val="3DB73ABE"/>
    <w:rsid w:val="3DD0120D"/>
    <w:rsid w:val="3DDE5468"/>
    <w:rsid w:val="3DF36441"/>
    <w:rsid w:val="3DF54713"/>
    <w:rsid w:val="3DFE0E07"/>
    <w:rsid w:val="3E015A47"/>
    <w:rsid w:val="3E02621C"/>
    <w:rsid w:val="3E0E24CC"/>
    <w:rsid w:val="3E111FAD"/>
    <w:rsid w:val="3E1511E9"/>
    <w:rsid w:val="3E315065"/>
    <w:rsid w:val="3E356BAC"/>
    <w:rsid w:val="3E6C438B"/>
    <w:rsid w:val="3E822507"/>
    <w:rsid w:val="3E860BED"/>
    <w:rsid w:val="3EA376EA"/>
    <w:rsid w:val="3EAE6FCA"/>
    <w:rsid w:val="3EB275B0"/>
    <w:rsid w:val="3EC15644"/>
    <w:rsid w:val="3EDA0523"/>
    <w:rsid w:val="3EDC25BB"/>
    <w:rsid w:val="3EEE4EE2"/>
    <w:rsid w:val="3F2106C0"/>
    <w:rsid w:val="3F21637D"/>
    <w:rsid w:val="3F277CDA"/>
    <w:rsid w:val="3F303FC2"/>
    <w:rsid w:val="3F355ADA"/>
    <w:rsid w:val="3F370BCB"/>
    <w:rsid w:val="3F4A6DF6"/>
    <w:rsid w:val="3F4E21EB"/>
    <w:rsid w:val="3F536D21"/>
    <w:rsid w:val="3F823162"/>
    <w:rsid w:val="3F9561C4"/>
    <w:rsid w:val="3FD2156D"/>
    <w:rsid w:val="3FD70FCE"/>
    <w:rsid w:val="3FEE0A6F"/>
    <w:rsid w:val="3FF27622"/>
    <w:rsid w:val="3FFF4F2D"/>
    <w:rsid w:val="4001677D"/>
    <w:rsid w:val="400420D2"/>
    <w:rsid w:val="400D35DD"/>
    <w:rsid w:val="40232394"/>
    <w:rsid w:val="40381A73"/>
    <w:rsid w:val="40603B42"/>
    <w:rsid w:val="40642868"/>
    <w:rsid w:val="4070745F"/>
    <w:rsid w:val="4071391F"/>
    <w:rsid w:val="407A3945"/>
    <w:rsid w:val="407A6407"/>
    <w:rsid w:val="407D1B7C"/>
    <w:rsid w:val="409E221E"/>
    <w:rsid w:val="40A84E4B"/>
    <w:rsid w:val="40BE466E"/>
    <w:rsid w:val="40C33A32"/>
    <w:rsid w:val="40D56151"/>
    <w:rsid w:val="40E23A1F"/>
    <w:rsid w:val="411C19A6"/>
    <w:rsid w:val="412626D2"/>
    <w:rsid w:val="41270465"/>
    <w:rsid w:val="4135185C"/>
    <w:rsid w:val="414F0988"/>
    <w:rsid w:val="41582E49"/>
    <w:rsid w:val="41704F0E"/>
    <w:rsid w:val="417148FA"/>
    <w:rsid w:val="41895F91"/>
    <w:rsid w:val="418D684B"/>
    <w:rsid w:val="41C04AC3"/>
    <w:rsid w:val="41C2018E"/>
    <w:rsid w:val="41C66B98"/>
    <w:rsid w:val="41C95125"/>
    <w:rsid w:val="4200449D"/>
    <w:rsid w:val="420B1267"/>
    <w:rsid w:val="420E50A4"/>
    <w:rsid w:val="42152215"/>
    <w:rsid w:val="42301D79"/>
    <w:rsid w:val="423A3BCC"/>
    <w:rsid w:val="4240780F"/>
    <w:rsid w:val="424B30FF"/>
    <w:rsid w:val="424E57D2"/>
    <w:rsid w:val="425060F7"/>
    <w:rsid w:val="427524B3"/>
    <w:rsid w:val="42A44AAA"/>
    <w:rsid w:val="42B26C49"/>
    <w:rsid w:val="42B775C7"/>
    <w:rsid w:val="42F241AC"/>
    <w:rsid w:val="42F81BBD"/>
    <w:rsid w:val="42FA5B31"/>
    <w:rsid w:val="43056691"/>
    <w:rsid w:val="433A6FE6"/>
    <w:rsid w:val="4346632E"/>
    <w:rsid w:val="43480868"/>
    <w:rsid w:val="434A3F97"/>
    <w:rsid w:val="4350713C"/>
    <w:rsid w:val="436653E0"/>
    <w:rsid w:val="43836937"/>
    <w:rsid w:val="43881AB4"/>
    <w:rsid w:val="439F6B80"/>
    <w:rsid w:val="43B34232"/>
    <w:rsid w:val="43B81B92"/>
    <w:rsid w:val="43C4431A"/>
    <w:rsid w:val="43CC10C3"/>
    <w:rsid w:val="43DB5537"/>
    <w:rsid w:val="43F32881"/>
    <w:rsid w:val="43FB7987"/>
    <w:rsid w:val="43FC2ACB"/>
    <w:rsid w:val="44024872"/>
    <w:rsid w:val="440D73E6"/>
    <w:rsid w:val="44307631"/>
    <w:rsid w:val="4437014D"/>
    <w:rsid w:val="444F046F"/>
    <w:rsid w:val="446C5795"/>
    <w:rsid w:val="44935E12"/>
    <w:rsid w:val="44A35F6F"/>
    <w:rsid w:val="44B951CC"/>
    <w:rsid w:val="44CD14E0"/>
    <w:rsid w:val="44DE1F09"/>
    <w:rsid w:val="44E126D9"/>
    <w:rsid w:val="44F20B0B"/>
    <w:rsid w:val="44F4562D"/>
    <w:rsid w:val="451341CF"/>
    <w:rsid w:val="45183286"/>
    <w:rsid w:val="45237F5F"/>
    <w:rsid w:val="452A0524"/>
    <w:rsid w:val="452E5F4C"/>
    <w:rsid w:val="452F5B59"/>
    <w:rsid w:val="4535194D"/>
    <w:rsid w:val="453D64ED"/>
    <w:rsid w:val="4553712E"/>
    <w:rsid w:val="45612018"/>
    <w:rsid w:val="45626034"/>
    <w:rsid w:val="45700BA9"/>
    <w:rsid w:val="45885BCA"/>
    <w:rsid w:val="458946E9"/>
    <w:rsid w:val="459A14FF"/>
    <w:rsid w:val="45A47C0E"/>
    <w:rsid w:val="45B14C2A"/>
    <w:rsid w:val="45D55CD1"/>
    <w:rsid w:val="45DB35CC"/>
    <w:rsid w:val="45E61C3E"/>
    <w:rsid w:val="45EC3A2B"/>
    <w:rsid w:val="45EE5EC3"/>
    <w:rsid w:val="45F44265"/>
    <w:rsid w:val="45FE0D31"/>
    <w:rsid w:val="460A7C17"/>
    <w:rsid w:val="461D098F"/>
    <w:rsid w:val="462474A6"/>
    <w:rsid w:val="462A00B0"/>
    <w:rsid w:val="46300235"/>
    <w:rsid w:val="463E7BDF"/>
    <w:rsid w:val="464078D3"/>
    <w:rsid w:val="46410A2B"/>
    <w:rsid w:val="464C03B4"/>
    <w:rsid w:val="46577FD6"/>
    <w:rsid w:val="467C40B0"/>
    <w:rsid w:val="46861CEA"/>
    <w:rsid w:val="46B72087"/>
    <w:rsid w:val="46D3282B"/>
    <w:rsid w:val="46D955A7"/>
    <w:rsid w:val="46E6047B"/>
    <w:rsid w:val="46EE70A4"/>
    <w:rsid w:val="46F34804"/>
    <w:rsid w:val="46F54B62"/>
    <w:rsid w:val="4708193E"/>
    <w:rsid w:val="47133957"/>
    <w:rsid w:val="479A77CF"/>
    <w:rsid w:val="47A07E0C"/>
    <w:rsid w:val="47DB3D58"/>
    <w:rsid w:val="47EF5488"/>
    <w:rsid w:val="47FE42D1"/>
    <w:rsid w:val="48261BEC"/>
    <w:rsid w:val="48512886"/>
    <w:rsid w:val="4870272E"/>
    <w:rsid w:val="488B735B"/>
    <w:rsid w:val="489D4D45"/>
    <w:rsid w:val="48B63E7D"/>
    <w:rsid w:val="48C12F4D"/>
    <w:rsid w:val="4908149D"/>
    <w:rsid w:val="490A4A55"/>
    <w:rsid w:val="492E435B"/>
    <w:rsid w:val="49366537"/>
    <w:rsid w:val="495864A0"/>
    <w:rsid w:val="496A5F78"/>
    <w:rsid w:val="496F430E"/>
    <w:rsid w:val="498E5095"/>
    <w:rsid w:val="499E26DE"/>
    <w:rsid w:val="49AB2A4A"/>
    <w:rsid w:val="49BE1488"/>
    <w:rsid w:val="49DC7715"/>
    <w:rsid w:val="49DE7D7D"/>
    <w:rsid w:val="4A023139"/>
    <w:rsid w:val="4A162E25"/>
    <w:rsid w:val="4A164AE5"/>
    <w:rsid w:val="4A530A94"/>
    <w:rsid w:val="4A757BB4"/>
    <w:rsid w:val="4A7B576F"/>
    <w:rsid w:val="4AB77724"/>
    <w:rsid w:val="4ABA5EA6"/>
    <w:rsid w:val="4AD77C59"/>
    <w:rsid w:val="4AEA0AFB"/>
    <w:rsid w:val="4AF20555"/>
    <w:rsid w:val="4AF561A9"/>
    <w:rsid w:val="4B0051C2"/>
    <w:rsid w:val="4B0C0E06"/>
    <w:rsid w:val="4B6422B6"/>
    <w:rsid w:val="4B657589"/>
    <w:rsid w:val="4B7D5E4E"/>
    <w:rsid w:val="4BCF5981"/>
    <w:rsid w:val="4BD85CB4"/>
    <w:rsid w:val="4BEA1BAB"/>
    <w:rsid w:val="4BF47196"/>
    <w:rsid w:val="4C075A4E"/>
    <w:rsid w:val="4C0A4C0B"/>
    <w:rsid w:val="4C2D62D7"/>
    <w:rsid w:val="4C3F70D7"/>
    <w:rsid w:val="4C403041"/>
    <w:rsid w:val="4C431ECB"/>
    <w:rsid w:val="4C432948"/>
    <w:rsid w:val="4C4A0649"/>
    <w:rsid w:val="4C4D3342"/>
    <w:rsid w:val="4C664422"/>
    <w:rsid w:val="4C7B1E27"/>
    <w:rsid w:val="4C7B39D2"/>
    <w:rsid w:val="4C7E5ECA"/>
    <w:rsid w:val="4C876AA5"/>
    <w:rsid w:val="4CA2676A"/>
    <w:rsid w:val="4CE41DB7"/>
    <w:rsid w:val="4D052FC8"/>
    <w:rsid w:val="4D0E00FB"/>
    <w:rsid w:val="4D176606"/>
    <w:rsid w:val="4D2E6264"/>
    <w:rsid w:val="4D396552"/>
    <w:rsid w:val="4D583ECF"/>
    <w:rsid w:val="4D602609"/>
    <w:rsid w:val="4D9A5B1B"/>
    <w:rsid w:val="4D9C1893"/>
    <w:rsid w:val="4DA176C6"/>
    <w:rsid w:val="4DAD31BB"/>
    <w:rsid w:val="4DB017E2"/>
    <w:rsid w:val="4DB1765F"/>
    <w:rsid w:val="4DBC35DF"/>
    <w:rsid w:val="4DD87D88"/>
    <w:rsid w:val="4DE2103F"/>
    <w:rsid w:val="4DE465D7"/>
    <w:rsid w:val="4DEC4FB0"/>
    <w:rsid w:val="4DF215C7"/>
    <w:rsid w:val="4E075D8A"/>
    <w:rsid w:val="4E235ED6"/>
    <w:rsid w:val="4E3C52A2"/>
    <w:rsid w:val="4E5C4F9C"/>
    <w:rsid w:val="4E74636C"/>
    <w:rsid w:val="4E79167E"/>
    <w:rsid w:val="4E892B8E"/>
    <w:rsid w:val="4E8D38D2"/>
    <w:rsid w:val="4EB41005"/>
    <w:rsid w:val="4EBD75BF"/>
    <w:rsid w:val="4EC00FAD"/>
    <w:rsid w:val="4ED046BA"/>
    <w:rsid w:val="4EEC14ED"/>
    <w:rsid w:val="4F38754B"/>
    <w:rsid w:val="4F473A81"/>
    <w:rsid w:val="4F4A3571"/>
    <w:rsid w:val="4F4E2378"/>
    <w:rsid w:val="4F4E3C04"/>
    <w:rsid w:val="4F561F80"/>
    <w:rsid w:val="4F6B59C1"/>
    <w:rsid w:val="4F6C1739"/>
    <w:rsid w:val="4F6F213E"/>
    <w:rsid w:val="4F9843DC"/>
    <w:rsid w:val="4FA252B3"/>
    <w:rsid w:val="4FAA2A0F"/>
    <w:rsid w:val="4FB541B4"/>
    <w:rsid w:val="4FB62E9D"/>
    <w:rsid w:val="4FC62A8C"/>
    <w:rsid w:val="4FE20F0D"/>
    <w:rsid w:val="4FE51552"/>
    <w:rsid w:val="4FEA2E2E"/>
    <w:rsid w:val="4FEB1EB3"/>
    <w:rsid w:val="50025BF9"/>
    <w:rsid w:val="50067498"/>
    <w:rsid w:val="50263F21"/>
    <w:rsid w:val="50390644"/>
    <w:rsid w:val="50504C4B"/>
    <w:rsid w:val="506E769A"/>
    <w:rsid w:val="507E7AD2"/>
    <w:rsid w:val="508B462C"/>
    <w:rsid w:val="508C1DCB"/>
    <w:rsid w:val="509C6E7C"/>
    <w:rsid w:val="509F3924"/>
    <w:rsid w:val="50AE3672"/>
    <w:rsid w:val="50B82E88"/>
    <w:rsid w:val="50DB47D9"/>
    <w:rsid w:val="50E1404F"/>
    <w:rsid w:val="50E33E5A"/>
    <w:rsid w:val="50F55521"/>
    <w:rsid w:val="51143BF4"/>
    <w:rsid w:val="511701B4"/>
    <w:rsid w:val="511A2107"/>
    <w:rsid w:val="51477D68"/>
    <w:rsid w:val="51534A93"/>
    <w:rsid w:val="515F1DFC"/>
    <w:rsid w:val="5162104E"/>
    <w:rsid w:val="517C08C3"/>
    <w:rsid w:val="51856AE2"/>
    <w:rsid w:val="518C1C1F"/>
    <w:rsid w:val="51A4340C"/>
    <w:rsid w:val="51C64DE1"/>
    <w:rsid w:val="51F07734"/>
    <w:rsid w:val="51FC0D1B"/>
    <w:rsid w:val="5213520A"/>
    <w:rsid w:val="521715B0"/>
    <w:rsid w:val="521C7446"/>
    <w:rsid w:val="526B0D4E"/>
    <w:rsid w:val="526E744E"/>
    <w:rsid w:val="52707792"/>
    <w:rsid w:val="527F1783"/>
    <w:rsid w:val="52896F2D"/>
    <w:rsid w:val="52BB083C"/>
    <w:rsid w:val="52C06024"/>
    <w:rsid w:val="52C602AB"/>
    <w:rsid w:val="52E86357"/>
    <w:rsid w:val="53086C14"/>
    <w:rsid w:val="532F7FB5"/>
    <w:rsid w:val="53413128"/>
    <w:rsid w:val="535008A4"/>
    <w:rsid w:val="53691AF0"/>
    <w:rsid w:val="537A08C9"/>
    <w:rsid w:val="53822191"/>
    <w:rsid w:val="53877FA0"/>
    <w:rsid w:val="538C0CEE"/>
    <w:rsid w:val="53A039CC"/>
    <w:rsid w:val="53A1505A"/>
    <w:rsid w:val="53A34EF9"/>
    <w:rsid w:val="53AC0BFD"/>
    <w:rsid w:val="53CD71B7"/>
    <w:rsid w:val="53D87451"/>
    <w:rsid w:val="540168F4"/>
    <w:rsid w:val="54063E08"/>
    <w:rsid w:val="540E7126"/>
    <w:rsid w:val="54177EC5"/>
    <w:rsid w:val="54206589"/>
    <w:rsid w:val="54256C07"/>
    <w:rsid w:val="54265450"/>
    <w:rsid w:val="543437E8"/>
    <w:rsid w:val="545853DC"/>
    <w:rsid w:val="54596122"/>
    <w:rsid w:val="54826B69"/>
    <w:rsid w:val="548534D7"/>
    <w:rsid w:val="5487057D"/>
    <w:rsid w:val="549F1A7B"/>
    <w:rsid w:val="54A31759"/>
    <w:rsid w:val="54AD45FC"/>
    <w:rsid w:val="54B17972"/>
    <w:rsid w:val="54BA54C6"/>
    <w:rsid w:val="54CB4686"/>
    <w:rsid w:val="54F24120"/>
    <w:rsid w:val="54F73313"/>
    <w:rsid w:val="54F80955"/>
    <w:rsid w:val="54FF02B0"/>
    <w:rsid w:val="550225C5"/>
    <w:rsid w:val="551561BC"/>
    <w:rsid w:val="55192F88"/>
    <w:rsid w:val="55200C41"/>
    <w:rsid w:val="55255FCF"/>
    <w:rsid w:val="552D27BB"/>
    <w:rsid w:val="55423627"/>
    <w:rsid w:val="555170A7"/>
    <w:rsid w:val="555962BC"/>
    <w:rsid w:val="555D389B"/>
    <w:rsid w:val="55664241"/>
    <w:rsid w:val="556F274C"/>
    <w:rsid w:val="557E60A6"/>
    <w:rsid w:val="5587536D"/>
    <w:rsid w:val="559B174B"/>
    <w:rsid w:val="55A0308A"/>
    <w:rsid w:val="55A3500D"/>
    <w:rsid w:val="55BD2CEE"/>
    <w:rsid w:val="55BE54A3"/>
    <w:rsid w:val="55CA58A4"/>
    <w:rsid w:val="55CE0CF4"/>
    <w:rsid w:val="56052ADD"/>
    <w:rsid w:val="564F34A5"/>
    <w:rsid w:val="566E223B"/>
    <w:rsid w:val="56785089"/>
    <w:rsid w:val="56796828"/>
    <w:rsid w:val="569A6B5D"/>
    <w:rsid w:val="56A45C5C"/>
    <w:rsid w:val="56B22A9C"/>
    <w:rsid w:val="56CD6F61"/>
    <w:rsid w:val="56E44D2C"/>
    <w:rsid w:val="56F03BE4"/>
    <w:rsid w:val="56F20776"/>
    <w:rsid w:val="56F36B62"/>
    <w:rsid w:val="56FF2028"/>
    <w:rsid w:val="572C2786"/>
    <w:rsid w:val="57432B3B"/>
    <w:rsid w:val="57497909"/>
    <w:rsid w:val="574B7E86"/>
    <w:rsid w:val="575F3C6D"/>
    <w:rsid w:val="577D0987"/>
    <w:rsid w:val="578A2C5E"/>
    <w:rsid w:val="578B706D"/>
    <w:rsid w:val="57931F59"/>
    <w:rsid w:val="57B72A76"/>
    <w:rsid w:val="57C3426C"/>
    <w:rsid w:val="57CE1F93"/>
    <w:rsid w:val="57D540ED"/>
    <w:rsid w:val="582241C7"/>
    <w:rsid w:val="584119B5"/>
    <w:rsid w:val="5875657D"/>
    <w:rsid w:val="587E2205"/>
    <w:rsid w:val="58847993"/>
    <w:rsid w:val="588743D1"/>
    <w:rsid w:val="5887701A"/>
    <w:rsid w:val="58942C9B"/>
    <w:rsid w:val="58AE4B70"/>
    <w:rsid w:val="58BA6694"/>
    <w:rsid w:val="58FB758C"/>
    <w:rsid w:val="5903310E"/>
    <w:rsid w:val="590F622A"/>
    <w:rsid w:val="59285014"/>
    <w:rsid w:val="592909C9"/>
    <w:rsid w:val="592C7D58"/>
    <w:rsid w:val="59315D40"/>
    <w:rsid w:val="59686B4C"/>
    <w:rsid w:val="59720CE7"/>
    <w:rsid w:val="59B470DD"/>
    <w:rsid w:val="59C0439F"/>
    <w:rsid w:val="59D86349"/>
    <w:rsid w:val="59E40A6D"/>
    <w:rsid w:val="59E431E9"/>
    <w:rsid w:val="5A07278A"/>
    <w:rsid w:val="5A2C3352"/>
    <w:rsid w:val="5A670D37"/>
    <w:rsid w:val="5A6A4AC7"/>
    <w:rsid w:val="5A805435"/>
    <w:rsid w:val="5A8E56E1"/>
    <w:rsid w:val="5AA523D1"/>
    <w:rsid w:val="5ABE2233"/>
    <w:rsid w:val="5AC912A1"/>
    <w:rsid w:val="5AD75815"/>
    <w:rsid w:val="5AFE1DDF"/>
    <w:rsid w:val="5B091E95"/>
    <w:rsid w:val="5B127629"/>
    <w:rsid w:val="5B213377"/>
    <w:rsid w:val="5B3477CC"/>
    <w:rsid w:val="5B3B7484"/>
    <w:rsid w:val="5B3F3E2D"/>
    <w:rsid w:val="5B410F66"/>
    <w:rsid w:val="5B465929"/>
    <w:rsid w:val="5B4B48BB"/>
    <w:rsid w:val="5B5E15D6"/>
    <w:rsid w:val="5B667480"/>
    <w:rsid w:val="5BA5225B"/>
    <w:rsid w:val="5BA65649"/>
    <w:rsid w:val="5BDE751B"/>
    <w:rsid w:val="5BDF5D95"/>
    <w:rsid w:val="5BE74D08"/>
    <w:rsid w:val="5BF07652"/>
    <w:rsid w:val="5BF3649C"/>
    <w:rsid w:val="5BFE7528"/>
    <w:rsid w:val="5BFF0AFB"/>
    <w:rsid w:val="5C1178F0"/>
    <w:rsid w:val="5C2209C9"/>
    <w:rsid w:val="5C221AFD"/>
    <w:rsid w:val="5C4821F4"/>
    <w:rsid w:val="5C563555"/>
    <w:rsid w:val="5C6C6F06"/>
    <w:rsid w:val="5C7837CE"/>
    <w:rsid w:val="5C7A206C"/>
    <w:rsid w:val="5CA52A3F"/>
    <w:rsid w:val="5CC6172D"/>
    <w:rsid w:val="5CD5079F"/>
    <w:rsid w:val="5CDC6D58"/>
    <w:rsid w:val="5CF140C6"/>
    <w:rsid w:val="5CFD6F8A"/>
    <w:rsid w:val="5D0069C4"/>
    <w:rsid w:val="5D116D37"/>
    <w:rsid w:val="5D202A76"/>
    <w:rsid w:val="5D235B2D"/>
    <w:rsid w:val="5D42314C"/>
    <w:rsid w:val="5D694F7E"/>
    <w:rsid w:val="5DB91FED"/>
    <w:rsid w:val="5DD03F39"/>
    <w:rsid w:val="5DE23066"/>
    <w:rsid w:val="5E042D10"/>
    <w:rsid w:val="5E0E7509"/>
    <w:rsid w:val="5E1436C8"/>
    <w:rsid w:val="5E164FDF"/>
    <w:rsid w:val="5E1824AD"/>
    <w:rsid w:val="5E216BD9"/>
    <w:rsid w:val="5E2467F1"/>
    <w:rsid w:val="5E7E3899"/>
    <w:rsid w:val="5E8C13E1"/>
    <w:rsid w:val="5E99597B"/>
    <w:rsid w:val="5EB21081"/>
    <w:rsid w:val="5EBE445A"/>
    <w:rsid w:val="5EC46E9C"/>
    <w:rsid w:val="5EC82E34"/>
    <w:rsid w:val="5ED907F8"/>
    <w:rsid w:val="5EE72B8A"/>
    <w:rsid w:val="5EF373F2"/>
    <w:rsid w:val="5F090D52"/>
    <w:rsid w:val="5F1A2B43"/>
    <w:rsid w:val="5F511AAA"/>
    <w:rsid w:val="5F66666A"/>
    <w:rsid w:val="5F6A598E"/>
    <w:rsid w:val="5F8515AA"/>
    <w:rsid w:val="5F912CEA"/>
    <w:rsid w:val="5FA15B20"/>
    <w:rsid w:val="5FB209F9"/>
    <w:rsid w:val="5FB837BB"/>
    <w:rsid w:val="5FBC7B73"/>
    <w:rsid w:val="5FD924D3"/>
    <w:rsid w:val="5FDC6F72"/>
    <w:rsid w:val="5FED41D0"/>
    <w:rsid w:val="5FFF2035"/>
    <w:rsid w:val="601259E5"/>
    <w:rsid w:val="60455DBA"/>
    <w:rsid w:val="60742E61"/>
    <w:rsid w:val="60944CF0"/>
    <w:rsid w:val="609563D9"/>
    <w:rsid w:val="60987315"/>
    <w:rsid w:val="60B02B41"/>
    <w:rsid w:val="60B60A66"/>
    <w:rsid w:val="60B61AAC"/>
    <w:rsid w:val="60CC405A"/>
    <w:rsid w:val="60DD2497"/>
    <w:rsid w:val="610F7F92"/>
    <w:rsid w:val="61147781"/>
    <w:rsid w:val="611D2893"/>
    <w:rsid w:val="612215BD"/>
    <w:rsid w:val="6124661F"/>
    <w:rsid w:val="61363D34"/>
    <w:rsid w:val="613D74B6"/>
    <w:rsid w:val="613F1A2C"/>
    <w:rsid w:val="61471C84"/>
    <w:rsid w:val="615C33BC"/>
    <w:rsid w:val="6164634C"/>
    <w:rsid w:val="6182444A"/>
    <w:rsid w:val="61BB5496"/>
    <w:rsid w:val="61E215D8"/>
    <w:rsid w:val="621B3775"/>
    <w:rsid w:val="62364782"/>
    <w:rsid w:val="624C462A"/>
    <w:rsid w:val="62604FEF"/>
    <w:rsid w:val="62734B1F"/>
    <w:rsid w:val="627A171F"/>
    <w:rsid w:val="629306DE"/>
    <w:rsid w:val="62976675"/>
    <w:rsid w:val="62A3542F"/>
    <w:rsid w:val="62AF1C11"/>
    <w:rsid w:val="62B70BE3"/>
    <w:rsid w:val="62E80F92"/>
    <w:rsid w:val="632A584B"/>
    <w:rsid w:val="63426E07"/>
    <w:rsid w:val="63493E13"/>
    <w:rsid w:val="63517988"/>
    <w:rsid w:val="63674FF9"/>
    <w:rsid w:val="63715D87"/>
    <w:rsid w:val="63753E26"/>
    <w:rsid w:val="637E46EC"/>
    <w:rsid w:val="63926B24"/>
    <w:rsid w:val="6394356A"/>
    <w:rsid w:val="63992A1B"/>
    <w:rsid w:val="63A44570"/>
    <w:rsid w:val="63A66B70"/>
    <w:rsid w:val="63B85F8A"/>
    <w:rsid w:val="63C61B2C"/>
    <w:rsid w:val="63CD0F3A"/>
    <w:rsid w:val="63D40BE9"/>
    <w:rsid w:val="63D77671"/>
    <w:rsid w:val="64024326"/>
    <w:rsid w:val="64052FDF"/>
    <w:rsid w:val="64102431"/>
    <w:rsid w:val="6415662F"/>
    <w:rsid w:val="641A755E"/>
    <w:rsid w:val="642B2C86"/>
    <w:rsid w:val="642D09F0"/>
    <w:rsid w:val="64492F21"/>
    <w:rsid w:val="644B45DA"/>
    <w:rsid w:val="6452166B"/>
    <w:rsid w:val="64925D9F"/>
    <w:rsid w:val="64957CF3"/>
    <w:rsid w:val="64970200"/>
    <w:rsid w:val="649C0FC2"/>
    <w:rsid w:val="64A32268"/>
    <w:rsid w:val="64A5243A"/>
    <w:rsid w:val="64B708D8"/>
    <w:rsid w:val="64E115FC"/>
    <w:rsid w:val="64E2007C"/>
    <w:rsid w:val="64F531DE"/>
    <w:rsid w:val="64F93617"/>
    <w:rsid w:val="64FB04B9"/>
    <w:rsid w:val="6509385A"/>
    <w:rsid w:val="650A0AD0"/>
    <w:rsid w:val="6515681C"/>
    <w:rsid w:val="651C35EA"/>
    <w:rsid w:val="652808BB"/>
    <w:rsid w:val="65341442"/>
    <w:rsid w:val="65373578"/>
    <w:rsid w:val="65586259"/>
    <w:rsid w:val="657442F1"/>
    <w:rsid w:val="657B3829"/>
    <w:rsid w:val="65864EAB"/>
    <w:rsid w:val="658943E7"/>
    <w:rsid w:val="65991FE6"/>
    <w:rsid w:val="659A64BB"/>
    <w:rsid w:val="65C3588C"/>
    <w:rsid w:val="65D425B6"/>
    <w:rsid w:val="65FD626B"/>
    <w:rsid w:val="66044022"/>
    <w:rsid w:val="6626795D"/>
    <w:rsid w:val="662C66AE"/>
    <w:rsid w:val="664632C8"/>
    <w:rsid w:val="66507267"/>
    <w:rsid w:val="666176C6"/>
    <w:rsid w:val="66826C25"/>
    <w:rsid w:val="669E5062"/>
    <w:rsid w:val="66A44AF1"/>
    <w:rsid w:val="66C35C8B"/>
    <w:rsid w:val="66C92D41"/>
    <w:rsid w:val="66D103A8"/>
    <w:rsid w:val="66E81CE7"/>
    <w:rsid w:val="66EB4B3C"/>
    <w:rsid w:val="66EF5860"/>
    <w:rsid w:val="67010C05"/>
    <w:rsid w:val="671F124A"/>
    <w:rsid w:val="672923BE"/>
    <w:rsid w:val="67650226"/>
    <w:rsid w:val="677A33C6"/>
    <w:rsid w:val="67B21FFE"/>
    <w:rsid w:val="67BC3657"/>
    <w:rsid w:val="67DC5685"/>
    <w:rsid w:val="67DE3425"/>
    <w:rsid w:val="67E1461B"/>
    <w:rsid w:val="68067981"/>
    <w:rsid w:val="68153E56"/>
    <w:rsid w:val="681F6961"/>
    <w:rsid w:val="682143AB"/>
    <w:rsid w:val="68430E0B"/>
    <w:rsid w:val="68610A2F"/>
    <w:rsid w:val="68631355"/>
    <w:rsid w:val="68642970"/>
    <w:rsid w:val="686878B5"/>
    <w:rsid w:val="686A6E34"/>
    <w:rsid w:val="68805514"/>
    <w:rsid w:val="68906041"/>
    <w:rsid w:val="68955405"/>
    <w:rsid w:val="68A12A5C"/>
    <w:rsid w:val="68A35C55"/>
    <w:rsid w:val="68B32A6E"/>
    <w:rsid w:val="68B63CF9"/>
    <w:rsid w:val="68C705CB"/>
    <w:rsid w:val="68E5647C"/>
    <w:rsid w:val="68EC771B"/>
    <w:rsid w:val="690A5DF3"/>
    <w:rsid w:val="690E58E3"/>
    <w:rsid w:val="69316E2F"/>
    <w:rsid w:val="694E2071"/>
    <w:rsid w:val="69562DE6"/>
    <w:rsid w:val="69602ADE"/>
    <w:rsid w:val="69641C73"/>
    <w:rsid w:val="69766163"/>
    <w:rsid w:val="697A3B33"/>
    <w:rsid w:val="697A703D"/>
    <w:rsid w:val="697B7CD0"/>
    <w:rsid w:val="699021C4"/>
    <w:rsid w:val="6990454A"/>
    <w:rsid w:val="69983D4A"/>
    <w:rsid w:val="69987EB3"/>
    <w:rsid w:val="69AE3417"/>
    <w:rsid w:val="69D44760"/>
    <w:rsid w:val="69DB150E"/>
    <w:rsid w:val="69E00902"/>
    <w:rsid w:val="69F0323B"/>
    <w:rsid w:val="69F223CE"/>
    <w:rsid w:val="69F43222"/>
    <w:rsid w:val="69F50851"/>
    <w:rsid w:val="69F525FF"/>
    <w:rsid w:val="69FF347E"/>
    <w:rsid w:val="6A1D3C0B"/>
    <w:rsid w:val="6A36708C"/>
    <w:rsid w:val="6A4470C1"/>
    <w:rsid w:val="6A462E5B"/>
    <w:rsid w:val="6A492BFA"/>
    <w:rsid w:val="6A520EC7"/>
    <w:rsid w:val="6A652E83"/>
    <w:rsid w:val="6AC31D28"/>
    <w:rsid w:val="6AD70456"/>
    <w:rsid w:val="6AED2C53"/>
    <w:rsid w:val="6AF87E20"/>
    <w:rsid w:val="6AFC79BD"/>
    <w:rsid w:val="6AFD1CD1"/>
    <w:rsid w:val="6B2E0520"/>
    <w:rsid w:val="6B322639"/>
    <w:rsid w:val="6B853A16"/>
    <w:rsid w:val="6B8D42AC"/>
    <w:rsid w:val="6BAD2A66"/>
    <w:rsid w:val="6BEC7A32"/>
    <w:rsid w:val="6BEE1200"/>
    <w:rsid w:val="6BFB7C75"/>
    <w:rsid w:val="6C0473C8"/>
    <w:rsid w:val="6C303D8F"/>
    <w:rsid w:val="6C4F4B3E"/>
    <w:rsid w:val="6C615D2A"/>
    <w:rsid w:val="6C636C38"/>
    <w:rsid w:val="6C6635CF"/>
    <w:rsid w:val="6C7F08A6"/>
    <w:rsid w:val="6C8E5043"/>
    <w:rsid w:val="6C8F3454"/>
    <w:rsid w:val="6C9205D9"/>
    <w:rsid w:val="6C9500C9"/>
    <w:rsid w:val="6C9A123C"/>
    <w:rsid w:val="6CAE435E"/>
    <w:rsid w:val="6CBF0CA2"/>
    <w:rsid w:val="6CC02668"/>
    <w:rsid w:val="6CC13712"/>
    <w:rsid w:val="6D0C3AC7"/>
    <w:rsid w:val="6D172176"/>
    <w:rsid w:val="6D216C5E"/>
    <w:rsid w:val="6D3142CF"/>
    <w:rsid w:val="6D35378E"/>
    <w:rsid w:val="6D632F47"/>
    <w:rsid w:val="6D9C0FE4"/>
    <w:rsid w:val="6DAF51BB"/>
    <w:rsid w:val="6DB0414E"/>
    <w:rsid w:val="6DB34098"/>
    <w:rsid w:val="6DB545B6"/>
    <w:rsid w:val="6DD464FD"/>
    <w:rsid w:val="6DE02FB4"/>
    <w:rsid w:val="6DE24C48"/>
    <w:rsid w:val="6DEF7365"/>
    <w:rsid w:val="6DF0087F"/>
    <w:rsid w:val="6E05016B"/>
    <w:rsid w:val="6E153270"/>
    <w:rsid w:val="6E1A6997"/>
    <w:rsid w:val="6E2C680B"/>
    <w:rsid w:val="6E514CED"/>
    <w:rsid w:val="6E656425"/>
    <w:rsid w:val="6E91041D"/>
    <w:rsid w:val="6EB563D5"/>
    <w:rsid w:val="6ED92677"/>
    <w:rsid w:val="6EE92007"/>
    <w:rsid w:val="6F225983"/>
    <w:rsid w:val="6F4242A3"/>
    <w:rsid w:val="6F4612D6"/>
    <w:rsid w:val="6F750F0C"/>
    <w:rsid w:val="6F822E81"/>
    <w:rsid w:val="6F99661B"/>
    <w:rsid w:val="6FA56C7C"/>
    <w:rsid w:val="6FB34AFC"/>
    <w:rsid w:val="6FD27A67"/>
    <w:rsid w:val="6FE80510"/>
    <w:rsid w:val="6FF3586C"/>
    <w:rsid w:val="6FFC5590"/>
    <w:rsid w:val="6FFD3210"/>
    <w:rsid w:val="7000585A"/>
    <w:rsid w:val="702072FF"/>
    <w:rsid w:val="702E5F3F"/>
    <w:rsid w:val="70377729"/>
    <w:rsid w:val="70494790"/>
    <w:rsid w:val="705515DB"/>
    <w:rsid w:val="70666005"/>
    <w:rsid w:val="706D1DD0"/>
    <w:rsid w:val="70856B87"/>
    <w:rsid w:val="70932B72"/>
    <w:rsid w:val="70A95F45"/>
    <w:rsid w:val="70B1100C"/>
    <w:rsid w:val="70BA245B"/>
    <w:rsid w:val="70D527EE"/>
    <w:rsid w:val="70F74058"/>
    <w:rsid w:val="70FD016F"/>
    <w:rsid w:val="712D2130"/>
    <w:rsid w:val="713779A1"/>
    <w:rsid w:val="71444C42"/>
    <w:rsid w:val="714C1439"/>
    <w:rsid w:val="715B5300"/>
    <w:rsid w:val="717A69A0"/>
    <w:rsid w:val="7187709C"/>
    <w:rsid w:val="718A076E"/>
    <w:rsid w:val="718F1876"/>
    <w:rsid w:val="71A373F8"/>
    <w:rsid w:val="71AA57A9"/>
    <w:rsid w:val="71BF1F37"/>
    <w:rsid w:val="71C72AD3"/>
    <w:rsid w:val="71D27F8A"/>
    <w:rsid w:val="71DF1931"/>
    <w:rsid w:val="71E73175"/>
    <w:rsid w:val="71F30AC2"/>
    <w:rsid w:val="71FA5E13"/>
    <w:rsid w:val="720A713E"/>
    <w:rsid w:val="720B1226"/>
    <w:rsid w:val="721F6E5B"/>
    <w:rsid w:val="72276364"/>
    <w:rsid w:val="72361A07"/>
    <w:rsid w:val="723E2914"/>
    <w:rsid w:val="72553024"/>
    <w:rsid w:val="727442DD"/>
    <w:rsid w:val="72952BD1"/>
    <w:rsid w:val="72A0751B"/>
    <w:rsid w:val="72C04F62"/>
    <w:rsid w:val="72D21C5D"/>
    <w:rsid w:val="72E22F38"/>
    <w:rsid w:val="72E5035E"/>
    <w:rsid w:val="73122968"/>
    <w:rsid w:val="731C6DB1"/>
    <w:rsid w:val="731F5D5E"/>
    <w:rsid w:val="73326672"/>
    <w:rsid w:val="734F6817"/>
    <w:rsid w:val="73575302"/>
    <w:rsid w:val="735A209E"/>
    <w:rsid w:val="73691968"/>
    <w:rsid w:val="737A6252"/>
    <w:rsid w:val="73836ECE"/>
    <w:rsid w:val="73AF3F96"/>
    <w:rsid w:val="73C51AD5"/>
    <w:rsid w:val="73D37457"/>
    <w:rsid w:val="74162289"/>
    <w:rsid w:val="7419513C"/>
    <w:rsid w:val="741E793C"/>
    <w:rsid w:val="742B77FD"/>
    <w:rsid w:val="744246C9"/>
    <w:rsid w:val="744503A4"/>
    <w:rsid w:val="74510D7A"/>
    <w:rsid w:val="74562C47"/>
    <w:rsid w:val="745E3944"/>
    <w:rsid w:val="745F760F"/>
    <w:rsid w:val="74821E7E"/>
    <w:rsid w:val="74890514"/>
    <w:rsid w:val="74A76BEC"/>
    <w:rsid w:val="74BA5BB7"/>
    <w:rsid w:val="74CB0B2C"/>
    <w:rsid w:val="74ED1A5A"/>
    <w:rsid w:val="74F23177"/>
    <w:rsid w:val="750379B1"/>
    <w:rsid w:val="75045610"/>
    <w:rsid w:val="75224998"/>
    <w:rsid w:val="75287D2D"/>
    <w:rsid w:val="752F5E7A"/>
    <w:rsid w:val="753913DE"/>
    <w:rsid w:val="754F701B"/>
    <w:rsid w:val="755723FA"/>
    <w:rsid w:val="756D69AF"/>
    <w:rsid w:val="7581498B"/>
    <w:rsid w:val="7585185D"/>
    <w:rsid w:val="758B206A"/>
    <w:rsid w:val="75B57B61"/>
    <w:rsid w:val="75DC35CB"/>
    <w:rsid w:val="76012C09"/>
    <w:rsid w:val="761E5ECD"/>
    <w:rsid w:val="76211766"/>
    <w:rsid w:val="7635099D"/>
    <w:rsid w:val="764B1762"/>
    <w:rsid w:val="764F12E9"/>
    <w:rsid w:val="765D0AC2"/>
    <w:rsid w:val="765F66B8"/>
    <w:rsid w:val="76650B0D"/>
    <w:rsid w:val="7673510A"/>
    <w:rsid w:val="76760624"/>
    <w:rsid w:val="76967C6D"/>
    <w:rsid w:val="76DB2A57"/>
    <w:rsid w:val="76DC35F5"/>
    <w:rsid w:val="76E539FB"/>
    <w:rsid w:val="76F45339"/>
    <w:rsid w:val="76F65C09"/>
    <w:rsid w:val="76FE6D92"/>
    <w:rsid w:val="77001017"/>
    <w:rsid w:val="77072E6C"/>
    <w:rsid w:val="7726029C"/>
    <w:rsid w:val="772C33D8"/>
    <w:rsid w:val="772C7C67"/>
    <w:rsid w:val="773A5C75"/>
    <w:rsid w:val="774C5829"/>
    <w:rsid w:val="77576B44"/>
    <w:rsid w:val="776B5480"/>
    <w:rsid w:val="77762421"/>
    <w:rsid w:val="77950F7E"/>
    <w:rsid w:val="77A427A8"/>
    <w:rsid w:val="77A6318B"/>
    <w:rsid w:val="77B56B1F"/>
    <w:rsid w:val="77CD390D"/>
    <w:rsid w:val="77CD4BBB"/>
    <w:rsid w:val="77D00208"/>
    <w:rsid w:val="77D25918"/>
    <w:rsid w:val="77D637C2"/>
    <w:rsid w:val="77DB62F2"/>
    <w:rsid w:val="77E500C2"/>
    <w:rsid w:val="77E616E5"/>
    <w:rsid w:val="77F66E0F"/>
    <w:rsid w:val="78005785"/>
    <w:rsid w:val="780F09F4"/>
    <w:rsid w:val="78480896"/>
    <w:rsid w:val="7852576C"/>
    <w:rsid w:val="785726D7"/>
    <w:rsid w:val="78686CA8"/>
    <w:rsid w:val="787225AD"/>
    <w:rsid w:val="78A90480"/>
    <w:rsid w:val="78BC51E1"/>
    <w:rsid w:val="78FE2EA1"/>
    <w:rsid w:val="790E548B"/>
    <w:rsid w:val="791400DD"/>
    <w:rsid w:val="791E4FA3"/>
    <w:rsid w:val="792228BA"/>
    <w:rsid w:val="7923019B"/>
    <w:rsid w:val="792C5912"/>
    <w:rsid w:val="793236F3"/>
    <w:rsid w:val="793F4689"/>
    <w:rsid w:val="794B4570"/>
    <w:rsid w:val="794F1194"/>
    <w:rsid w:val="795F379A"/>
    <w:rsid w:val="797679FE"/>
    <w:rsid w:val="797A042B"/>
    <w:rsid w:val="79AB6836"/>
    <w:rsid w:val="79B32FF9"/>
    <w:rsid w:val="7A004299"/>
    <w:rsid w:val="7A247BD1"/>
    <w:rsid w:val="7A364017"/>
    <w:rsid w:val="7A456C8B"/>
    <w:rsid w:val="7A5C314A"/>
    <w:rsid w:val="7A60132A"/>
    <w:rsid w:val="7A654A86"/>
    <w:rsid w:val="7A820E9D"/>
    <w:rsid w:val="7A8265E1"/>
    <w:rsid w:val="7A856F2C"/>
    <w:rsid w:val="7AB23BF5"/>
    <w:rsid w:val="7AD21037"/>
    <w:rsid w:val="7AD80FDB"/>
    <w:rsid w:val="7AFA49A4"/>
    <w:rsid w:val="7AFB2020"/>
    <w:rsid w:val="7B021E4C"/>
    <w:rsid w:val="7B071625"/>
    <w:rsid w:val="7B072192"/>
    <w:rsid w:val="7B09415C"/>
    <w:rsid w:val="7B1C08C8"/>
    <w:rsid w:val="7B1F572E"/>
    <w:rsid w:val="7B2151A7"/>
    <w:rsid w:val="7B2745E3"/>
    <w:rsid w:val="7B4231CA"/>
    <w:rsid w:val="7B4707E1"/>
    <w:rsid w:val="7B4A56E6"/>
    <w:rsid w:val="7B586F7C"/>
    <w:rsid w:val="7B686D42"/>
    <w:rsid w:val="7B7428EB"/>
    <w:rsid w:val="7B80502B"/>
    <w:rsid w:val="7B841746"/>
    <w:rsid w:val="7B871FFE"/>
    <w:rsid w:val="7B8F5CDC"/>
    <w:rsid w:val="7B95154C"/>
    <w:rsid w:val="7BAF00FE"/>
    <w:rsid w:val="7BBD6CF5"/>
    <w:rsid w:val="7BC55B1F"/>
    <w:rsid w:val="7BC61286"/>
    <w:rsid w:val="7BD62E62"/>
    <w:rsid w:val="7BDF5F4A"/>
    <w:rsid w:val="7BE530CE"/>
    <w:rsid w:val="7BE970B3"/>
    <w:rsid w:val="7C0A7917"/>
    <w:rsid w:val="7C2B1EB0"/>
    <w:rsid w:val="7C692703"/>
    <w:rsid w:val="7C6C5AC7"/>
    <w:rsid w:val="7C8B1F44"/>
    <w:rsid w:val="7CA103C5"/>
    <w:rsid w:val="7CC6544B"/>
    <w:rsid w:val="7CD34A8E"/>
    <w:rsid w:val="7CD36C2D"/>
    <w:rsid w:val="7D0239FF"/>
    <w:rsid w:val="7D1379BF"/>
    <w:rsid w:val="7D2221D8"/>
    <w:rsid w:val="7D26180D"/>
    <w:rsid w:val="7D43322A"/>
    <w:rsid w:val="7D5E40CD"/>
    <w:rsid w:val="7D8717B0"/>
    <w:rsid w:val="7D891584"/>
    <w:rsid w:val="7DB724E7"/>
    <w:rsid w:val="7DBA1B2D"/>
    <w:rsid w:val="7DBB3340"/>
    <w:rsid w:val="7DBC2663"/>
    <w:rsid w:val="7DC728FC"/>
    <w:rsid w:val="7DCD56F2"/>
    <w:rsid w:val="7DD763EB"/>
    <w:rsid w:val="7DE62533"/>
    <w:rsid w:val="7E0443AD"/>
    <w:rsid w:val="7E154BC6"/>
    <w:rsid w:val="7E27146E"/>
    <w:rsid w:val="7E292D8B"/>
    <w:rsid w:val="7E2A2A0B"/>
    <w:rsid w:val="7E5A7F38"/>
    <w:rsid w:val="7E5C49B0"/>
    <w:rsid w:val="7E6D084A"/>
    <w:rsid w:val="7E7C2E67"/>
    <w:rsid w:val="7E8954F7"/>
    <w:rsid w:val="7EA36676"/>
    <w:rsid w:val="7EA62B29"/>
    <w:rsid w:val="7ECC1065"/>
    <w:rsid w:val="7ED80C92"/>
    <w:rsid w:val="7EE91127"/>
    <w:rsid w:val="7EF3335E"/>
    <w:rsid w:val="7EFF79CE"/>
    <w:rsid w:val="7F001CE7"/>
    <w:rsid w:val="7F1E3F4E"/>
    <w:rsid w:val="7F294B2C"/>
    <w:rsid w:val="7F300050"/>
    <w:rsid w:val="7F382028"/>
    <w:rsid w:val="7F3D1F10"/>
    <w:rsid w:val="7F4D0390"/>
    <w:rsid w:val="7F5F5006"/>
    <w:rsid w:val="7F6B2194"/>
    <w:rsid w:val="7F7123CF"/>
    <w:rsid w:val="7F8B421F"/>
    <w:rsid w:val="7FBC53A6"/>
    <w:rsid w:val="7FD01635"/>
    <w:rsid w:val="7FE17456"/>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qFormat="1" w:unhideWhenUsed="0" w:uiPriority="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qFormat="1"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iPriority="99"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39" w:semiHidden="0" w:name="Table Grid"/>
    <w:lsdException w:uiPriority="0" w:name="Table Theme" w:locked="1"/>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locked/>
    <w:uiPriority w:val="99"/>
    <w:pPr>
      <w:keepNext/>
      <w:overflowPunct w:val="0"/>
      <w:snapToGrid w:val="0"/>
      <w:spacing w:before="120" w:after="160" w:line="360" w:lineRule="auto"/>
      <w:ind w:left="432" w:hanging="432"/>
      <w:outlineLvl w:val="0"/>
    </w:pPr>
    <w:rPr>
      <w:b/>
      <w:bCs/>
      <w:color w:val="000000"/>
      <w:kern w:val="44"/>
      <w:sz w:val="21"/>
      <w:szCs w:val="30"/>
    </w:rPr>
  </w:style>
  <w:style w:type="paragraph" w:styleId="3">
    <w:name w:val="heading 2"/>
    <w:basedOn w:val="1"/>
    <w:next w:val="1"/>
    <w:unhideWhenUsed/>
    <w:qFormat/>
    <w:locked/>
    <w:uiPriority w:val="0"/>
    <w:pPr>
      <w:keepNext/>
      <w:keepLines/>
      <w:spacing w:before="260" w:after="260" w:line="360" w:lineRule="auto"/>
      <w:outlineLvl w:val="1"/>
    </w:pPr>
    <w:rPr>
      <w:rFonts w:ascii="Arial" w:hAnsi="Arial"/>
      <w:b/>
      <w:sz w:val="21"/>
    </w:rPr>
  </w:style>
  <w:style w:type="paragraph" w:styleId="4">
    <w:name w:val="heading 3"/>
    <w:basedOn w:val="1"/>
    <w:next w:val="1"/>
    <w:unhideWhenUsed/>
    <w:qFormat/>
    <w:locked/>
    <w:uiPriority w:val="0"/>
    <w:pPr>
      <w:keepNext/>
      <w:keepLines/>
      <w:spacing w:before="260" w:after="260" w:line="360" w:lineRule="auto"/>
      <w:outlineLvl w:val="2"/>
    </w:pPr>
    <w:rPr>
      <w:b/>
    </w:rPr>
  </w:style>
  <w:style w:type="paragraph" w:styleId="5">
    <w:name w:val="heading 4"/>
    <w:basedOn w:val="1"/>
    <w:next w:val="1"/>
    <w:qFormat/>
    <w:locked/>
    <w:uiPriority w:val="0"/>
    <w:pPr>
      <w:keepNext/>
      <w:spacing w:line="440" w:lineRule="exact"/>
      <w:outlineLvl w:val="3"/>
    </w:pPr>
    <w:rPr>
      <w:kern w:val="0"/>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qFormat/>
    <w:locked/>
    <w:uiPriority w:val="0"/>
    <w:pPr>
      <w:ind w:firstLine="420"/>
    </w:pPr>
  </w:style>
  <w:style w:type="paragraph" w:styleId="7">
    <w:name w:val="caption"/>
    <w:basedOn w:val="1"/>
    <w:next w:val="1"/>
    <w:unhideWhenUsed/>
    <w:qFormat/>
    <w:locked/>
    <w:uiPriority w:val="0"/>
    <w:rPr>
      <w:rFonts w:ascii="Arial" w:hAnsi="Arial" w:eastAsia="黑体" w:cs="Arial"/>
      <w:sz w:val="20"/>
    </w:rPr>
  </w:style>
  <w:style w:type="paragraph" w:styleId="8">
    <w:name w:val="Document Map"/>
    <w:basedOn w:val="1"/>
    <w:link w:val="67"/>
    <w:qFormat/>
    <w:locked/>
    <w:uiPriority w:val="0"/>
    <w:rPr>
      <w:rFonts w:ascii="宋体"/>
      <w:sz w:val="18"/>
      <w:szCs w:val="18"/>
    </w:rPr>
  </w:style>
  <w:style w:type="paragraph" w:styleId="9">
    <w:name w:val="annotation text"/>
    <w:basedOn w:val="1"/>
    <w:next w:val="1"/>
    <w:link w:val="41"/>
    <w:semiHidden/>
    <w:qFormat/>
    <w:uiPriority w:val="0"/>
    <w:pPr>
      <w:jc w:val="left"/>
    </w:pPr>
    <w:rPr>
      <w:kern w:val="0"/>
      <w:szCs w:val="20"/>
    </w:rPr>
  </w:style>
  <w:style w:type="paragraph" w:styleId="10">
    <w:name w:val="Body Text"/>
    <w:basedOn w:val="1"/>
    <w:next w:val="11"/>
    <w:link w:val="42"/>
    <w:qFormat/>
    <w:uiPriority w:val="0"/>
    <w:pPr>
      <w:widowControl/>
      <w:snapToGrid w:val="0"/>
      <w:spacing w:before="60" w:after="160" w:line="259" w:lineRule="auto"/>
      <w:ind w:right="113"/>
    </w:pPr>
    <w:rPr>
      <w:kern w:val="0"/>
      <w:sz w:val="18"/>
      <w:szCs w:val="20"/>
    </w:rPr>
  </w:style>
  <w:style w:type="paragraph" w:styleId="11">
    <w:name w:val="List Bullet 5"/>
    <w:basedOn w:val="1"/>
    <w:qFormat/>
    <w:locked/>
    <w:uiPriority w:val="0"/>
    <w:pPr>
      <w:numPr>
        <w:ilvl w:val="0"/>
        <w:numId w:val="1"/>
      </w:numPr>
    </w:pPr>
  </w:style>
  <w:style w:type="paragraph" w:styleId="12">
    <w:name w:val="Body Text Indent"/>
    <w:basedOn w:val="1"/>
    <w:next w:val="1"/>
    <w:link w:val="40"/>
    <w:qFormat/>
    <w:uiPriority w:val="0"/>
    <w:pPr>
      <w:spacing w:after="120"/>
      <w:ind w:left="420" w:leftChars="200"/>
    </w:pPr>
    <w:rPr>
      <w:kern w:val="0"/>
      <w:szCs w:val="20"/>
    </w:rPr>
  </w:style>
  <w:style w:type="paragraph" w:styleId="13">
    <w:name w:val="Plain Text"/>
    <w:basedOn w:val="1"/>
    <w:qFormat/>
    <w:locked/>
    <w:uiPriority w:val="0"/>
    <w:rPr>
      <w:rFonts w:ascii="宋体" w:hAnsi="Courier New" w:cs="Courier New"/>
      <w:sz w:val="21"/>
      <w:szCs w:val="21"/>
    </w:rPr>
  </w:style>
  <w:style w:type="paragraph" w:styleId="14">
    <w:name w:val="Date"/>
    <w:basedOn w:val="1"/>
    <w:next w:val="1"/>
    <w:link w:val="43"/>
    <w:qFormat/>
    <w:uiPriority w:val="0"/>
    <w:pPr>
      <w:ind w:left="100" w:leftChars="2500"/>
    </w:pPr>
    <w:rPr>
      <w:kern w:val="0"/>
      <w:szCs w:val="20"/>
    </w:rPr>
  </w:style>
  <w:style w:type="paragraph" w:styleId="15">
    <w:name w:val="Body Text Indent 2"/>
    <w:basedOn w:val="1"/>
    <w:qFormat/>
    <w:locked/>
    <w:uiPriority w:val="0"/>
    <w:pPr>
      <w:spacing w:after="120" w:line="480" w:lineRule="auto"/>
      <w:ind w:left="420" w:leftChars="200"/>
    </w:pPr>
    <w:rPr>
      <w:rFonts w:ascii="宋体" w:hAnsi="宋体"/>
      <w:color w:val="000000"/>
      <w:sz w:val="28"/>
      <w:szCs w:val="28"/>
    </w:rPr>
  </w:style>
  <w:style w:type="paragraph" w:styleId="16">
    <w:name w:val="endnote text"/>
    <w:basedOn w:val="1"/>
    <w:qFormat/>
    <w:locked/>
    <w:uiPriority w:val="0"/>
    <w:pPr>
      <w:snapToGrid w:val="0"/>
      <w:jc w:val="left"/>
    </w:pPr>
  </w:style>
  <w:style w:type="paragraph" w:styleId="17">
    <w:name w:val="Balloon Text"/>
    <w:basedOn w:val="1"/>
    <w:link w:val="44"/>
    <w:semiHidden/>
    <w:qFormat/>
    <w:uiPriority w:val="0"/>
    <w:rPr>
      <w:kern w:val="0"/>
      <w:sz w:val="18"/>
      <w:szCs w:val="20"/>
    </w:rPr>
  </w:style>
  <w:style w:type="paragraph" w:styleId="18">
    <w:name w:val="footer"/>
    <w:basedOn w:val="1"/>
    <w:link w:val="45"/>
    <w:qFormat/>
    <w:uiPriority w:val="99"/>
    <w:pPr>
      <w:tabs>
        <w:tab w:val="center" w:pos="4153"/>
        <w:tab w:val="right" w:pos="8306"/>
      </w:tabs>
      <w:snapToGrid w:val="0"/>
      <w:jc w:val="left"/>
    </w:pPr>
    <w:rPr>
      <w:kern w:val="0"/>
      <w:sz w:val="18"/>
      <w:szCs w:val="20"/>
    </w:rPr>
  </w:style>
  <w:style w:type="paragraph" w:styleId="19">
    <w:name w:val="header"/>
    <w:basedOn w:val="1"/>
    <w:link w:val="68"/>
    <w:qFormat/>
    <w:uiPriority w:val="0"/>
    <w:pPr>
      <w:pBdr>
        <w:bottom w:val="single" w:color="auto" w:sz="6" w:space="1"/>
      </w:pBdr>
      <w:tabs>
        <w:tab w:val="center" w:pos="4153"/>
        <w:tab w:val="right" w:pos="8306"/>
      </w:tabs>
      <w:snapToGrid w:val="0"/>
      <w:jc w:val="center"/>
    </w:pPr>
    <w:rPr>
      <w:kern w:val="0"/>
      <w:sz w:val="18"/>
      <w:szCs w:val="20"/>
    </w:rPr>
  </w:style>
  <w:style w:type="paragraph" w:styleId="20">
    <w:name w:val="toc 2"/>
    <w:basedOn w:val="1"/>
    <w:next w:val="1"/>
    <w:semiHidden/>
    <w:qFormat/>
    <w:locked/>
    <w:uiPriority w:val="0"/>
    <w:pPr>
      <w:ind w:left="210"/>
      <w:jc w:val="left"/>
    </w:pPr>
    <w:rPr>
      <w:smallCaps/>
      <w:sz w:val="20"/>
      <w:szCs w:val="20"/>
    </w:rPr>
  </w:style>
  <w:style w:type="paragraph" w:styleId="21">
    <w:name w:val="Normal (Web)"/>
    <w:basedOn w:val="1"/>
    <w:link w:val="47"/>
    <w:qFormat/>
    <w:uiPriority w:val="0"/>
    <w:pPr>
      <w:widowControl/>
      <w:spacing w:before="100" w:beforeAutospacing="1" w:after="100" w:afterAutospacing="1"/>
      <w:jc w:val="left"/>
    </w:pPr>
    <w:rPr>
      <w:rFonts w:ascii="宋体" w:hAnsi="宋体"/>
      <w:kern w:val="0"/>
      <w:szCs w:val="20"/>
    </w:rPr>
  </w:style>
  <w:style w:type="paragraph" w:styleId="22">
    <w:name w:val="annotation subject"/>
    <w:basedOn w:val="9"/>
    <w:next w:val="9"/>
    <w:link w:val="48"/>
    <w:semiHidden/>
    <w:qFormat/>
    <w:uiPriority w:val="0"/>
    <w:rPr>
      <w:b/>
    </w:rPr>
  </w:style>
  <w:style w:type="paragraph" w:styleId="23">
    <w:name w:val="Body Text First Indent"/>
    <w:basedOn w:val="10"/>
    <w:next w:val="1"/>
    <w:qFormat/>
    <w:locked/>
    <w:uiPriority w:val="0"/>
    <w:pPr>
      <w:ind w:firstLine="420" w:firstLineChars="100"/>
    </w:pPr>
  </w:style>
  <w:style w:type="paragraph" w:styleId="24">
    <w:name w:val="Body Text First Indent 2"/>
    <w:basedOn w:val="12"/>
    <w:next w:val="1"/>
    <w:unhideWhenUsed/>
    <w:qFormat/>
    <w:locked/>
    <w:uiPriority w:val="99"/>
    <w:pPr>
      <w:ind w:firstLine="420"/>
    </w:pPr>
  </w:style>
  <w:style w:type="table" w:styleId="26">
    <w:name w:val="Table Grid"/>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locked/>
    <w:uiPriority w:val="0"/>
    <w:rPr>
      <w:rFonts w:cs="Times New Roman"/>
      <w:b/>
      <w:bCs/>
    </w:rPr>
  </w:style>
  <w:style w:type="character" w:styleId="29">
    <w:name w:val="page number"/>
    <w:basedOn w:val="27"/>
    <w:qFormat/>
    <w:locked/>
    <w:uiPriority w:val="0"/>
    <w:rPr>
      <w:rFonts w:hint="default" w:ascii="Times New Roman" w:hAnsi="Times New Roman" w:cs="Times New Roman"/>
    </w:rPr>
  </w:style>
  <w:style w:type="character" w:styleId="30">
    <w:name w:val="FollowedHyperlink"/>
    <w:basedOn w:val="27"/>
    <w:qFormat/>
    <w:locked/>
    <w:uiPriority w:val="0"/>
    <w:rPr>
      <w:color w:val="954F72"/>
      <w:u w:val="single"/>
    </w:rPr>
  </w:style>
  <w:style w:type="character" w:styleId="31">
    <w:name w:val="Emphasis"/>
    <w:basedOn w:val="27"/>
    <w:qFormat/>
    <w:locked/>
    <w:uiPriority w:val="0"/>
    <w:rPr>
      <w:i/>
    </w:rPr>
  </w:style>
  <w:style w:type="character" w:styleId="32">
    <w:name w:val="Hyperlink"/>
    <w:basedOn w:val="27"/>
    <w:qFormat/>
    <w:locked/>
    <w:uiPriority w:val="0"/>
    <w:rPr>
      <w:color w:val="0000FF"/>
      <w:u w:val="single"/>
    </w:rPr>
  </w:style>
  <w:style w:type="character" w:styleId="33">
    <w:name w:val="annotation reference"/>
    <w:basedOn w:val="27"/>
    <w:semiHidden/>
    <w:qFormat/>
    <w:uiPriority w:val="0"/>
    <w:rPr>
      <w:sz w:val="21"/>
    </w:rPr>
  </w:style>
  <w:style w:type="paragraph" w:customStyle="1" w:styleId="34">
    <w:name w:val="Default"/>
    <w:basedOn w:val="35"/>
    <w:next w:val="36"/>
    <w:qFormat/>
    <w:uiPriority w:val="0"/>
    <w:pPr>
      <w:adjustRightInd w:val="0"/>
    </w:pPr>
    <w:rPr>
      <w:rFonts w:ascii="仿宋_GB2312" w:hAnsi="Calibri" w:eastAsia="仿宋_GB2312"/>
      <w:color w:val="000000"/>
      <w:szCs w:val="22"/>
      <w:lang w:val="en-US"/>
    </w:rPr>
  </w:style>
  <w:style w:type="paragraph" w:customStyle="1" w:styleId="35">
    <w:name w:val="文本"/>
    <w:basedOn w:val="1"/>
    <w:next w:val="1"/>
    <w:qFormat/>
    <w:uiPriority w:val="0"/>
    <w:pPr>
      <w:autoSpaceDE w:val="0"/>
      <w:autoSpaceDN w:val="0"/>
      <w:ind w:firstLine="480"/>
    </w:pPr>
    <w:rPr>
      <w:lang w:val="zh-CN"/>
    </w:rPr>
  </w:style>
  <w:style w:type="paragraph" w:customStyle="1" w:styleId="36">
    <w:name w:val="表格文字"/>
    <w:basedOn w:val="10"/>
    <w:next w:val="1"/>
    <w:qFormat/>
    <w:uiPriority w:val="0"/>
    <w:pPr>
      <w:jc w:val="center"/>
    </w:pPr>
  </w:style>
  <w:style w:type="paragraph" w:customStyle="1" w:styleId="37">
    <w:name w:val="xl27"/>
    <w:basedOn w:val="1"/>
    <w:next w:val="9"/>
    <w:qFormat/>
    <w:uiPriority w:val="0"/>
    <w:pPr>
      <w:widowControl/>
      <w:spacing w:before="280" w:after="280"/>
      <w:jc w:val="center"/>
    </w:pPr>
    <w:rPr>
      <w:rFonts w:hAnsi="宋体" w:cs="宋体"/>
      <w:sz w:val="21"/>
    </w:rPr>
  </w:style>
  <w:style w:type="paragraph" w:customStyle="1" w:styleId="38">
    <w:name w:val="我正文"/>
    <w:basedOn w:val="1"/>
    <w:qFormat/>
    <w:uiPriority w:val="0"/>
    <w:pPr>
      <w:tabs>
        <w:tab w:val="left" w:pos="547"/>
        <w:tab w:val="left" w:pos="1080"/>
        <w:tab w:val="center" w:pos="4320"/>
        <w:tab w:val="right" w:pos="8550"/>
      </w:tabs>
      <w:wordWrap w:val="0"/>
      <w:adjustRightInd w:val="0"/>
      <w:snapToGrid w:val="0"/>
      <w:spacing w:line="500" w:lineRule="atLeast"/>
      <w:ind w:firstLine="200" w:firstLineChars="200"/>
      <w:jc w:val="left"/>
    </w:pPr>
    <w:rPr>
      <w:szCs w:val="20"/>
    </w:rPr>
  </w:style>
  <w:style w:type="paragraph" w:customStyle="1" w:styleId="39">
    <w:name w:val="[1]正文"/>
    <w:basedOn w:val="1"/>
    <w:qFormat/>
    <w:uiPriority w:val="0"/>
    <w:pPr>
      <w:widowControl/>
      <w:snapToGrid w:val="0"/>
      <w:spacing w:line="360" w:lineRule="auto"/>
      <w:ind w:firstLine="200" w:firstLineChars="200"/>
      <w:jc w:val="left"/>
    </w:pPr>
    <w:rPr>
      <w:rFonts w:ascii="Calibri" w:hAnsi="Calibri"/>
      <w:kern w:val="0"/>
      <w:szCs w:val="28"/>
    </w:rPr>
  </w:style>
  <w:style w:type="character" w:customStyle="1" w:styleId="40">
    <w:name w:val="正文文本缩进 字符"/>
    <w:link w:val="12"/>
    <w:semiHidden/>
    <w:qFormat/>
    <w:locked/>
    <w:uiPriority w:val="0"/>
    <w:rPr>
      <w:rFonts w:ascii="Times New Roman" w:hAnsi="Times New Roman" w:eastAsia="宋体"/>
      <w:sz w:val="24"/>
    </w:rPr>
  </w:style>
  <w:style w:type="character" w:customStyle="1" w:styleId="41">
    <w:name w:val="批注文字 字符"/>
    <w:link w:val="9"/>
    <w:qFormat/>
    <w:locked/>
    <w:uiPriority w:val="0"/>
    <w:rPr>
      <w:rFonts w:ascii="Times New Roman" w:hAnsi="Times New Roman" w:eastAsia="宋体"/>
      <w:sz w:val="24"/>
    </w:rPr>
  </w:style>
  <w:style w:type="character" w:customStyle="1" w:styleId="42">
    <w:name w:val="正文文本 字符"/>
    <w:link w:val="10"/>
    <w:qFormat/>
    <w:locked/>
    <w:uiPriority w:val="0"/>
    <w:rPr>
      <w:sz w:val="18"/>
    </w:rPr>
  </w:style>
  <w:style w:type="character" w:customStyle="1" w:styleId="43">
    <w:name w:val="日期 字符1"/>
    <w:link w:val="14"/>
    <w:qFormat/>
    <w:locked/>
    <w:uiPriority w:val="0"/>
    <w:rPr>
      <w:rFonts w:ascii="Times New Roman" w:hAnsi="Times New Roman" w:eastAsia="宋体"/>
      <w:sz w:val="24"/>
    </w:rPr>
  </w:style>
  <w:style w:type="character" w:customStyle="1" w:styleId="44">
    <w:name w:val="批注框文本 字符"/>
    <w:link w:val="17"/>
    <w:semiHidden/>
    <w:qFormat/>
    <w:locked/>
    <w:uiPriority w:val="0"/>
    <w:rPr>
      <w:rFonts w:ascii="Times New Roman" w:hAnsi="Times New Roman" w:eastAsia="宋体"/>
      <w:sz w:val="18"/>
    </w:rPr>
  </w:style>
  <w:style w:type="character" w:customStyle="1" w:styleId="45">
    <w:name w:val="页脚 字符1"/>
    <w:link w:val="18"/>
    <w:qFormat/>
    <w:locked/>
    <w:uiPriority w:val="99"/>
    <w:rPr>
      <w:sz w:val="18"/>
    </w:rPr>
  </w:style>
  <w:style w:type="character" w:customStyle="1" w:styleId="46">
    <w:name w:val="页眉 Char"/>
    <w:qFormat/>
    <w:locked/>
    <w:uiPriority w:val="0"/>
    <w:rPr>
      <w:sz w:val="18"/>
    </w:rPr>
  </w:style>
  <w:style w:type="character" w:customStyle="1" w:styleId="47">
    <w:name w:val="普通(网站) 字符"/>
    <w:link w:val="21"/>
    <w:qFormat/>
    <w:locked/>
    <w:uiPriority w:val="0"/>
    <w:rPr>
      <w:rFonts w:ascii="宋体" w:hAnsi="宋体" w:eastAsia="宋体"/>
      <w:sz w:val="24"/>
    </w:rPr>
  </w:style>
  <w:style w:type="character" w:customStyle="1" w:styleId="48">
    <w:name w:val="批注主题 字符"/>
    <w:link w:val="22"/>
    <w:semiHidden/>
    <w:qFormat/>
    <w:locked/>
    <w:uiPriority w:val="0"/>
    <w:rPr>
      <w:rFonts w:ascii="Times New Roman" w:hAnsi="Times New Roman" w:eastAsia="宋体"/>
      <w:b/>
      <w:kern w:val="2"/>
      <w:sz w:val="24"/>
    </w:rPr>
  </w:style>
  <w:style w:type="character" w:customStyle="1" w:styleId="49">
    <w:name w:val="页脚 字符"/>
    <w:basedOn w:val="27"/>
    <w:qFormat/>
    <w:uiPriority w:val="99"/>
  </w:style>
  <w:style w:type="character" w:customStyle="1" w:styleId="50">
    <w:name w:val="正文文本 字符1"/>
    <w:semiHidden/>
    <w:qFormat/>
    <w:uiPriority w:val="0"/>
    <w:rPr>
      <w:rFonts w:ascii="Times New Roman" w:hAnsi="Times New Roman" w:eastAsia="宋体"/>
      <w:sz w:val="24"/>
    </w:rPr>
  </w:style>
  <w:style w:type="character" w:customStyle="1" w:styleId="51">
    <w:name w:val="表格 Char"/>
    <w:link w:val="52"/>
    <w:qFormat/>
    <w:locked/>
    <w:uiPriority w:val="0"/>
    <w:rPr>
      <w:rFonts w:ascii="宋体"/>
      <w:sz w:val="21"/>
    </w:rPr>
  </w:style>
  <w:style w:type="paragraph" w:customStyle="1" w:styleId="52">
    <w:name w:val="表格"/>
    <w:basedOn w:val="7"/>
    <w:next w:val="1"/>
    <w:link w:val="51"/>
    <w:qFormat/>
    <w:uiPriority w:val="0"/>
    <w:pPr>
      <w:adjustRightInd w:val="0"/>
      <w:snapToGrid w:val="0"/>
      <w:spacing w:beforeLines="10" w:afterLines="10" w:line="259" w:lineRule="auto"/>
      <w:jc w:val="center"/>
    </w:pPr>
    <w:rPr>
      <w:rFonts w:ascii="宋体"/>
      <w:kern w:val="0"/>
      <w:szCs w:val="20"/>
    </w:rPr>
  </w:style>
  <w:style w:type="character" w:customStyle="1" w:styleId="53">
    <w:name w:val="日期 字符"/>
    <w:semiHidden/>
    <w:qFormat/>
    <w:uiPriority w:val="0"/>
    <w:rPr>
      <w:rFonts w:ascii="Times New Roman" w:hAnsi="Times New Roman" w:eastAsia="宋体"/>
      <w:sz w:val="24"/>
    </w:rPr>
  </w:style>
  <w:style w:type="character" w:customStyle="1" w:styleId="54">
    <w:name w:val="批注文字 字符1"/>
    <w:semiHidden/>
    <w:qFormat/>
    <w:uiPriority w:val="0"/>
    <w:rPr>
      <w:rFonts w:ascii="Times New Roman" w:hAnsi="Times New Roman" w:eastAsia="宋体"/>
      <w:sz w:val="24"/>
    </w:rPr>
  </w:style>
  <w:style w:type="paragraph" w:customStyle="1" w:styleId="55">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
    <w:name w:val="普通(网站)2"/>
    <w:basedOn w:val="1"/>
    <w:qFormat/>
    <w:uiPriority w:val="0"/>
    <w:pPr>
      <w:widowControl/>
      <w:spacing w:before="100" w:beforeAutospacing="1" w:after="100" w:afterAutospacing="1"/>
      <w:jc w:val="left"/>
    </w:pPr>
    <w:rPr>
      <w:rFonts w:ascii="宋体" w:hAnsi="宋体"/>
      <w:szCs w:val="20"/>
    </w:rPr>
  </w:style>
  <w:style w:type="paragraph" w:styleId="57">
    <w:name w:val="No Spacing"/>
    <w:qFormat/>
    <w:uiPriority w:val="1"/>
    <w:pPr>
      <w:jc w:val="center"/>
    </w:pPr>
    <w:rPr>
      <w:rFonts w:ascii="Calibri" w:hAnsi="Calibri" w:eastAsia="宋体" w:cs="Times New Roman"/>
      <w:kern w:val="2"/>
      <w:sz w:val="24"/>
      <w:szCs w:val="22"/>
      <w:lang w:val="en-US" w:eastAsia="zh-CN" w:bidi="ar-SA"/>
    </w:rPr>
  </w:style>
  <w:style w:type="paragraph" w:customStyle="1" w:styleId="58">
    <w:name w:val="a表内"/>
    <w:qFormat/>
    <w:uiPriority w:val="0"/>
    <w:pPr>
      <w:jc w:val="center"/>
    </w:pPr>
    <w:rPr>
      <w:rFonts w:ascii="Calibri" w:hAnsi="Calibri" w:eastAsia="宋体" w:cs="Times New Roman"/>
      <w:sz w:val="21"/>
      <w:szCs w:val="24"/>
      <w:lang w:val="en-US" w:eastAsia="zh-CN" w:bidi="ar-SA"/>
    </w:rPr>
  </w:style>
  <w:style w:type="paragraph" w:customStyle="1" w:styleId="59">
    <w:name w:val="表格内文字格式"/>
    <w:basedOn w:val="1"/>
    <w:qFormat/>
    <w:uiPriority w:val="99"/>
    <w:pPr>
      <w:jc w:val="center"/>
    </w:pPr>
    <w:rPr>
      <w:rFonts w:cs="Arial"/>
      <w:bCs/>
      <w:kern w:val="10"/>
      <w:sz w:val="21"/>
      <w:szCs w:val="21"/>
    </w:rPr>
  </w:style>
  <w:style w:type="paragraph" w:customStyle="1" w:styleId="60">
    <w:name w:val="表头  样式18"/>
    <w:basedOn w:val="1"/>
    <w:qFormat/>
    <w:uiPriority w:val="99"/>
    <w:pPr>
      <w:jc w:val="center"/>
    </w:pPr>
    <w:rPr>
      <w:kern w:val="0"/>
      <w:szCs w:val="20"/>
    </w:rPr>
  </w:style>
  <w:style w:type="paragraph" w:customStyle="1" w:styleId="61">
    <w:name w:val="样式 正文wjh + 首行缩进:  0.99 厘米 段前: 18 磅"/>
    <w:basedOn w:val="1"/>
    <w:qFormat/>
    <w:uiPriority w:val="0"/>
    <w:pPr>
      <w:spacing w:line="360" w:lineRule="auto"/>
      <w:ind w:firstLine="561"/>
      <w:jc w:val="left"/>
    </w:pPr>
    <w:rPr>
      <w:rFonts w:ascii="Calibri" w:hAnsi="Calibri" w:cs="宋体"/>
    </w:rPr>
  </w:style>
  <w:style w:type="paragraph" w:customStyle="1" w:styleId="62">
    <w:name w:val="Table Paragraph"/>
    <w:basedOn w:val="1"/>
    <w:qFormat/>
    <w:uiPriority w:val="1"/>
    <w:pPr>
      <w:autoSpaceDE w:val="0"/>
      <w:autoSpaceDN w:val="0"/>
      <w:jc w:val="center"/>
    </w:pPr>
    <w:rPr>
      <w:rFonts w:ascii="宋体" w:hAnsi="宋体" w:cs="宋体"/>
      <w:kern w:val="0"/>
      <w:sz w:val="22"/>
      <w:szCs w:val="22"/>
      <w:lang w:eastAsia="en-US"/>
    </w:rPr>
  </w:style>
  <w:style w:type="paragraph" w:customStyle="1" w:styleId="63">
    <w:name w:val="样式 正文缩进正文缩进2正文缩进 Char Char正文缩进 Char Char Char Char正文缩进 Char ..."/>
    <w:basedOn w:val="6"/>
    <w:qFormat/>
    <w:uiPriority w:val="0"/>
    <w:pPr>
      <w:spacing w:line="360" w:lineRule="auto"/>
      <w:ind w:firstLine="200"/>
    </w:pPr>
    <w:rPr>
      <w:rFonts w:cs="宋体"/>
    </w:rPr>
  </w:style>
  <w:style w:type="paragraph" w:customStyle="1" w:styleId="64">
    <w:name w:val="表头"/>
    <w:basedOn w:val="1"/>
    <w:qFormat/>
    <w:uiPriority w:val="0"/>
    <w:pPr>
      <w:spacing w:line="500" w:lineRule="exact"/>
      <w:jc w:val="center"/>
    </w:pPr>
    <w:rPr>
      <w:rFonts w:cs="宋体"/>
      <w:b/>
      <w:bCs/>
      <w:sz w:val="21"/>
      <w:szCs w:val="21"/>
    </w:rPr>
  </w:style>
  <w:style w:type="paragraph" w:styleId="65">
    <w:name w:val="List Paragraph"/>
    <w:basedOn w:val="1"/>
    <w:qFormat/>
    <w:uiPriority w:val="34"/>
    <w:pPr>
      <w:ind w:firstLine="420"/>
    </w:pPr>
  </w:style>
  <w:style w:type="paragraph" w:customStyle="1" w:styleId="66">
    <w:name w:val="TX-表头"/>
    <w:qFormat/>
    <w:uiPriority w:val="0"/>
    <w:pPr>
      <w:jc w:val="center"/>
    </w:pPr>
    <w:rPr>
      <w:rFonts w:ascii="Times New Roman" w:hAnsi="Times New Roman" w:eastAsia="仿宋" w:cs="Times New Roman"/>
      <w:b/>
      <w:kern w:val="2"/>
      <w:sz w:val="24"/>
      <w:szCs w:val="22"/>
      <w:lang w:val="en-US" w:eastAsia="zh-CN" w:bidi="ar-SA"/>
    </w:rPr>
  </w:style>
  <w:style w:type="character" w:customStyle="1" w:styleId="67">
    <w:name w:val="文档结构图 字符"/>
    <w:basedOn w:val="27"/>
    <w:link w:val="8"/>
    <w:qFormat/>
    <w:uiPriority w:val="0"/>
    <w:rPr>
      <w:rFonts w:ascii="宋体"/>
      <w:kern w:val="2"/>
      <w:sz w:val="18"/>
      <w:szCs w:val="18"/>
    </w:rPr>
  </w:style>
  <w:style w:type="character" w:customStyle="1" w:styleId="68">
    <w:name w:val="页眉 字符"/>
    <w:basedOn w:val="27"/>
    <w:link w:val="19"/>
    <w:qFormat/>
    <w:uiPriority w:val="0"/>
    <w:rPr>
      <w:rFonts w:hint="default" w:ascii="Arial Unicode MS" w:hAnsi="Arial Unicode MS" w:eastAsia="Arial Unicode MS" w:cs="Arial Unicode MS"/>
    </w:rPr>
  </w:style>
  <w:style w:type="paragraph" w:customStyle="1" w:styleId="69">
    <w:name w:val="表格内容"/>
    <w:basedOn w:val="1"/>
    <w:qFormat/>
    <w:uiPriority w:val="0"/>
    <w:pPr>
      <w:jc w:val="center"/>
    </w:pPr>
    <w:rPr>
      <w:sz w:val="21"/>
    </w:rPr>
  </w:style>
  <w:style w:type="paragraph" w:customStyle="1" w:styleId="70">
    <w:name w:val="样式 正文001 + 首行缩进:  2 字符1"/>
    <w:basedOn w:val="71"/>
    <w:qFormat/>
    <w:uiPriority w:val="0"/>
    <w:pPr>
      <w:spacing w:line="500" w:lineRule="atLeast"/>
      <w:ind w:firstLine="480" w:firstLineChars="200"/>
    </w:pPr>
    <w:rPr>
      <w:rFonts w:cs="宋体"/>
      <w:sz w:val="24"/>
    </w:rPr>
  </w:style>
  <w:style w:type="paragraph" w:customStyle="1" w:styleId="71">
    <w:name w:val="正文001"/>
    <w:basedOn w:val="1"/>
    <w:qFormat/>
    <w:uiPriority w:val="0"/>
    <w:pPr>
      <w:spacing w:before="60" w:line="460" w:lineRule="exact"/>
      <w:ind w:firstLine="555"/>
    </w:pPr>
    <w:rPr>
      <w:sz w:val="27"/>
    </w:rPr>
  </w:style>
  <w:style w:type="character" w:customStyle="1" w:styleId="72">
    <w:name w:val="apple-converted-space"/>
    <w:basedOn w:val="27"/>
    <w:qFormat/>
    <w:uiPriority w:val="0"/>
    <w:rPr>
      <w:rFonts w:hint="default" w:ascii="Times New Roman" w:hAnsi="Times New Roman" w:cs="Times New Roman"/>
    </w:rPr>
  </w:style>
  <w:style w:type="paragraph" w:customStyle="1" w:styleId="73">
    <w:name w:val="hdy"/>
    <w:basedOn w:val="1"/>
    <w:qFormat/>
    <w:uiPriority w:val="0"/>
    <w:pPr>
      <w:adjustRightInd w:val="0"/>
      <w:snapToGrid w:val="0"/>
      <w:spacing w:line="500" w:lineRule="exact"/>
      <w:ind w:firstLine="200" w:firstLineChars="200"/>
    </w:pPr>
    <w:rPr>
      <w:rFonts w:ascii="MS Serif" w:hAnsi="MS Serif"/>
      <w:bCs/>
      <w:color w:val="0000FF"/>
    </w:rPr>
  </w:style>
  <w:style w:type="paragraph" w:customStyle="1" w:styleId="74">
    <w:name w:val="文章正文"/>
    <w:basedOn w:val="1"/>
    <w:qFormat/>
    <w:uiPriority w:val="0"/>
    <w:pPr>
      <w:spacing w:line="440" w:lineRule="exact"/>
      <w:ind w:firstLine="600" w:firstLineChars="200"/>
    </w:pPr>
    <w:rPr>
      <w:rFonts w:ascii="Calibri" w:hAnsi="Calibri"/>
      <w:kern w:val="0"/>
    </w:rPr>
  </w:style>
  <w:style w:type="paragraph" w:customStyle="1" w:styleId="75">
    <w:name w:val="0正文"/>
    <w:basedOn w:val="1"/>
    <w:qFormat/>
    <w:uiPriority w:val="0"/>
    <w:pPr>
      <w:spacing w:line="440" w:lineRule="exact"/>
      <w:ind w:firstLine="200" w:firstLineChars="200"/>
    </w:pPr>
    <w:rPr>
      <w:kern w:val="0"/>
    </w:rPr>
  </w:style>
  <w:style w:type="paragraph" w:customStyle="1" w:styleId="76">
    <w:name w:val="正文·"/>
    <w:basedOn w:val="1"/>
    <w:qFormat/>
    <w:uiPriority w:val="0"/>
    <w:pPr>
      <w:spacing w:line="440" w:lineRule="exact"/>
      <w:ind w:firstLine="200" w:firstLineChars="200"/>
    </w:pPr>
    <w:rPr>
      <w:kern w:val="0"/>
    </w:rPr>
  </w:style>
  <w:style w:type="character" w:customStyle="1" w:styleId="77">
    <w:name w:val="font11"/>
    <w:basedOn w:val="27"/>
    <w:qFormat/>
    <w:uiPriority w:val="0"/>
    <w:rPr>
      <w:rFonts w:hint="eastAsia" w:ascii="宋体" w:hAnsi="宋体" w:eastAsia="宋体" w:cs="宋体"/>
      <w:color w:val="000000"/>
      <w:sz w:val="21"/>
      <w:szCs w:val="21"/>
      <w:u w:val="none"/>
    </w:rPr>
  </w:style>
  <w:style w:type="paragraph" w:customStyle="1" w:styleId="78">
    <w:name w:val="LH7表头"/>
    <w:basedOn w:val="1"/>
    <w:qFormat/>
    <w:uiPriority w:val="0"/>
    <w:pPr>
      <w:jc w:val="center"/>
    </w:pPr>
    <w:rPr>
      <w:b/>
    </w:rPr>
  </w:style>
  <w:style w:type="paragraph" w:customStyle="1" w:styleId="79">
    <w:name w:val="1正文"/>
    <w:basedOn w:val="1"/>
    <w:qFormat/>
    <w:uiPriority w:val="0"/>
    <w:pPr>
      <w:spacing w:line="360" w:lineRule="auto"/>
      <w:ind w:firstLine="198" w:firstLineChars="200"/>
    </w:pPr>
  </w:style>
  <w:style w:type="paragraph" w:customStyle="1" w:styleId="80">
    <w:name w:val="●表格"/>
    <w:basedOn w:val="1"/>
    <w:qFormat/>
    <w:uiPriority w:val="0"/>
    <w:pPr>
      <w:spacing w:line="300" w:lineRule="auto"/>
      <w:jc w:val="center"/>
    </w:pPr>
    <w:rPr>
      <w:rFonts w:eastAsia="仿宋"/>
    </w:rPr>
  </w:style>
  <w:style w:type="character" w:customStyle="1" w:styleId="81">
    <w:name w:val="one"/>
    <w:basedOn w:val="27"/>
    <w:qFormat/>
    <w:uiPriority w:val="0"/>
  </w:style>
  <w:style w:type="character" w:customStyle="1" w:styleId="82">
    <w:name w:val="marginlef"/>
    <w:basedOn w:val="27"/>
    <w:qFormat/>
    <w:uiPriority w:val="0"/>
  </w:style>
  <w:style w:type="character" w:customStyle="1" w:styleId="83">
    <w:name w:val="titbg1"/>
    <w:basedOn w:val="27"/>
    <w:qFormat/>
    <w:uiPriority w:val="0"/>
    <w:rPr>
      <w:shd w:val="clear" w:color="auto" w:fill="378ED7"/>
    </w:rPr>
  </w:style>
  <w:style w:type="character" w:customStyle="1" w:styleId="84">
    <w:name w:val="three"/>
    <w:basedOn w:val="27"/>
    <w:qFormat/>
    <w:uiPriority w:val="0"/>
  </w:style>
  <w:style w:type="character" w:customStyle="1" w:styleId="85">
    <w:name w:val="two"/>
    <w:basedOn w:val="27"/>
    <w:qFormat/>
    <w:uiPriority w:val="0"/>
  </w:style>
  <w:style w:type="character" w:customStyle="1" w:styleId="86">
    <w:name w:val="advancelink"/>
    <w:basedOn w:val="27"/>
    <w:qFormat/>
    <w:uiPriority w:val="0"/>
    <w:rPr>
      <w:color w:val="295EAB"/>
    </w:rPr>
  </w:style>
  <w:style w:type="character" w:customStyle="1" w:styleId="87">
    <w:name w:val="titbg2"/>
    <w:basedOn w:val="27"/>
    <w:qFormat/>
    <w:uiPriority w:val="0"/>
    <w:rPr>
      <w:shd w:val="clear" w:color="auto" w:fill="378ED7"/>
    </w:rPr>
  </w:style>
  <w:style w:type="paragraph" w:customStyle="1" w:styleId="88">
    <w:name w:val="正文12"/>
    <w:basedOn w:val="1"/>
    <w:qFormat/>
    <w:uiPriority w:val="0"/>
    <w:pPr>
      <w:adjustRightInd w:val="0"/>
      <w:snapToGrid w:val="0"/>
      <w:spacing w:line="500" w:lineRule="atLeast"/>
      <w:ind w:firstLine="567"/>
    </w:pPr>
    <w:rPr>
      <w:sz w:val="28"/>
      <w:szCs w:val="20"/>
    </w:rPr>
  </w:style>
  <w:style w:type="paragraph" w:customStyle="1" w:styleId="89">
    <w:name w:val="样式1"/>
    <w:basedOn w:val="1"/>
    <w:qFormat/>
    <w:uiPriority w:val="0"/>
    <w:pPr>
      <w:keepNext/>
      <w:keepLines/>
      <w:outlineLvl w:val="1"/>
    </w:pPr>
    <w:rPr>
      <w:b/>
      <w:sz w:val="21"/>
    </w:rPr>
  </w:style>
  <w:style w:type="paragraph" w:customStyle="1" w:styleId="90">
    <w:name w:val="BodyText2"/>
    <w:basedOn w:val="1"/>
    <w:next w:val="1"/>
    <w:qFormat/>
    <w:uiPriority w:val="0"/>
    <w:pPr>
      <w:spacing w:after="120" w:line="480" w:lineRule="auto"/>
    </w:pPr>
  </w:style>
  <w:style w:type="paragraph" w:customStyle="1" w:styleId="91">
    <w:name w:val="样式5"/>
    <w:basedOn w:val="92"/>
    <w:qFormat/>
    <w:uiPriority w:val="0"/>
    <w:pPr>
      <w:snapToGrid w:val="0"/>
      <w:spacing w:line="360" w:lineRule="auto"/>
      <w:ind w:firstLine="510"/>
    </w:pPr>
  </w:style>
  <w:style w:type="paragraph" w:customStyle="1" w:styleId="92">
    <w:name w:val="正文1"/>
    <w:basedOn w:val="1"/>
    <w:qFormat/>
    <w:uiPriority w:val="0"/>
    <w:pPr>
      <w:adjustRightInd w:val="0"/>
    </w:pPr>
    <w:rPr>
      <w:rFonts w:ascii="宋体" w:eastAsia="楷体_GB2312"/>
    </w:rPr>
  </w:style>
  <w:style w:type="character" w:customStyle="1" w:styleId="93">
    <w:name w:val="NormalCharacter"/>
    <w:semiHidden/>
    <w:qFormat/>
    <w:uiPriority w:val="0"/>
  </w:style>
  <w:style w:type="table" w:customStyle="1" w:styleId="94">
    <w:name w:val="网格型11"/>
    <w:basedOn w:val="25"/>
    <w:qFormat/>
    <w:uiPriority w:val="0"/>
    <w:rPr>
      <w:rFonts w:ascii="Calibri" w:hAnsi="Calibri" w:cs="Calibri"/>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5">
    <w:name w:val="HP表格标题"/>
    <w:qFormat/>
    <w:uiPriority w:val="0"/>
    <w:pPr>
      <w:spacing w:line="440" w:lineRule="exact"/>
      <w:jc w:val="center"/>
    </w:pPr>
    <w:rPr>
      <w:rFonts w:ascii="Times New Roman" w:hAnsi="Times New Roman" w:eastAsia="宋体" w:cs="Times New Roman"/>
      <w:b/>
      <w:sz w:val="24"/>
      <w:szCs w:val="24"/>
      <w:lang w:val="en-US" w:eastAsia="zh-CN" w:bidi="ar-SA"/>
    </w:rPr>
  </w:style>
  <w:style w:type="paragraph" w:customStyle="1" w:styleId="96">
    <w:name w:val="表中文字"/>
    <w:basedOn w:val="13"/>
    <w:qFormat/>
    <w:uiPriority w:val="0"/>
    <w:pPr>
      <w:adjustRightInd w:val="0"/>
      <w:snapToGrid w:val="0"/>
      <w:jc w:val="center"/>
    </w:pPr>
    <w:rPr>
      <w:rFonts w:ascii="Times New Roman" w:hAnsi="Times New Roman"/>
    </w:rPr>
  </w:style>
  <w:style w:type="paragraph" w:customStyle="1" w:styleId="97">
    <w:name w:val="段落1"/>
    <w:basedOn w:val="1"/>
    <w:qFormat/>
    <w:uiPriority w:val="0"/>
    <w:pPr>
      <w:spacing w:line="480" w:lineRule="exact"/>
      <w:ind w:firstLine="200" w:firstLineChars="200"/>
    </w:pPr>
    <w:rPr>
      <w:rFonts w:eastAsia="楷体_GB2312"/>
      <w:spacing w:val="6"/>
      <w:sz w:val="28"/>
    </w:rPr>
  </w:style>
  <w:style w:type="paragraph" w:customStyle="1" w:styleId="98">
    <w:name w:val="标准正文"/>
    <w:basedOn w:val="1"/>
    <w:qFormat/>
    <w:uiPriority w:val="0"/>
    <w:pPr>
      <w:spacing w:line="360" w:lineRule="auto"/>
      <w:ind w:firstLine="200" w:firstLineChars="200"/>
    </w:pPr>
  </w:style>
  <w:style w:type="paragraph" w:customStyle="1" w:styleId="99">
    <w:name w:val="333表格"/>
    <w:basedOn w:val="1"/>
    <w:next w:val="1"/>
    <w:qFormat/>
    <w:uiPriority w:val="0"/>
    <w:pPr>
      <w:jc w:val="center"/>
    </w:pPr>
    <w:rPr>
      <w:kern w:val="0"/>
      <w:sz w:val="21"/>
      <w:szCs w:val="22"/>
    </w:rPr>
  </w:style>
  <w:style w:type="paragraph" w:customStyle="1" w:styleId="100">
    <w:name w:val="婷-正文"/>
    <w:basedOn w:val="1"/>
    <w:qFormat/>
    <w:uiPriority w:val="0"/>
    <w:pPr>
      <w:spacing w:line="360" w:lineRule="auto"/>
      <w:ind w:firstLine="560" w:firstLineChars="200"/>
    </w:pPr>
  </w:style>
  <w:style w:type="paragraph" w:customStyle="1" w:styleId="101">
    <w:name w:val="Table Text"/>
    <w:basedOn w:val="1"/>
    <w:semiHidden/>
    <w:qFormat/>
    <w:uiPriority w:val="0"/>
    <w:rPr>
      <w:rFonts w:ascii="宋体" w:hAnsi="宋体" w:cs="宋体"/>
      <w:lang w:eastAsia="en-US"/>
    </w:rPr>
  </w:style>
  <w:style w:type="table" w:customStyle="1" w:styleId="102">
    <w:name w:val="Table Normal"/>
    <w:unhideWhenUsed/>
    <w:qFormat/>
    <w:uiPriority w:val="0"/>
    <w:tblPr>
      <w:tblCellMar>
        <w:top w:w="0" w:type="dxa"/>
        <w:left w:w="0" w:type="dxa"/>
        <w:bottom w:w="0" w:type="dxa"/>
        <w:right w:w="0" w:type="dxa"/>
      </w:tblCellMar>
    </w:tblPr>
  </w:style>
  <w:style w:type="character" w:customStyle="1" w:styleId="103">
    <w:name w:val="font21"/>
    <w:basedOn w:val="27"/>
    <w:qFormat/>
    <w:uiPriority w:val="0"/>
    <w:rPr>
      <w:rFonts w:hint="eastAsia" w:ascii="宋体" w:hAnsi="宋体" w:eastAsia="宋体" w:cs="宋体"/>
      <w:color w:val="FF0000"/>
      <w:sz w:val="18"/>
      <w:szCs w:val="18"/>
      <w:u w:val="none"/>
    </w:rPr>
  </w:style>
  <w:style w:type="paragraph" w:customStyle="1" w:styleId="104">
    <w:name w:val="表格首行"/>
    <w:basedOn w:val="52"/>
    <w:next w:val="52"/>
    <w:qFormat/>
    <w:uiPriority w:val="0"/>
    <w:rPr>
      <w:b/>
    </w:rPr>
  </w:style>
  <w:style w:type="paragraph" w:customStyle="1" w:styleId="105">
    <w:name w:val="样式2"/>
    <w:basedOn w:val="89"/>
    <w:autoRedefine/>
    <w:qFormat/>
    <w:uiPriority w:val="0"/>
    <w:pPr>
      <w:pBdr>
        <w:top w:val="thickThinSmallGap" w:color="auto" w:sz="24" w:space="1"/>
      </w:pBdr>
      <w:adjustRightInd/>
      <w:snapToGrid/>
      <w:spacing w:line="240" w:lineRule="auto"/>
    </w:pPr>
    <w:rPr>
      <w:sz w:val="21"/>
    </w:rPr>
  </w:style>
  <w:style w:type="paragraph" w:customStyle="1" w:styleId="106">
    <w:name w:val="表格标题"/>
    <w:basedOn w:val="1"/>
    <w:qFormat/>
    <w:uiPriority w:val="0"/>
    <w:pPr>
      <w:spacing w:before="120" w:after="40" w:line="320" w:lineRule="exact"/>
      <w:jc w:val="center"/>
    </w:pPr>
    <w:rPr>
      <w:rFonts w:ascii="Times New Roman" w:hAnsi="Times New Roman" w:eastAsia="宋体" w:cs="Times New Roman"/>
    </w:rPr>
  </w:style>
  <w:style w:type="table" w:customStyle="1" w:styleId="107">
    <w:name w:val="网格型6"/>
    <w:basedOn w:val="25"/>
    <w:unhideWhenUsed/>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3" Type="http://schemas.microsoft.com/office/2011/relationships/people" Target="people.xml"/><Relationship Id="rId92" Type="http://schemas.openxmlformats.org/officeDocument/2006/relationships/fontTable" Target="fontTable.xml"/><Relationship Id="rId91" Type="http://schemas.openxmlformats.org/officeDocument/2006/relationships/numbering" Target="numbering.xml"/><Relationship Id="rId90" Type="http://schemas.openxmlformats.org/officeDocument/2006/relationships/customXml" Target="../customXml/item1.xml"/><Relationship Id="rId9" Type="http://schemas.openxmlformats.org/officeDocument/2006/relationships/footer" Target="footer4.xml"/><Relationship Id="rId89" Type="http://schemas.openxmlformats.org/officeDocument/2006/relationships/image" Target="media/image71.jpeg"/><Relationship Id="rId88" Type="http://schemas.openxmlformats.org/officeDocument/2006/relationships/image" Target="media/image70.jpeg"/><Relationship Id="rId87" Type="http://schemas.openxmlformats.org/officeDocument/2006/relationships/image" Target="media/image69.jpeg"/><Relationship Id="rId86" Type="http://schemas.openxmlformats.org/officeDocument/2006/relationships/image" Target="media/image68.jpeg"/><Relationship Id="rId85" Type="http://schemas.openxmlformats.org/officeDocument/2006/relationships/image" Target="media/image67.jpeg"/><Relationship Id="rId84" Type="http://schemas.openxmlformats.org/officeDocument/2006/relationships/image" Target="media/image66.jpeg"/><Relationship Id="rId83" Type="http://schemas.openxmlformats.org/officeDocument/2006/relationships/image" Target="media/image65.jpeg"/><Relationship Id="rId82" Type="http://schemas.openxmlformats.org/officeDocument/2006/relationships/image" Target="media/image64.jpeg"/><Relationship Id="rId81" Type="http://schemas.openxmlformats.org/officeDocument/2006/relationships/image" Target="media/image63.jpeg"/><Relationship Id="rId80" Type="http://schemas.openxmlformats.org/officeDocument/2006/relationships/image" Target="media/image62.jpeg"/><Relationship Id="rId8" Type="http://schemas.openxmlformats.org/officeDocument/2006/relationships/footer" Target="footer3.xml"/><Relationship Id="rId79" Type="http://schemas.openxmlformats.org/officeDocument/2006/relationships/image" Target="media/image61.jpeg"/><Relationship Id="rId78" Type="http://schemas.openxmlformats.org/officeDocument/2006/relationships/image" Target="media/image60.jpeg"/><Relationship Id="rId77" Type="http://schemas.openxmlformats.org/officeDocument/2006/relationships/image" Target="media/image59.jpeg"/><Relationship Id="rId76" Type="http://schemas.openxmlformats.org/officeDocument/2006/relationships/image" Target="media/image58.jpeg"/><Relationship Id="rId75" Type="http://schemas.openxmlformats.org/officeDocument/2006/relationships/image" Target="media/image57.jpeg"/><Relationship Id="rId74" Type="http://schemas.openxmlformats.org/officeDocument/2006/relationships/image" Target="media/image56.jpeg"/><Relationship Id="rId73" Type="http://schemas.openxmlformats.org/officeDocument/2006/relationships/image" Target="media/image55.jpeg"/><Relationship Id="rId72" Type="http://schemas.openxmlformats.org/officeDocument/2006/relationships/image" Target="media/image54.jpeg"/><Relationship Id="rId71" Type="http://schemas.openxmlformats.org/officeDocument/2006/relationships/image" Target="media/image53.jpeg"/><Relationship Id="rId70" Type="http://schemas.openxmlformats.org/officeDocument/2006/relationships/image" Target="media/image52.jpeg"/><Relationship Id="rId7" Type="http://schemas.openxmlformats.org/officeDocument/2006/relationships/footer" Target="footer2.xml"/><Relationship Id="rId69" Type="http://schemas.openxmlformats.org/officeDocument/2006/relationships/image" Target="media/image51.jpeg"/><Relationship Id="rId68" Type="http://schemas.openxmlformats.org/officeDocument/2006/relationships/image" Target="media/image50.jpeg"/><Relationship Id="rId67" Type="http://schemas.openxmlformats.org/officeDocument/2006/relationships/image" Target="media/image49.jpeg"/><Relationship Id="rId66" Type="http://schemas.openxmlformats.org/officeDocument/2006/relationships/image" Target="media/image48.jpeg"/><Relationship Id="rId65" Type="http://schemas.openxmlformats.org/officeDocument/2006/relationships/image" Target="media/image47.jpeg"/><Relationship Id="rId64" Type="http://schemas.openxmlformats.org/officeDocument/2006/relationships/image" Target="media/image46.jpeg"/><Relationship Id="rId63" Type="http://schemas.openxmlformats.org/officeDocument/2006/relationships/image" Target="media/image45.jpeg"/><Relationship Id="rId62" Type="http://schemas.openxmlformats.org/officeDocument/2006/relationships/image" Target="media/image44.jpeg"/><Relationship Id="rId61" Type="http://schemas.openxmlformats.org/officeDocument/2006/relationships/image" Target="media/image43.jpeg"/><Relationship Id="rId60" Type="http://schemas.openxmlformats.org/officeDocument/2006/relationships/image" Target="media/image42.jpeg"/><Relationship Id="rId6" Type="http://schemas.openxmlformats.org/officeDocument/2006/relationships/footer" Target="footer1.xml"/><Relationship Id="rId59" Type="http://schemas.openxmlformats.org/officeDocument/2006/relationships/image" Target="media/image41.jpeg"/><Relationship Id="rId58" Type="http://schemas.openxmlformats.org/officeDocument/2006/relationships/image" Target="media/image40.jpeg"/><Relationship Id="rId57" Type="http://schemas.openxmlformats.org/officeDocument/2006/relationships/image" Target="media/image39.jpeg"/><Relationship Id="rId56" Type="http://schemas.openxmlformats.org/officeDocument/2006/relationships/image" Target="media/image38.jpeg"/><Relationship Id="rId55" Type="http://schemas.openxmlformats.org/officeDocument/2006/relationships/image" Target="media/image37.jpeg"/><Relationship Id="rId54" Type="http://schemas.openxmlformats.org/officeDocument/2006/relationships/image" Target="media/image36.jpeg"/><Relationship Id="rId53" Type="http://schemas.openxmlformats.org/officeDocument/2006/relationships/image" Target="media/image35.jpeg"/><Relationship Id="rId52" Type="http://schemas.openxmlformats.org/officeDocument/2006/relationships/image" Target="media/image34.jpeg"/><Relationship Id="rId51" Type="http://schemas.openxmlformats.org/officeDocument/2006/relationships/image" Target="media/image33.jpeg"/><Relationship Id="rId50" Type="http://schemas.openxmlformats.org/officeDocument/2006/relationships/image" Target="media/image32.jpeg"/><Relationship Id="rId5" Type="http://schemas.openxmlformats.org/officeDocument/2006/relationships/header" Target="header1.xml"/><Relationship Id="rId49" Type="http://schemas.openxmlformats.org/officeDocument/2006/relationships/image" Target="media/image31.jpeg"/><Relationship Id="rId48" Type="http://schemas.openxmlformats.org/officeDocument/2006/relationships/image" Target="media/image30.jpeg"/><Relationship Id="rId47" Type="http://schemas.openxmlformats.org/officeDocument/2006/relationships/image" Target="media/image29.jpeg"/><Relationship Id="rId46" Type="http://schemas.openxmlformats.org/officeDocument/2006/relationships/image" Target="media/image28.jpeg"/><Relationship Id="rId45" Type="http://schemas.openxmlformats.org/officeDocument/2006/relationships/image" Target="media/image27.jpeg"/><Relationship Id="rId44" Type="http://schemas.openxmlformats.org/officeDocument/2006/relationships/image" Target="media/image26.jpeg"/><Relationship Id="rId43" Type="http://schemas.openxmlformats.org/officeDocument/2006/relationships/image" Target="media/image25.jpeg"/><Relationship Id="rId42" Type="http://schemas.openxmlformats.org/officeDocument/2006/relationships/image" Target="media/image24.jpeg"/><Relationship Id="rId41" Type="http://schemas.openxmlformats.org/officeDocument/2006/relationships/image" Target="media/image23.jpeg"/><Relationship Id="rId40" Type="http://schemas.openxmlformats.org/officeDocument/2006/relationships/image" Target="media/image22.jpeg"/><Relationship Id="rId4" Type="http://schemas.microsoft.com/office/2011/relationships/commentsExtended" Target="commentsExtended.xml"/><Relationship Id="rId39" Type="http://schemas.openxmlformats.org/officeDocument/2006/relationships/image" Target="media/image21.jpeg"/><Relationship Id="rId38" Type="http://schemas.openxmlformats.org/officeDocument/2006/relationships/image" Target="media/image20.jpe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jpeg"/><Relationship Id="rId34" Type="http://schemas.openxmlformats.org/officeDocument/2006/relationships/image" Target="media/image16.jpe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jpeg"/><Relationship Id="rId30" Type="http://schemas.openxmlformats.org/officeDocument/2006/relationships/image" Target="media/image12.jpeg"/><Relationship Id="rId3" Type="http://schemas.openxmlformats.org/officeDocument/2006/relationships/comments" Target="comments.xml"/><Relationship Id="rId29" Type="http://schemas.openxmlformats.org/officeDocument/2006/relationships/image" Target="media/image11.jpeg"/><Relationship Id="rId28" Type="http://schemas.openxmlformats.org/officeDocument/2006/relationships/image" Target="media/image10.jpeg"/><Relationship Id="rId27" Type="http://schemas.openxmlformats.org/officeDocument/2006/relationships/image" Target="media/image9.jpeg"/><Relationship Id="rId26" Type="http://schemas.openxmlformats.org/officeDocument/2006/relationships/image" Target="media/image8.jpeg"/><Relationship Id="rId25" Type="http://schemas.openxmlformats.org/officeDocument/2006/relationships/image" Target="media/image7.jpeg"/><Relationship Id="rId24" Type="http://schemas.openxmlformats.org/officeDocument/2006/relationships/image" Target="media/image6.jpeg"/><Relationship Id="rId23" Type="http://schemas.openxmlformats.org/officeDocument/2006/relationships/image" Target="media/image5.jpeg"/><Relationship Id="rId22" Type="http://schemas.openxmlformats.org/officeDocument/2006/relationships/image" Target="media/image4.wmf"/><Relationship Id="rId21" Type="http://schemas.openxmlformats.org/officeDocument/2006/relationships/oleObject" Target="embeddings/oleObject4.bin"/><Relationship Id="rId20" Type="http://schemas.openxmlformats.org/officeDocument/2006/relationships/image" Target="media/image3.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2.wmf"/><Relationship Id="rId17" Type="http://schemas.openxmlformats.org/officeDocument/2006/relationships/oleObject" Target="embeddings/oleObject2.bin"/><Relationship Id="rId16" Type="http://schemas.openxmlformats.org/officeDocument/2006/relationships/image" Target="media/image1.wmf"/><Relationship Id="rId15" Type="http://schemas.openxmlformats.org/officeDocument/2006/relationships/oleObject" Target="embeddings/oleObject1.bin"/><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124</Pages>
  <Words>138</Words>
  <Characters>164</Characters>
  <Lines>322</Lines>
  <Paragraphs>90</Paragraphs>
  <TotalTime>11</TotalTime>
  <ScaleCrop>false</ScaleCrop>
  <LinksUpToDate>false</LinksUpToDate>
  <CharactersWithSpaces>196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2026-01-15T14:47:00Z</dcterms:created>
  <dc:creator>lhj</dc:creator>
  <cp:lastModifiedBy>丫丫</cp:lastModifiedBy>
  <cp:lastPrinted>2020-12-29T02:43:00Z</cp:lastPrinted>
  <dcterms:modified xsi:type="dcterms:W3CDTF">2026-05-14T09:08:22Z</dcterms:modified>
  <dc:title>附件2</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AAD1EFDE33E94D60A757168861209BA8_13</vt:lpwstr>
  </property>
  <property fmtid="{D5CDD505-2E9C-101B-9397-08002B2CF9AE}" pid="4" name="KSOTemplateDocerSaveRecord">
    <vt:lpwstr>eyJoZGlkIjoiNGExYjg2YzIwZGU0YjFjODQxYWE0NTEzZmVkOGMzZmMiLCJ1c2VySWQiOiI1ODY0OTg3NzQifQ==</vt:lpwstr>
  </property>
</Properties>
</file>