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30413">
      <w:pPr>
        <w:keepLines w:val="0"/>
        <w:pageBreakBefore w:val="0"/>
        <w:kinsoku/>
        <w:overflowPunct/>
        <w:bidi w:val="0"/>
        <w:spacing w:afterAutospacing="0"/>
        <w:rPr>
          <w:rFonts w:ascii="Times New Roman" w:hAnsi="Times New Roman" w:eastAsia="宋体"/>
          <w:sz w:val="36"/>
          <w:szCs w:val="36"/>
        </w:rPr>
      </w:pPr>
    </w:p>
    <w:p w14:paraId="68C1F791">
      <w:pPr>
        <w:keepLines w:val="0"/>
        <w:pageBreakBefore w:val="0"/>
        <w:kinsoku/>
        <w:overflowPunct/>
        <w:bidi w:val="0"/>
        <w:spacing w:afterAutospacing="0"/>
        <w:rPr>
          <w:rFonts w:ascii="Times New Roman" w:hAnsi="Times New Roman" w:eastAsia="宋体"/>
          <w:sz w:val="36"/>
          <w:szCs w:val="36"/>
        </w:rPr>
      </w:pPr>
    </w:p>
    <w:p w14:paraId="0D9725B0">
      <w:pPr>
        <w:keepLines w:val="0"/>
        <w:pageBreakBefore w:val="0"/>
        <w:kinsoku/>
        <w:overflowPunct/>
        <w:bidi w:val="0"/>
        <w:spacing w:afterAutospacing="0"/>
        <w:rPr>
          <w:rFonts w:ascii="Times New Roman" w:hAnsi="Times New Roman" w:eastAsia="宋体"/>
          <w:sz w:val="36"/>
          <w:szCs w:val="36"/>
        </w:rPr>
      </w:pPr>
    </w:p>
    <w:p w14:paraId="0B64A3BF">
      <w:pPr>
        <w:keepLines w:val="0"/>
        <w:pageBreakBefore w:val="0"/>
        <w:kinsoku/>
        <w:overflowPunct/>
        <w:bidi w:val="0"/>
        <w:adjustRightInd w:val="0"/>
        <w:snapToGrid w:val="0"/>
        <w:spacing w:afterAutospacing="0"/>
        <w:ind w:left="0" w:leftChars="0" w:firstLine="0" w:firstLineChars="0"/>
        <w:jc w:val="center"/>
        <w:outlineLvl w:val="0"/>
        <w:rPr>
          <w:rFonts w:ascii="Times New Roman" w:hAnsi="Times New Roman" w:eastAsia="宋体"/>
          <w:bCs/>
          <w:sz w:val="72"/>
          <w:szCs w:val="72"/>
        </w:rPr>
      </w:pPr>
      <w:r>
        <w:rPr>
          <w:rFonts w:ascii="Times New Roman" w:hAnsi="Times New Roman" w:eastAsia="宋体"/>
          <w:bCs/>
          <w:sz w:val="72"/>
          <w:szCs w:val="72"/>
        </w:rPr>
        <w:t>建设项目</w:t>
      </w:r>
      <w:r>
        <w:rPr>
          <w:rFonts w:hint="eastAsia" w:ascii="Times New Roman" w:hAnsi="Times New Roman" w:eastAsia="宋体"/>
          <w:bCs/>
          <w:sz w:val="72"/>
          <w:szCs w:val="72"/>
          <w:lang w:val="en-US" w:eastAsia="zh-CN"/>
        </w:rPr>
        <w:t>生态</w:t>
      </w:r>
      <w:r>
        <w:rPr>
          <w:rFonts w:ascii="Times New Roman" w:hAnsi="Times New Roman" w:eastAsia="宋体"/>
          <w:bCs/>
          <w:sz w:val="72"/>
          <w:szCs w:val="72"/>
        </w:rPr>
        <w:t>环境影响报告表</w:t>
      </w:r>
    </w:p>
    <w:p w14:paraId="441203D4">
      <w:pPr>
        <w:keepLines w:val="0"/>
        <w:pageBreakBefore w:val="0"/>
        <w:tabs>
          <w:tab w:val="left" w:pos="2646"/>
          <w:tab w:val="center" w:pos="4482"/>
        </w:tabs>
        <w:kinsoku/>
        <w:overflowPunct/>
        <w:bidi w:val="0"/>
        <w:adjustRightInd w:val="0"/>
        <w:snapToGrid w:val="0"/>
        <w:spacing w:before="192" w:beforeLines="80" w:afterAutospacing="0"/>
        <w:jc w:val="left"/>
        <w:rPr>
          <w:rFonts w:ascii="Times New Roman" w:hAnsi="Times New Roman" w:eastAsia="宋体"/>
          <w:bCs/>
          <w:sz w:val="48"/>
          <w:szCs w:val="48"/>
        </w:rPr>
      </w:pPr>
      <w:r>
        <w:rPr>
          <w:rFonts w:ascii="Times New Roman" w:hAnsi="Times New Roman" w:eastAsia="宋体"/>
          <w:bCs/>
          <w:sz w:val="48"/>
          <w:szCs w:val="48"/>
        </w:rPr>
        <w:tab/>
      </w:r>
      <w:r>
        <w:rPr>
          <w:rFonts w:ascii="Times New Roman" w:hAnsi="Times New Roman" w:eastAsia="宋体"/>
          <w:bCs/>
          <w:sz w:val="48"/>
          <w:szCs w:val="48"/>
        </w:rPr>
        <w:tab/>
      </w:r>
      <w:r>
        <w:rPr>
          <w:rFonts w:ascii="Times New Roman" w:hAnsi="Times New Roman" w:eastAsia="宋体"/>
          <w:bCs/>
          <w:sz w:val="48"/>
          <w:szCs w:val="48"/>
        </w:rPr>
        <w:t>（污染影响类）</w:t>
      </w:r>
    </w:p>
    <w:p w14:paraId="13EB02D7">
      <w:pPr>
        <w:keepLines w:val="0"/>
        <w:pageBreakBefore w:val="0"/>
        <w:kinsoku/>
        <w:overflowPunct/>
        <w:bidi w:val="0"/>
        <w:adjustRightInd w:val="0"/>
        <w:snapToGrid w:val="0"/>
        <w:spacing w:afterAutospacing="0" w:line="288" w:lineRule="auto"/>
        <w:jc w:val="center"/>
        <w:rPr>
          <w:rFonts w:ascii="Times New Roman" w:hAnsi="Times New Roman" w:eastAsia="宋体"/>
          <w:kern w:val="44"/>
          <w:sz w:val="44"/>
          <w:szCs w:val="44"/>
        </w:rPr>
      </w:pPr>
    </w:p>
    <w:p w14:paraId="7EC00F63">
      <w:pPr>
        <w:keepLines w:val="0"/>
        <w:pageBreakBefore w:val="0"/>
        <w:kinsoku/>
        <w:overflowPunct/>
        <w:bidi w:val="0"/>
        <w:spacing w:afterAutospacing="0"/>
        <w:jc w:val="center"/>
        <w:rPr>
          <w:rFonts w:ascii="Times New Roman" w:hAnsi="Times New Roman" w:eastAsia="宋体"/>
          <w:sz w:val="52"/>
          <w:szCs w:val="52"/>
        </w:rPr>
      </w:pPr>
    </w:p>
    <w:p w14:paraId="7302B0A2">
      <w:pPr>
        <w:keepLines w:val="0"/>
        <w:pageBreakBefore w:val="0"/>
        <w:kinsoku/>
        <w:overflowPunct/>
        <w:bidi w:val="0"/>
        <w:spacing w:afterAutospacing="0"/>
        <w:ind w:firstLine="1040"/>
        <w:rPr>
          <w:rFonts w:ascii="Times New Roman" w:hAnsi="Times New Roman" w:eastAsia="宋体"/>
          <w:sz w:val="44"/>
          <w:szCs w:val="44"/>
        </w:rPr>
      </w:pPr>
    </w:p>
    <w:p w14:paraId="372361BB">
      <w:pPr>
        <w:keepLines w:val="0"/>
        <w:pageBreakBefore w:val="0"/>
        <w:kinsoku/>
        <w:overflowPunct/>
        <w:bidi w:val="0"/>
        <w:spacing w:afterAutospacing="0"/>
        <w:ind w:firstLine="1040"/>
        <w:rPr>
          <w:rFonts w:ascii="Times New Roman" w:hAnsi="Times New Roman" w:eastAsia="宋体"/>
          <w:sz w:val="44"/>
          <w:szCs w:val="44"/>
        </w:rPr>
      </w:pPr>
    </w:p>
    <w:p w14:paraId="50F5AC36">
      <w:pPr>
        <w:keepLines w:val="0"/>
        <w:pageBreakBefore w:val="0"/>
        <w:kinsoku/>
        <w:overflowPunct/>
        <w:bidi w:val="0"/>
        <w:spacing w:afterAutospacing="0"/>
        <w:ind w:firstLine="1040"/>
        <w:rPr>
          <w:rFonts w:ascii="Times New Roman" w:hAnsi="Times New Roman" w:eastAsia="宋体"/>
          <w:sz w:val="44"/>
          <w:szCs w:val="44"/>
        </w:rPr>
      </w:pPr>
    </w:p>
    <w:p w14:paraId="08EE01E3">
      <w:pPr>
        <w:keepLines w:val="0"/>
        <w:pageBreakBefore w:val="0"/>
        <w:kinsoku/>
        <w:overflowPunct/>
        <w:bidi w:val="0"/>
        <w:spacing w:afterAutospacing="0"/>
        <w:ind w:firstLine="1040"/>
        <w:rPr>
          <w:rFonts w:ascii="Times New Roman" w:hAnsi="Times New Roman" w:eastAsia="宋体"/>
          <w:sz w:val="44"/>
          <w:szCs w:val="44"/>
        </w:rPr>
      </w:pPr>
    </w:p>
    <w:p w14:paraId="46C01F09">
      <w:pPr>
        <w:keepLines w:val="0"/>
        <w:pageBreakBefore w:val="0"/>
        <w:kinsoku/>
        <w:overflowPunct/>
        <w:bidi w:val="0"/>
        <w:adjustRightInd w:val="0"/>
        <w:snapToGrid w:val="0"/>
        <w:spacing w:afterAutospacing="0" w:line="360" w:lineRule="auto"/>
        <w:ind w:left="1800" w:hanging="1800" w:hangingChars="500"/>
        <w:jc w:val="left"/>
        <w:rPr>
          <w:rFonts w:ascii="Times New Roman" w:hAnsi="Times New Roman" w:eastAsia="宋体"/>
          <w:sz w:val="36"/>
          <w:szCs w:val="36"/>
          <w:u w:val="single"/>
        </w:rPr>
      </w:pPr>
      <w:r>
        <w:rPr>
          <w:rFonts w:ascii="Times New Roman" w:hAnsi="Times New Roman" w:eastAsia="宋体"/>
          <w:sz w:val="36"/>
          <w:szCs w:val="36"/>
        </w:rPr>
        <w:t>项目名称：</w:t>
      </w:r>
      <w:r>
        <w:rPr>
          <w:rFonts w:hint="eastAsia" w:ascii="Times New Roman" w:hAnsi="Times New Roman" w:eastAsia="宋体"/>
          <w:sz w:val="36"/>
          <w:szCs w:val="36"/>
          <w:u w:val="single"/>
        </w:rPr>
        <w:t>内蒙古美力坚清蓝危废处置有限公司20万只/年制桶项目</w:t>
      </w:r>
    </w:p>
    <w:p w14:paraId="602914AA">
      <w:pPr>
        <w:keepLines w:val="0"/>
        <w:pageBreakBefore w:val="0"/>
        <w:kinsoku/>
        <w:overflowPunct/>
        <w:bidi w:val="0"/>
        <w:adjustRightInd w:val="0"/>
        <w:snapToGrid w:val="0"/>
        <w:spacing w:afterAutospacing="0" w:line="360" w:lineRule="auto"/>
        <w:ind w:left="0" w:leftChars="0" w:firstLine="0" w:firstLineChars="0"/>
        <w:jc w:val="left"/>
        <w:rPr>
          <w:rFonts w:hint="eastAsia" w:ascii="Times New Roman" w:hAnsi="Times New Roman" w:eastAsia="宋体"/>
          <w:sz w:val="36"/>
          <w:szCs w:val="36"/>
          <w:u w:val="single"/>
          <w:lang w:eastAsia="zh-CN"/>
        </w:rPr>
      </w:pPr>
      <w:r>
        <w:rPr>
          <w:rFonts w:ascii="Times New Roman" w:hAnsi="Times New Roman" w:eastAsia="宋体"/>
          <w:sz w:val="36"/>
          <w:szCs w:val="36"/>
        </w:rPr>
        <w:t>建设单位：</w:t>
      </w:r>
      <w:r>
        <w:rPr>
          <w:rFonts w:hint="eastAsia" w:ascii="Times New Roman" w:hAnsi="Times New Roman" w:eastAsia="宋体"/>
          <w:sz w:val="36"/>
          <w:szCs w:val="36"/>
          <w:u w:val="single"/>
        </w:rPr>
        <w:t>内蒙古美力坚清蓝危废处置有限公司</w:t>
      </w:r>
    </w:p>
    <w:p w14:paraId="4F71B86F">
      <w:pPr>
        <w:keepLines w:val="0"/>
        <w:pageBreakBefore w:val="0"/>
        <w:kinsoku/>
        <w:overflowPunct/>
        <w:bidi w:val="0"/>
        <w:adjustRightInd w:val="0"/>
        <w:snapToGrid w:val="0"/>
        <w:spacing w:afterAutospacing="0" w:line="360" w:lineRule="auto"/>
        <w:ind w:left="0" w:leftChars="0" w:firstLine="0" w:firstLineChars="0"/>
        <w:jc w:val="left"/>
        <w:rPr>
          <w:rFonts w:hint="eastAsia" w:ascii="Times New Roman" w:hAnsi="Times New Roman" w:eastAsia="宋体"/>
          <w:sz w:val="36"/>
          <w:szCs w:val="36"/>
          <w:u w:val="single"/>
          <w:lang w:eastAsia="zh-CN"/>
        </w:rPr>
      </w:pPr>
      <w:r>
        <w:rPr>
          <w:rFonts w:ascii="Times New Roman" w:hAnsi="Times New Roman" w:eastAsia="宋体"/>
          <w:sz w:val="36"/>
          <w:szCs w:val="36"/>
        </w:rPr>
        <w:t>编制日期：</w:t>
      </w:r>
      <w:r>
        <w:rPr>
          <w:rFonts w:ascii="Times New Roman" w:hAnsi="Times New Roman" w:eastAsia="宋体"/>
          <w:sz w:val="36"/>
          <w:szCs w:val="36"/>
          <w:u w:val="single"/>
        </w:rPr>
        <w:t>二〇二</w:t>
      </w:r>
      <w:r>
        <w:rPr>
          <w:rFonts w:hint="eastAsia"/>
          <w:sz w:val="36"/>
          <w:szCs w:val="36"/>
          <w:u w:val="single"/>
          <w:lang w:val="en-US" w:eastAsia="zh-CN"/>
        </w:rPr>
        <w:t>六</w:t>
      </w:r>
      <w:r>
        <w:rPr>
          <w:rFonts w:ascii="Times New Roman" w:hAnsi="Times New Roman" w:eastAsia="宋体"/>
          <w:sz w:val="36"/>
          <w:szCs w:val="36"/>
          <w:u w:val="single"/>
        </w:rPr>
        <w:t>年</w:t>
      </w:r>
      <w:r>
        <w:rPr>
          <w:rFonts w:hint="eastAsia"/>
          <w:sz w:val="36"/>
          <w:szCs w:val="36"/>
          <w:u w:val="single"/>
          <w:lang w:val="en-US" w:eastAsia="zh-CN"/>
        </w:rPr>
        <w:t>六</w:t>
      </w:r>
      <w:r>
        <w:rPr>
          <w:rFonts w:ascii="Times New Roman" w:hAnsi="Times New Roman" w:eastAsia="宋体"/>
          <w:sz w:val="36"/>
          <w:szCs w:val="36"/>
          <w:u w:val="single"/>
        </w:rPr>
        <w:t>月</w:t>
      </w:r>
    </w:p>
    <w:p w14:paraId="18123646">
      <w:pPr>
        <w:keepLines w:val="0"/>
        <w:pageBreakBefore w:val="0"/>
        <w:kinsoku/>
        <w:overflowPunct/>
        <w:bidi w:val="0"/>
        <w:adjustRightInd w:val="0"/>
        <w:snapToGrid w:val="0"/>
        <w:spacing w:afterAutospacing="0" w:line="288" w:lineRule="auto"/>
        <w:ind w:firstLine="1040"/>
        <w:rPr>
          <w:rFonts w:ascii="Times New Roman" w:hAnsi="Times New Roman" w:eastAsia="宋体"/>
          <w:sz w:val="36"/>
          <w:szCs w:val="36"/>
          <w:u w:val="single"/>
        </w:rPr>
      </w:pPr>
      <w:bookmarkStart w:id="0" w:name="_Hlk57884087"/>
    </w:p>
    <w:p w14:paraId="17BDAE82">
      <w:pPr>
        <w:keepLines w:val="0"/>
        <w:pageBreakBefore w:val="0"/>
        <w:kinsoku/>
        <w:overflowPunct/>
        <w:bidi w:val="0"/>
        <w:adjustRightInd w:val="0"/>
        <w:snapToGrid w:val="0"/>
        <w:spacing w:afterAutospacing="0" w:line="288" w:lineRule="auto"/>
        <w:ind w:firstLine="1040"/>
        <w:rPr>
          <w:rFonts w:ascii="Times New Roman" w:hAnsi="Times New Roman" w:eastAsia="宋体"/>
          <w:sz w:val="36"/>
          <w:szCs w:val="36"/>
        </w:rPr>
      </w:pPr>
    </w:p>
    <w:bookmarkEnd w:id="0"/>
    <w:p w14:paraId="10FFEBDC">
      <w:pPr>
        <w:keepLines w:val="0"/>
        <w:pageBreakBefore w:val="0"/>
        <w:kinsoku/>
        <w:overflowPunct/>
        <w:bidi w:val="0"/>
        <w:adjustRightInd w:val="0"/>
        <w:snapToGrid w:val="0"/>
        <w:spacing w:afterAutospacing="0" w:line="288" w:lineRule="auto"/>
        <w:ind w:left="0" w:leftChars="0" w:firstLine="0" w:firstLineChars="0"/>
        <w:jc w:val="center"/>
        <w:rPr>
          <w:rFonts w:ascii="Times New Roman" w:hAnsi="Times New Roman" w:eastAsia="宋体"/>
          <w:sz w:val="36"/>
          <w:szCs w:val="36"/>
        </w:rPr>
      </w:pPr>
      <w:r>
        <w:rPr>
          <w:rFonts w:ascii="Times New Roman" w:hAnsi="Times New Roman" w:eastAsia="宋体"/>
          <w:sz w:val="36"/>
          <w:szCs w:val="36"/>
        </w:rPr>
        <w:t>中华人民共和国生态环境部制</w:t>
      </w:r>
    </w:p>
    <w:p w14:paraId="48909384">
      <w:pPr>
        <w:keepLines w:val="0"/>
        <w:pageBreakBefore w:val="0"/>
        <w:kinsoku/>
        <w:overflowPunct/>
        <w:bidi w:val="0"/>
        <w:adjustRightInd w:val="0"/>
        <w:snapToGrid w:val="0"/>
        <w:spacing w:afterAutospacing="0" w:line="288" w:lineRule="auto"/>
        <w:ind w:firstLine="1040"/>
        <w:rPr>
          <w:rFonts w:ascii="Times New Roman" w:hAnsi="Times New Roman" w:eastAsia="宋体"/>
          <w:sz w:val="36"/>
          <w:szCs w:val="36"/>
        </w:rPr>
        <w:sectPr>
          <w:footerReference r:id="rId5" w:type="default"/>
          <w:footerReference r:id="rId6" w:type="even"/>
          <w:pgSz w:w="11906" w:h="16838"/>
          <w:pgMar w:top="1701" w:right="1191" w:bottom="1701" w:left="1191" w:header="851" w:footer="1077" w:gutter="0"/>
          <w:pgBorders>
            <w:top w:val="none" w:sz="0" w:space="0"/>
            <w:left w:val="none" w:sz="0" w:space="0"/>
            <w:bottom w:val="none" w:sz="0" w:space="0"/>
            <w:right w:val="none" w:sz="0" w:space="0"/>
          </w:pgBorders>
          <w:pgNumType w:start="3"/>
          <w:cols w:space="720" w:num="1"/>
          <w:docGrid w:linePitch="312" w:charSpace="0"/>
        </w:sectPr>
      </w:pPr>
    </w:p>
    <w:p w14:paraId="6F883AF4">
      <w:pPr>
        <w:spacing w:line="240" w:lineRule="auto"/>
        <w:sectPr>
          <w:footerReference r:id="rId7" w:type="default"/>
          <w:pgSz w:w="11906" w:h="16838"/>
          <w:pgMar w:top="567" w:right="1361" w:bottom="567" w:left="567" w:header="851" w:footer="1077" w:gutter="0"/>
          <w:pgBorders>
            <w:top w:val="none" w:sz="0" w:space="0"/>
            <w:left w:val="none" w:sz="0" w:space="0"/>
            <w:bottom w:val="none" w:sz="0" w:space="0"/>
            <w:right w:val="none" w:sz="0" w:space="0"/>
          </w:pgBorders>
          <w:pgNumType w:fmt="decimal" w:start="1"/>
          <w:cols w:space="720" w:num="1"/>
          <w:docGrid w:linePitch="312" w:charSpace="0"/>
        </w:sectPr>
      </w:pPr>
      <w:r>
        <w:drawing>
          <wp:inline distT="0" distB="0" distL="114300" distR="114300">
            <wp:extent cx="6697345" cy="9460865"/>
            <wp:effectExtent l="0" t="0" r="8255" b="6985"/>
            <wp:docPr id="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pic:cNvPicPr>
                      <a:picLocks noChangeAspect="1"/>
                    </pic:cNvPicPr>
                  </pic:nvPicPr>
                  <pic:blipFill>
                    <a:blip r:embed="rId10"/>
                    <a:stretch>
                      <a:fillRect/>
                    </a:stretch>
                  </pic:blipFill>
                  <pic:spPr>
                    <a:xfrm>
                      <a:off x="0" y="0"/>
                      <a:ext cx="6697345" cy="9460865"/>
                    </a:xfrm>
                    <a:prstGeom prst="rect">
                      <a:avLst/>
                    </a:prstGeom>
                    <a:noFill/>
                    <a:ln>
                      <a:noFill/>
                    </a:ln>
                  </pic:spPr>
                </pic:pic>
              </a:graphicData>
            </a:graphic>
          </wp:inline>
        </w:drawing>
      </w:r>
    </w:p>
    <w:p w14:paraId="3FAE84E9">
      <w:r>
        <w:drawing>
          <wp:inline distT="0" distB="0" distL="114300" distR="114300">
            <wp:extent cx="5655945" cy="7664450"/>
            <wp:effectExtent l="0" t="0" r="1905" b="12700"/>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1"/>
                    <a:stretch>
                      <a:fillRect/>
                    </a:stretch>
                  </pic:blipFill>
                  <pic:spPr>
                    <a:xfrm>
                      <a:off x="0" y="0"/>
                      <a:ext cx="5655945" cy="7664450"/>
                    </a:xfrm>
                    <a:prstGeom prst="rect">
                      <a:avLst/>
                    </a:prstGeom>
                    <a:noFill/>
                    <a:ln>
                      <a:noFill/>
                    </a:ln>
                  </pic:spPr>
                </pic:pic>
              </a:graphicData>
            </a:graphic>
          </wp:inline>
        </w:drawing>
      </w:r>
      <w:r>
        <w:drawing>
          <wp:inline distT="0" distB="0" distL="114300" distR="114300">
            <wp:extent cx="5765165" cy="8131810"/>
            <wp:effectExtent l="0" t="0" r="6985" b="254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12"/>
                    <a:stretch>
                      <a:fillRect/>
                    </a:stretch>
                  </pic:blipFill>
                  <pic:spPr>
                    <a:xfrm>
                      <a:off x="0" y="0"/>
                      <a:ext cx="5765165" cy="8131810"/>
                    </a:xfrm>
                    <a:prstGeom prst="rect">
                      <a:avLst/>
                    </a:prstGeom>
                    <a:noFill/>
                    <a:ln>
                      <a:noFill/>
                    </a:ln>
                  </pic:spPr>
                </pic:pic>
              </a:graphicData>
            </a:graphic>
          </wp:inline>
        </w:drawing>
      </w:r>
      <w:r>
        <w:drawing>
          <wp:inline distT="0" distB="0" distL="114300" distR="114300">
            <wp:extent cx="5729605" cy="7390765"/>
            <wp:effectExtent l="0" t="0" r="4445" b="635"/>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3"/>
                    <a:stretch>
                      <a:fillRect/>
                    </a:stretch>
                  </pic:blipFill>
                  <pic:spPr>
                    <a:xfrm>
                      <a:off x="0" y="0"/>
                      <a:ext cx="5729605" cy="7390765"/>
                    </a:xfrm>
                    <a:prstGeom prst="rect">
                      <a:avLst/>
                    </a:prstGeom>
                    <a:noFill/>
                    <a:ln>
                      <a:noFill/>
                    </a:ln>
                  </pic:spPr>
                </pic:pic>
              </a:graphicData>
            </a:graphic>
          </wp:inline>
        </w:drawing>
      </w:r>
      <w:r>
        <w:drawing>
          <wp:inline distT="0" distB="0" distL="114300" distR="114300">
            <wp:extent cx="8447405" cy="3539490"/>
            <wp:effectExtent l="0" t="0" r="3810" b="10795"/>
            <wp:docPr id="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pic:cNvPicPr>
                      <a:picLocks noChangeAspect="1"/>
                    </pic:cNvPicPr>
                  </pic:nvPicPr>
                  <pic:blipFill>
                    <a:blip r:embed="rId14"/>
                    <a:stretch>
                      <a:fillRect/>
                    </a:stretch>
                  </pic:blipFill>
                  <pic:spPr>
                    <a:xfrm rot="16200000">
                      <a:off x="0" y="0"/>
                      <a:ext cx="8447405" cy="3539490"/>
                    </a:xfrm>
                    <a:prstGeom prst="rect">
                      <a:avLst/>
                    </a:prstGeom>
                    <a:noFill/>
                    <a:ln>
                      <a:noFill/>
                    </a:ln>
                  </pic:spPr>
                </pic:pic>
              </a:graphicData>
            </a:graphic>
          </wp:inline>
        </w:drawing>
      </w:r>
    </w:p>
    <w:p w14:paraId="40D67F6C">
      <w:pPr>
        <w:rPr>
          <w:rFonts w:ascii="Times New Roman" w:hAnsi="Times New Roman" w:eastAsia="宋体"/>
          <w:snapToGrid w:val="0"/>
          <w:sz w:val="30"/>
          <w:szCs w:val="30"/>
        </w:rPr>
      </w:pPr>
      <w:r>
        <w:rPr>
          <w:rFonts w:ascii="Times New Roman" w:hAnsi="Times New Roman" w:eastAsia="宋体"/>
          <w:snapToGrid w:val="0"/>
          <w:sz w:val="30"/>
          <w:szCs w:val="30"/>
        </w:rPr>
        <w:br w:type="page"/>
      </w:r>
    </w:p>
    <w:p w14:paraId="4C7B1764">
      <w:pPr>
        <w:pStyle w:val="21"/>
        <w:keepNext w:val="0"/>
        <w:keepLines w:val="0"/>
        <w:pageBreakBefore w:val="0"/>
        <w:kinsoku/>
        <w:overflowPunct/>
        <w:bidi w:val="0"/>
        <w:spacing w:before="0" w:beforeAutospacing="0" w:after="0" w:afterAutospacing="0"/>
        <w:jc w:val="center"/>
        <w:textAlignment w:val="auto"/>
        <w:outlineLvl w:val="0"/>
        <w:rPr>
          <w:rFonts w:ascii="Times New Roman" w:hAnsi="Times New Roman" w:eastAsia="宋体"/>
          <w:snapToGrid w:val="0"/>
          <w:color w:val="auto"/>
          <w:sz w:val="30"/>
          <w:szCs w:val="30"/>
        </w:rPr>
      </w:pPr>
      <w:bookmarkStart w:id="8" w:name="_GoBack"/>
      <w:bookmarkEnd w:id="8"/>
      <w:r>
        <w:rPr>
          <w:rFonts w:ascii="Times New Roman" w:hAnsi="Times New Roman" w:eastAsia="宋体"/>
          <w:snapToGrid w:val="0"/>
          <w:color w:val="auto"/>
          <w:sz w:val="30"/>
          <w:szCs w:val="30"/>
        </w:rPr>
        <w:t>一、建设项目基本情况</w:t>
      </w:r>
    </w:p>
    <w:tbl>
      <w:tblPr>
        <w:tblStyle w:val="24"/>
        <w:tblW w:w="92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228"/>
        <w:gridCol w:w="2937"/>
        <w:gridCol w:w="2293"/>
        <w:gridCol w:w="2743"/>
        <w:gridCol w:w="15"/>
      </w:tblGrid>
      <w:tr w14:paraId="54AF42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497" w:hRule="atLeast"/>
          <w:jc w:val="center"/>
        </w:trPr>
        <w:tc>
          <w:tcPr>
            <w:tcW w:w="1228" w:type="dxa"/>
            <w:noWrap w:val="0"/>
            <w:tcMar>
              <w:top w:w="16" w:type="dxa"/>
              <w:left w:w="16" w:type="dxa"/>
              <w:right w:w="16" w:type="dxa"/>
            </w:tcMar>
            <w:vAlign w:val="center"/>
          </w:tcPr>
          <w:p w14:paraId="304D542A">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建设项目名称</w:t>
            </w:r>
          </w:p>
        </w:tc>
        <w:tc>
          <w:tcPr>
            <w:tcW w:w="7973" w:type="dxa"/>
            <w:gridSpan w:val="3"/>
            <w:noWrap w:val="0"/>
            <w:vAlign w:val="center"/>
          </w:tcPr>
          <w:p w14:paraId="199B336C">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olor w:val="auto"/>
                <w:sz w:val="24"/>
                <w:szCs w:val="24"/>
              </w:rPr>
            </w:pPr>
            <w:r>
              <w:rPr>
                <w:rFonts w:hint="eastAsia" w:ascii="Times New Roman" w:hAnsi="Times New Roman" w:eastAsia="宋体"/>
                <w:color w:val="auto"/>
                <w:sz w:val="24"/>
                <w:szCs w:val="24"/>
              </w:rPr>
              <w:t>内蒙古美力坚清蓝危废处置有限公司20万只/年制桶项目</w:t>
            </w:r>
          </w:p>
        </w:tc>
      </w:tr>
      <w:tr w14:paraId="5287DA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497" w:hRule="atLeast"/>
          <w:jc w:val="center"/>
        </w:trPr>
        <w:tc>
          <w:tcPr>
            <w:tcW w:w="1228" w:type="dxa"/>
            <w:noWrap w:val="0"/>
            <w:tcMar>
              <w:top w:w="16" w:type="dxa"/>
              <w:left w:w="16" w:type="dxa"/>
              <w:right w:w="16" w:type="dxa"/>
            </w:tcMar>
            <w:vAlign w:val="center"/>
          </w:tcPr>
          <w:p w14:paraId="73018874">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项目代码</w:t>
            </w:r>
          </w:p>
        </w:tc>
        <w:tc>
          <w:tcPr>
            <w:tcW w:w="7973" w:type="dxa"/>
            <w:gridSpan w:val="3"/>
            <w:noWrap w:val="0"/>
            <w:vAlign w:val="center"/>
          </w:tcPr>
          <w:p w14:paraId="41DEF954">
            <w:pPr>
              <w:keepNext w:val="0"/>
              <w:keepLines w:val="0"/>
              <w:pageBreakBefore w:val="0"/>
              <w:widowControl/>
              <w:suppressLineNumbers w:val="0"/>
              <w:kinsoku/>
              <w:overflowPunct/>
              <w:autoSpaceDE w:val="0"/>
              <w:autoSpaceDN w:val="0"/>
              <w:bidi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sz w:val="24"/>
                <w:szCs w:val="24"/>
              </w:rPr>
            </w:pPr>
            <w:r>
              <w:rPr>
                <w:rFonts w:hint="eastAsia" w:ascii="Times New Roman" w:hAnsi="Times New Roman" w:eastAsia="宋体"/>
                <w:color w:val="auto"/>
                <w:sz w:val="24"/>
                <w:szCs w:val="24"/>
                <w:lang w:val="en-US" w:eastAsia="zh-CN"/>
              </w:rPr>
              <w:t>2512-150624-04-01-687631</w:t>
            </w:r>
          </w:p>
        </w:tc>
      </w:tr>
      <w:tr w14:paraId="5FE043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497" w:hRule="atLeast"/>
          <w:jc w:val="center"/>
        </w:trPr>
        <w:tc>
          <w:tcPr>
            <w:tcW w:w="1228" w:type="dxa"/>
            <w:noWrap w:val="0"/>
            <w:tcMar>
              <w:top w:w="16" w:type="dxa"/>
              <w:left w:w="16" w:type="dxa"/>
              <w:right w:w="16" w:type="dxa"/>
            </w:tcMar>
            <w:vAlign w:val="center"/>
          </w:tcPr>
          <w:p w14:paraId="33E7754B">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建设单位联系人</w:t>
            </w:r>
          </w:p>
        </w:tc>
        <w:tc>
          <w:tcPr>
            <w:tcW w:w="2937" w:type="dxa"/>
            <w:noWrap w:val="0"/>
            <w:vAlign w:val="center"/>
          </w:tcPr>
          <w:p w14:paraId="6172B3CF">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eastAsia" w:ascii="Times New Roman" w:hAnsi="Times New Roman" w:eastAsia="宋体"/>
                <w:color w:val="auto"/>
                <w:sz w:val="24"/>
                <w:szCs w:val="24"/>
              </w:rPr>
              <w:t>刘璞哲</w:t>
            </w:r>
          </w:p>
        </w:tc>
        <w:tc>
          <w:tcPr>
            <w:tcW w:w="2293" w:type="dxa"/>
            <w:noWrap w:val="0"/>
            <w:vAlign w:val="center"/>
          </w:tcPr>
          <w:p w14:paraId="37AFA99F">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联系方式</w:t>
            </w:r>
          </w:p>
        </w:tc>
        <w:tc>
          <w:tcPr>
            <w:tcW w:w="2743" w:type="dxa"/>
            <w:noWrap w:val="0"/>
            <w:vAlign w:val="center"/>
          </w:tcPr>
          <w:p w14:paraId="047D3F1E">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eastAsia" w:ascii="Times New Roman" w:hAnsi="Times New Roman" w:eastAsia="宋体"/>
                <w:color w:val="auto"/>
                <w:sz w:val="24"/>
                <w:szCs w:val="24"/>
              </w:rPr>
              <w:t>13947324567</w:t>
            </w:r>
          </w:p>
        </w:tc>
      </w:tr>
      <w:tr w14:paraId="782BD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497" w:hRule="atLeast"/>
          <w:jc w:val="center"/>
        </w:trPr>
        <w:tc>
          <w:tcPr>
            <w:tcW w:w="1228" w:type="dxa"/>
            <w:noWrap w:val="0"/>
            <w:tcMar>
              <w:top w:w="16" w:type="dxa"/>
              <w:left w:w="16" w:type="dxa"/>
              <w:right w:w="16" w:type="dxa"/>
            </w:tcMar>
            <w:vAlign w:val="center"/>
          </w:tcPr>
          <w:p w14:paraId="35AA76DC">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建设地点</w:t>
            </w:r>
          </w:p>
        </w:tc>
        <w:tc>
          <w:tcPr>
            <w:tcW w:w="7973" w:type="dxa"/>
            <w:gridSpan w:val="3"/>
            <w:noWrap w:val="0"/>
            <w:vAlign w:val="center"/>
          </w:tcPr>
          <w:p w14:paraId="701BB365">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eastAsia" w:ascii="Times New Roman" w:hAnsi="Times New Roman" w:eastAsia="宋体"/>
                <w:color w:val="auto"/>
                <w:sz w:val="24"/>
                <w:szCs w:val="24"/>
                <w:lang w:val="en-US" w:eastAsia="zh-CN"/>
              </w:rPr>
              <w:t>鄂托克高新技术产业开发区蒙西产业园内蒙古美力坚清蓝危废处置有限公司厂区内</w:t>
            </w:r>
          </w:p>
        </w:tc>
      </w:tr>
      <w:tr w14:paraId="2D0767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497" w:hRule="atLeast"/>
          <w:jc w:val="center"/>
        </w:trPr>
        <w:tc>
          <w:tcPr>
            <w:tcW w:w="1228" w:type="dxa"/>
            <w:noWrap w:val="0"/>
            <w:tcMar>
              <w:top w:w="16" w:type="dxa"/>
              <w:left w:w="16" w:type="dxa"/>
              <w:right w:w="16" w:type="dxa"/>
            </w:tcMar>
            <w:vAlign w:val="center"/>
          </w:tcPr>
          <w:p w14:paraId="03D1C807">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地理坐标</w:t>
            </w:r>
          </w:p>
        </w:tc>
        <w:tc>
          <w:tcPr>
            <w:tcW w:w="7973" w:type="dxa"/>
            <w:gridSpan w:val="3"/>
            <w:noWrap w:val="0"/>
            <w:vAlign w:val="center"/>
          </w:tcPr>
          <w:p w14:paraId="6139898C">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w:t>
            </w:r>
            <w:r>
              <w:rPr>
                <w:rFonts w:hint="eastAsia" w:ascii="Times New Roman" w:hAnsi="Times New Roman" w:eastAsia="宋体"/>
                <w:color w:val="auto"/>
                <w:sz w:val="24"/>
                <w:szCs w:val="24"/>
                <w:lang w:val="en-US" w:eastAsia="zh-CN"/>
              </w:rPr>
              <w:t>E：</w:t>
            </w:r>
            <w:r>
              <w:rPr>
                <w:rFonts w:hint="eastAsia" w:ascii="Times New Roman" w:hAnsi="Times New Roman" w:eastAsia="宋体"/>
                <w:color w:val="auto"/>
                <w:sz w:val="24"/>
                <w:szCs w:val="24"/>
                <w:u w:val="single"/>
                <w:lang w:val="en-US" w:eastAsia="zh-CN"/>
              </w:rPr>
              <w:t>106</w:t>
            </w:r>
            <w:r>
              <w:rPr>
                <w:rFonts w:hint="default" w:ascii="Times New Roman" w:hAnsi="Times New Roman" w:eastAsia="宋体"/>
                <w:color w:val="auto"/>
                <w:sz w:val="24"/>
                <w:szCs w:val="24"/>
              </w:rPr>
              <w:t>度</w:t>
            </w:r>
            <w:r>
              <w:rPr>
                <w:rFonts w:hint="eastAsia" w:ascii="Times New Roman" w:hAnsi="Times New Roman" w:eastAsia="宋体"/>
                <w:color w:val="auto"/>
                <w:sz w:val="24"/>
                <w:szCs w:val="24"/>
                <w:u w:val="single"/>
                <w:lang w:val="en-US" w:eastAsia="zh-CN"/>
              </w:rPr>
              <w:t>46</w:t>
            </w:r>
            <w:r>
              <w:rPr>
                <w:rFonts w:hint="default" w:ascii="Times New Roman" w:hAnsi="Times New Roman" w:eastAsia="宋体"/>
                <w:color w:val="auto"/>
                <w:sz w:val="24"/>
                <w:szCs w:val="24"/>
              </w:rPr>
              <w:t>分</w:t>
            </w:r>
            <w:r>
              <w:rPr>
                <w:rFonts w:hint="eastAsia" w:ascii="Times New Roman" w:hAnsi="Times New Roman" w:eastAsia="宋体"/>
                <w:color w:val="auto"/>
                <w:sz w:val="24"/>
                <w:szCs w:val="24"/>
                <w:u w:val="single"/>
                <w:lang w:val="en-US" w:eastAsia="zh-CN"/>
              </w:rPr>
              <w:t>44.160</w:t>
            </w:r>
            <w:r>
              <w:rPr>
                <w:rFonts w:hint="default" w:ascii="Times New Roman" w:hAnsi="Times New Roman" w:eastAsia="宋体"/>
                <w:color w:val="auto"/>
                <w:sz w:val="24"/>
                <w:szCs w:val="24"/>
              </w:rPr>
              <w:t>秒，</w:t>
            </w:r>
            <w:r>
              <w:rPr>
                <w:rFonts w:hint="eastAsia" w:ascii="Times New Roman" w:hAnsi="Times New Roman" w:eastAsia="宋体"/>
                <w:color w:val="auto"/>
                <w:sz w:val="24"/>
                <w:szCs w:val="24"/>
                <w:u w:val="single"/>
                <w:lang w:val="en-US" w:eastAsia="zh-CN"/>
              </w:rPr>
              <w:t>39</w:t>
            </w:r>
            <w:r>
              <w:rPr>
                <w:rFonts w:hint="default" w:ascii="Times New Roman" w:hAnsi="Times New Roman" w:eastAsia="宋体"/>
                <w:color w:val="auto"/>
                <w:sz w:val="24"/>
                <w:szCs w:val="24"/>
              </w:rPr>
              <w:t>度</w:t>
            </w:r>
            <w:r>
              <w:rPr>
                <w:rFonts w:hint="eastAsia" w:ascii="Times New Roman" w:hAnsi="Times New Roman" w:eastAsia="宋体"/>
                <w:color w:val="auto"/>
                <w:sz w:val="24"/>
                <w:szCs w:val="24"/>
                <w:u w:val="single"/>
                <w:lang w:val="en-US" w:eastAsia="zh-CN"/>
              </w:rPr>
              <w:t>53</w:t>
            </w:r>
            <w:r>
              <w:rPr>
                <w:rFonts w:hint="default" w:ascii="Times New Roman" w:hAnsi="Times New Roman" w:eastAsia="宋体"/>
                <w:color w:val="auto"/>
                <w:sz w:val="24"/>
                <w:szCs w:val="24"/>
              </w:rPr>
              <w:t>分</w:t>
            </w:r>
            <w:r>
              <w:rPr>
                <w:rFonts w:hint="eastAsia" w:ascii="Times New Roman" w:hAnsi="Times New Roman" w:eastAsia="宋体"/>
                <w:color w:val="auto"/>
                <w:sz w:val="24"/>
                <w:szCs w:val="24"/>
                <w:u w:val="single"/>
                <w:lang w:val="en-US" w:eastAsia="zh-CN"/>
              </w:rPr>
              <w:t>48</w:t>
            </w:r>
            <w:r>
              <w:rPr>
                <w:rFonts w:hint="default" w:ascii="Times New Roman" w:hAnsi="Times New Roman" w:eastAsia="宋体"/>
                <w:color w:val="auto"/>
                <w:sz w:val="24"/>
                <w:szCs w:val="24"/>
                <w:u w:val="single"/>
              </w:rPr>
              <w:t>.</w:t>
            </w:r>
            <w:r>
              <w:rPr>
                <w:rFonts w:hint="eastAsia" w:ascii="Times New Roman" w:hAnsi="Times New Roman" w:eastAsia="宋体"/>
                <w:color w:val="auto"/>
                <w:sz w:val="24"/>
                <w:szCs w:val="24"/>
                <w:u w:val="single"/>
                <w:lang w:val="en-US" w:eastAsia="zh-CN"/>
              </w:rPr>
              <w:t>651</w:t>
            </w:r>
            <w:r>
              <w:rPr>
                <w:rFonts w:hint="default" w:ascii="Times New Roman" w:hAnsi="Times New Roman" w:eastAsia="宋体"/>
                <w:color w:val="auto"/>
                <w:sz w:val="24"/>
                <w:szCs w:val="24"/>
              </w:rPr>
              <w:t>秒）</w:t>
            </w:r>
          </w:p>
        </w:tc>
      </w:tr>
      <w:tr w14:paraId="194CC7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561" w:hRule="atLeast"/>
          <w:jc w:val="center"/>
        </w:trPr>
        <w:tc>
          <w:tcPr>
            <w:tcW w:w="1228" w:type="dxa"/>
            <w:noWrap w:val="0"/>
            <w:tcMar>
              <w:top w:w="16" w:type="dxa"/>
              <w:left w:w="16" w:type="dxa"/>
              <w:right w:w="16" w:type="dxa"/>
            </w:tcMar>
            <w:vAlign w:val="center"/>
          </w:tcPr>
          <w:p w14:paraId="2F38F722">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国民经济</w:t>
            </w:r>
          </w:p>
          <w:p w14:paraId="7D43334D">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行业类别</w:t>
            </w:r>
          </w:p>
        </w:tc>
        <w:tc>
          <w:tcPr>
            <w:tcW w:w="2937" w:type="dxa"/>
            <w:noWrap w:val="0"/>
            <w:vAlign w:val="center"/>
          </w:tcPr>
          <w:p w14:paraId="048CEB1F">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［C</w:t>
            </w:r>
            <w:r>
              <w:rPr>
                <w:rFonts w:hint="eastAsia" w:ascii="Times New Roman" w:hAnsi="Times New Roman" w:eastAsia="宋体"/>
                <w:color w:val="auto"/>
                <w:sz w:val="24"/>
                <w:szCs w:val="24"/>
                <w:lang w:val="en-US" w:eastAsia="zh-CN"/>
              </w:rPr>
              <w:t>2926</w:t>
            </w:r>
            <w:r>
              <w:rPr>
                <w:rFonts w:hint="default" w:ascii="Times New Roman" w:hAnsi="Times New Roman" w:eastAsia="宋体"/>
                <w:color w:val="auto"/>
                <w:sz w:val="24"/>
                <w:szCs w:val="24"/>
              </w:rPr>
              <w:t>］塑料包装箱及容器制造</w:t>
            </w:r>
          </w:p>
        </w:tc>
        <w:tc>
          <w:tcPr>
            <w:tcW w:w="2293" w:type="dxa"/>
            <w:noWrap w:val="0"/>
            <w:vAlign w:val="center"/>
          </w:tcPr>
          <w:p w14:paraId="452244AB">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bookmarkStart w:id="1" w:name="_Hlk49843745"/>
            <w:r>
              <w:rPr>
                <w:rFonts w:hint="default" w:ascii="Times New Roman" w:hAnsi="Times New Roman" w:eastAsia="宋体"/>
                <w:color w:val="auto"/>
                <w:sz w:val="24"/>
                <w:szCs w:val="24"/>
              </w:rPr>
              <w:t>建设项目</w:t>
            </w:r>
          </w:p>
          <w:p w14:paraId="22B77442">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行业类别</w:t>
            </w:r>
            <w:bookmarkEnd w:id="1"/>
          </w:p>
        </w:tc>
        <w:tc>
          <w:tcPr>
            <w:tcW w:w="2743" w:type="dxa"/>
            <w:noWrap w:val="0"/>
            <w:vAlign w:val="center"/>
          </w:tcPr>
          <w:p w14:paraId="7DF90B95">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二十六、橡胶和塑料制品业—</w:t>
            </w:r>
            <w:r>
              <w:rPr>
                <w:rFonts w:hint="eastAsia" w:ascii="Times New Roman" w:hAnsi="Times New Roman" w:eastAsia="宋体"/>
                <w:color w:val="auto"/>
                <w:sz w:val="24"/>
                <w:szCs w:val="24"/>
                <w:lang w:val="en-US" w:eastAsia="zh-CN"/>
              </w:rPr>
              <w:t>292</w:t>
            </w:r>
            <w:r>
              <w:rPr>
                <w:rFonts w:hint="default" w:ascii="Times New Roman" w:hAnsi="Times New Roman" w:eastAsia="宋体"/>
                <w:color w:val="auto"/>
                <w:sz w:val="24"/>
                <w:szCs w:val="24"/>
              </w:rPr>
              <w:t>塑料制品业</w:t>
            </w:r>
            <w:r>
              <w:rPr>
                <w:rFonts w:hint="default" w:ascii="Times New Roman" w:hAnsi="Times New Roman" w:eastAsia="宋体" w:cs="Times New Roman"/>
                <w:i w:val="0"/>
                <w:iCs w:val="0"/>
                <w:caps w:val="0"/>
                <w:color w:val="auto"/>
                <w:spacing w:val="0"/>
                <w:sz w:val="24"/>
                <w:szCs w:val="24"/>
                <w:shd w:val="clear" w:fill="auto"/>
              </w:rPr>
              <w:t>其他（年用非溶剂型低VOCs含量涂料10吨以下的除外）</w:t>
            </w:r>
          </w:p>
        </w:tc>
      </w:tr>
      <w:tr w14:paraId="5AC765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1219" w:hRule="atLeast"/>
          <w:jc w:val="center"/>
        </w:trPr>
        <w:tc>
          <w:tcPr>
            <w:tcW w:w="1228" w:type="dxa"/>
            <w:noWrap w:val="0"/>
            <w:tcMar>
              <w:top w:w="16" w:type="dxa"/>
              <w:left w:w="16" w:type="dxa"/>
              <w:right w:w="16" w:type="dxa"/>
            </w:tcMar>
            <w:vAlign w:val="center"/>
          </w:tcPr>
          <w:p w14:paraId="0D6AEA9D">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建设性质</w:t>
            </w:r>
          </w:p>
        </w:tc>
        <w:tc>
          <w:tcPr>
            <w:tcW w:w="2937" w:type="dxa"/>
            <w:noWrap w:val="0"/>
            <w:vAlign w:val="center"/>
          </w:tcPr>
          <w:p w14:paraId="4F9D4902">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left"/>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sym w:font="Wingdings 2" w:char="0052"/>
            </w:r>
            <w:r>
              <w:rPr>
                <w:rFonts w:hint="default" w:ascii="Times New Roman" w:hAnsi="Times New Roman" w:eastAsia="宋体"/>
                <w:color w:val="auto"/>
                <w:sz w:val="24"/>
                <w:szCs w:val="24"/>
              </w:rPr>
              <w:t>新建（迁建）</w:t>
            </w:r>
          </w:p>
          <w:p w14:paraId="03F1FCC6">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left"/>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sym w:font="Wingdings 2" w:char="00A3"/>
            </w:r>
            <w:r>
              <w:rPr>
                <w:rFonts w:hint="default" w:ascii="Times New Roman" w:hAnsi="Times New Roman" w:eastAsia="宋体"/>
                <w:color w:val="auto"/>
                <w:sz w:val="24"/>
                <w:szCs w:val="24"/>
              </w:rPr>
              <w:t>改建</w:t>
            </w:r>
          </w:p>
          <w:p w14:paraId="64523AD1">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left"/>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sym w:font="Wingdings 2" w:char="00A3"/>
            </w:r>
            <w:r>
              <w:rPr>
                <w:rFonts w:hint="default" w:ascii="Times New Roman" w:hAnsi="Times New Roman" w:eastAsia="宋体"/>
                <w:color w:val="auto"/>
                <w:sz w:val="24"/>
                <w:szCs w:val="24"/>
              </w:rPr>
              <w:t>扩建</w:t>
            </w:r>
          </w:p>
          <w:p w14:paraId="5C5D3E67">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left"/>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sym w:font="Wingdings 2" w:char="00A3"/>
            </w:r>
            <w:r>
              <w:rPr>
                <w:rFonts w:hint="default" w:ascii="Times New Roman" w:hAnsi="Times New Roman" w:eastAsia="宋体"/>
                <w:color w:val="auto"/>
                <w:sz w:val="24"/>
                <w:szCs w:val="24"/>
              </w:rPr>
              <w:t>技术改造</w:t>
            </w:r>
          </w:p>
        </w:tc>
        <w:tc>
          <w:tcPr>
            <w:tcW w:w="2293" w:type="dxa"/>
            <w:noWrap w:val="0"/>
            <w:vAlign w:val="center"/>
          </w:tcPr>
          <w:p w14:paraId="19BB74B1">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建设项目</w:t>
            </w:r>
          </w:p>
          <w:p w14:paraId="3D382D18">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申报情形</w:t>
            </w:r>
          </w:p>
        </w:tc>
        <w:tc>
          <w:tcPr>
            <w:tcW w:w="2743" w:type="dxa"/>
            <w:noWrap w:val="0"/>
            <w:vAlign w:val="center"/>
          </w:tcPr>
          <w:p w14:paraId="0A98E0CF">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left"/>
              <w:textAlignment w:val="auto"/>
              <w:rPr>
                <w:rFonts w:hint="eastAsia" w:ascii="Times New Roman" w:hAnsi="Times New Roman" w:eastAsia="宋体"/>
                <w:color w:val="auto"/>
                <w:sz w:val="24"/>
                <w:szCs w:val="24"/>
                <w:lang w:eastAsia="zh-CN"/>
              </w:rPr>
            </w:pPr>
            <w:r>
              <w:rPr>
                <w:rFonts w:hint="default" w:ascii="Times New Roman" w:hAnsi="Times New Roman" w:eastAsia="宋体"/>
                <w:color w:val="auto"/>
                <w:sz w:val="24"/>
                <w:szCs w:val="24"/>
              </w:rPr>
              <w:sym w:font="Wingdings 2" w:char="0052"/>
            </w:r>
            <w:r>
              <w:rPr>
                <w:rFonts w:hint="default" w:ascii="Times New Roman" w:hAnsi="Times New Roman" w:eastAsia="宋体"/>
                <w:color w:val="auto"/>
                <w:sz w:val="24"/>
                <w:szCs w:val="24"/>
              </w:rPr>
              <w:t>首次申报项目</w:t>
            </w:r>
          </w:p>
          <w:p w14:paraId="7D75DE3E">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left"/>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sym w:font="Wingdings 2" w:char="00A3"/>
            </w:r>
            <w:r>
              <w:rPr>
                <w:rFonts w:hint="default" w:ascii="Times New Roman" w:hAnsi="Times New Roman" w:eastAsia="宋体"/>
                <w:color w:val="auto"/>
                <w:sz w:val="24"/>
                <w:szCs w:val="24"/>
              </w:rPr>
              <w:t>不予批准后再次申报项目</w:t>
            </w:r>
          </w:p>
          <w:p w14:paraId="2F8F938C">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left"/>
              <w:textAlignment w:val="auto"/>
              <w:rPr>
                <w:rFonts w:hint="eastAsia" w:ascii="Times New Roman" w:hAnsi="Times New Roman" w:eastAsia="宋体"/>
                <w:color w:val="auto"/>
                <w:sz w:val="24"/>
                <w:szCs w:val="24"/>
                <w:lang w:eastAsia="zh-CN"/>
              </w:rPr>
            </w:pPr>
            <w:r>
              <w:rPr>
                <w:rFonts w:hint="default" w:ascii="Times New Roman" w:hAnsi="Times New Roman" w:eastAsia="宋体"/>
                <w:color w:val="auto"/>
                <w:sz w:val="24"/>
                <w:szCs w:val="24"/>
              </w:rPr>
              <w:sym w:font="Wingdings 2" w:char="00A3"/>
            </w:r>
            <w:r>
              <w:rPr>
                <w:rFonts w:hint="default" w:ascii="Times New Roman" w:hAnsi="Times New Roman" w:eastAsia="宋体"/>
                <w:color w:val="auto"/>
                <w:sz w:val="24"/>
                <w:szCs w:val="24"/>
              </w:rPr>
              <w:t>超五年重新审核项目</w:t>
            </w:r>
          </w:p>
          <w:p w14:paraId="11E9E501">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left"/>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sym w:font="Wingdings 2" w:char="00A3"/>
            </w:r>
            <w:r>
              <w:rPr>
                <w:rFonts w:hint="default" w:ascii="Times New Roman" w:hAnsi="Times New Roman" w:eastAsia="宋体"/>
                <w:color w:val="auto"/>
                <w:sz w:val="24"/>
                <w:szCs w:val="24"/>
              </w:rPr>
              <w:t>重大变动重新报批项目</w:t>
            </w:r>
          </w:p>
        </w:tc>
      </w:tr>
      <w:tr w14:paraId="303CAE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718" w:hRule="atLeast"/>
          <w:jc w:val="center"/>
        </w:trPr>
        <w:tc>
          <w:tcPr>
            <w:tcW w:w="1228" w:type="dxa"/>
            <w:noWrap w:val="0"/>
            <w:tcMar>
              <w:top w:w="16" w:type="dxa"/>
              <w:left w:w="16" w:type="dxa"/>
              <w:right w:w="16" w:type="dxa"/>
            </w:tcMar>
            <w:vAlign w:val="center"/>
          </w:tcPr>
          <w:p w14:paraId="6B3E7D0D">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项目审批（核准/</w:t>
            </w:r>
          </w:p>
          <w:p w14:paraId="488F165C">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备案）部门（选填）</w:t>
            </w:r>
          </w:p>
        </w:tc>
        <w:tc>
          <w:tcPr>
            <w:tcW w:w="2937" w:type="dxa"/>
            <w:noWrap w:val="0"/>
            <w:vAlign w:val="center"/>
          </w:tcPr>
          <w:p w14:paraId="66B91832">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eastAsia" w:ascii="Times New Roman" w:hAnsi="Times New Roman" w:eastAsia="宋体"/>
                <w:color w:val="auto"/>
                <w:sz w:val="24"/>
                <w:szCs w:val="24"/>
                <w:lang w:val="en-US" w:eastAsia="zh-CN"/>
              </w:rPr>
              <w:t>鄂托克旗发展和改革委员会</w:t>
            </w:r>
          </w:p>
        </w:tc>
        <w:tc>
          <w:tcPr>
            <w:tcW w:w="2293" w:type="dxa"/>
            <w:noWrap w:val="0"/>
            <w:vAlign w:val="center"/>
          </w:tcPr>
          <w:p w14:paraId="1783C80B">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项目审批（核准/</w:t>
            </w:r>
          </w:p>
          <w:p w14:paraId="18578897">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备案）文号（选填）</w:t>
            </w:r>
          </w:p>
        </w:tc>
        <w:tc>
          <w:tcPr>
            <w:tcW w:w="2743" w:type="dxa"/>
            <w:noWrap w:val="0"/>
            <w:vAlign w:val="center"/>
          </w:tcPr>
          <w:p w14:paraId="6453405F">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olor w:val="auto"/>
                <w:sz w:val="24"/>
                <w:szCs w:val="24"/>
              </w:rPr>
            </w:pPr>
          </w:p>
        </w:tc>
      </w:tr>
      <w:tr w14:paraId="7E7E8F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497" w:hRule="atLeast"/>
          <w:jc w:val="center"/>
        </w:trPr>
        <w:tc>
          <w:tcPr>
            <w:tcW w:w="1228" w:type="dxa"/>
            <w:noWrap w:val="0"/>
            <w:tcMar>
              <w:top w:w="16" w:type="dxa"/>
              <w:left w:w="16" w:type="dxa"/>
              <w:right w:w="16" w:type="dxa"/>
            </w:tcMar>
            <w:vAlign w:val="center"/>
          </w:tcPr>
          <w:p w14:paraId="7BED28DF">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总投资（万元）</w:t>
            </w:r>
          </w:p>
        </w:tc>
        <w:tc>
          <w:tcPr>
            <w:tcW w:w="2937" w:type="dxa"/>
            <w:noWrap w:val="0"/>
            <w:vAlign w:val="center"/>
          </w:tcPr>
          <w:p w14:paraId="5D838DC9">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eastAsia" w:ascii="Times New Roman" w:hAnsi="Times New Roman" w:eastAsia="宋体"/>
                <w:color w:val="auto"/>
                <w:sz w:val="24"/>
                <w:szCs w:val="24"/>
                <w:lang w:val="en-US" w:eastAsia="zh-CN"/>
              </w:rPr>
            </w:pPr>
            <w:r>
              <w:rPr>
                <w:rFonts w:hint="default" w:ascii="Times New Roman" w:hAnsi="Times New Roman" w:eastAsia="宋体"/>
                <w:color w:val="auto"/>
                <w:sz w:val="24"/>
                <w:szCs w:val="24"/>
              </w:rPr>
              <w:t>300</w:t>
            </w:r>
            <w:r>
              <w:rPr>
                <w:rFonts w:hint="eastAsia" w:ascii="Times New Roman" w:hAnsi="Times New Roman" w:eastAsia="宋体"/>
                <w:color w:val="auto"/>
                <w:sz w:val="24"/>
                <w:szCs w:val="24"/>
                <w:lang w:val="en-US" w:eastAsia="zh-CN"/>
              </w:rPr>
              <w:t>0</w:t>
            </w:r>
          </w:p>
        </w:tc>
        <w:tc>
          <w:tcPr>
            <w:tcW w:w="2293" w:type="dxa"/>
            <w:noWrap w:val="0"/>
            <w:tcMar>
              <w:top w:w="16" w:type="dxa"/>
              <w:left w:w="16" w:type="dxa"/>
              <w:right w:w="16" w:type="dxa"/>
            </w:tcMar>
            <w:vAlign w:val="center"/>
          </w:tcPr>
          <w:p w14:paraId="4F761F97">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环保投资（万元）</w:t>
            </w:r>
          </w:p>
        </w:tc>
        <w:tc>
          <w:tcPr>
            <w:tcW w:w="2743" w:type="dxa"/>
            <w:noWrap w:val="0"/>
            <w:vAlign w:val="center"/>
          </w:tcPr>
          <w:p w14:paraId="18C6F96B">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150</w:t>
            </w:r>
          </w:p>
        </w:tc>
      </w:tr>
      <w:tr w14:paraId="4F10AD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497" w:hRule="atLeast"/>
          <w:jc w:val="center"/>
        </w:trPr>
        <w:tc>
          <w:tcPr>
            <w:tcW w:w="1228" w:type="dxa"/>
            <w:noWrap w:val="0"/>
            <w:tcMar>
              <w:top w:w="16" w:type="dxa"/>
              <w:left w:w="16" w:type="dxa"/>
              <w:right w:w="16" w:type="dxa"/>
            </w:tcMar>
            <w:vAlign w:val="center"/>
          </w:tcPr>
          <w:p w14:paraId="0E50F67B">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环保投资占比（%）</w:t>
            </w:r>
          </w:p>
        </w:tc>
        <w:tc>
          <w:tcPr>
            <w:tcW w:w="2937" w:type="dxa"/>
            <w:noWrap w:val="0"/>
            <w:vAlign w:val="center"/>
          </w:tcPr>
          <w:p w14:paraId="0BE1B757">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eastAsia" w:ascii="Times New Roman" w:hAnsi="Times New Roman" w:eastAsia="宋体"/>
                <w:color w:val="auto"/>
                <w:sz w:val="24"/>
                <w:szCs w:val="24"/>
                <w:lang w:eastAsia="zh-CN"/>
              </w:rPr>
            </w:pPr>
            <w:r>
              <w:rPr>
                <w:rFonts w:hint="eastAsia" w:ascii="Times New Roman" w:hAnsi="Times New Roman" w:eastAsia="宋体"/>
                <w:color w:val="auto"/>
                <w:sz w:val="24"/>
                <w:szCs w:val="24"/>
                <w:lang w:val="en-US" w:eastAsia="zh-CN"/>
              </w:rPr>
              <w:t>5</w:t>
            </w:r>
          </w:p>
        </w:tc>
        <w:tc>
          <w:tcPr>
            <w:tcW w:w="2293" w:type="dxa"/>
            <w:noWrap w:val="0"/>
            <w:tcMar>
              <w:top w:w="16" w:type="dxa"/>
              <w:left w:w="16" w:type="dxa"/>
              <w:right w:w="16" w:type="dxa"/>
            </w:tcMar>
            <w:vAlign w:val="center"/>
          </w:tcPr>
          <w:p w14:paraId="6609FDCE">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施工工期</w:t>
            </w:r>
          </w:p>
        </w:tc>
        <w:tc>
          <w:tcPr>
            <w:tcW w:w="2743" w:type="dxa"/>
            <w:noWrap w:val="0"/>
            <w:vAlign w:val="center"/>
          </w:tcPr>
          <w:p w14:paraId="255F70AD">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eastAsia" w:ascii="Times New Roman" w:hAnsi="Times New Roman" w:eastAsia="宋体"/>
                <w:color w:val="auto"/>
                <w:sz w:val="24"/>
                <w:szCs w:val="24"/>
                <w:lang w:val="en-US" w:eastAsia="zh-CN"/>
              </w:rPr>
              <w:t>8</w:t>
            </w:r>
            <w:r>
              <w:rPr>
                <w:rFonts w:hint="default" w:ascii="Times New Roman" w:hAnsi="Times New Roman" w:eastAsia="宋体"/>
                <w:color w:val="auto"/>
                <w:sz w:val="24"/>
                <w:szCs w:val="24"/>
              </w:rPr>
              <w:t>个月</w:t>
            </w:r>
          </w:p>
        </w:tc>
      </w:tr>
      <w:tr w14:paraId="543315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5" w:type="dxa"/>
          <w:trHeight w:val="497" w:hRule="atLeast"/>
          <w:jc w:val="center"/>
        </w:trPr>
        <w:tc>
          <w:tcPr>
            <w:tcW w:w="1228" w:type="dxa"/>
            <w:noWrap w:val="0"/>
            <w:tcMar>
              <w:top w:w="16" w:type="dxa"/>
              <w:left w:w="16" w:type="dxa"/>
              <w:right w:w="16" w:type="dxa"/>
            </w:tcMar>
            <w:vAlign w:val="center"/>
          </w:tcPr>
          <w:p w14:paraId="641F1A63">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是否开工建设</w:t>
            </w:r>
          </w:p>
        </w:tc>
        <w:tc>
          <w:tcPr>
            <w:tcW w:w="2937" w:type="dxa"/>
            <w:noWrap w:val="0"/>
            <w:vAlign w:val="center"/>
          </w:tcPr>
          <w:p w14:paraId="03D0D64F">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sym w:font="Wingdings 2" w:char="0052"/>
            </w:r>
            <w:r>
              <w:rPr>
                <w:rFonts w:hint="default" w:ascii="Times New Roman" w:hAnsi="Times New Roman" w:eastAsia="宋体"/>
                <w:color w:val="auto"/>
                <w:sz w:val="24"/>
                <w:szCs w:val="24"/>
              </w:rPr>
              <w:t>否</w:t>
            </w:r>
          </w:p>
          <w:p w14:paraId="3887CF46">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sym w:font="Wingdings 2" w:char="00A3"/>
            </w:r>
            <w:r>
              <w:rPr>
                <w:rFonts w:hint="default" w:ascii="Times New Roman" w:hAnsi="Times New Roman" w:eastAsia="宋体"/>
                <w:color w:val="auto"/>
                <w:sz w:val="24"/>
                <w:szCs w:val="24"/>
              </w:rPr>
              <w:t>是</w:t>
            </w:r>
          </w:p>
        </w:tc>
        <w:tc>
          <w:tcPr>
            <w:tcW w:w="2293" w:type="dxa"/>
            <w:noWrap w:val="0"/>
            <w:tcMar>
              <w:top w:w="16" w:type="dxa"/>
              <w:left w:w="16" w:type="dxa"/>
              <w:right w:w="16" w:type="dxa"/>
            </w:tcMar>
            <w:vAlign w:val="center"/>
          </w:tcPr>
          <w:p w14:paraId="7E05B3FB">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用地面积（m</w:t>
            </w:r>
            <w:r>
              <w:rPr>
                <w:rFonts w:hint="default" w:ascii="Times New Roman" w:hAnsi="Times New Roman" w:eastAsia="宋体"/>
                <w:color w:val="auto"/>
                <w:sz w:val="24"/>
                <w:szCs w:val="24"/>
                <w:vertAlign w:val="superscript"/>
              </w:rPr>
              <w:t>2</w:t>
            </w:r>
            <w:r>
              <w:rPr>
                <w:rFonts w:hint="default" w:ascii="Times New Roman" w:hAnsi="Times New Roman" w:eastAsia="宋体"/>
                <w:color w:val="auto"/>
                <w:sz w:val="24"/>
                <w:szCs w:val="24"/>
              </w:rPr>
              <w:t>）</w:t>
            </w:r>
          </w:p>
        </w:tc>
        <w:tc>
          <w:tcPr>
            <w:tcW w:w="2743" w:type="dxa"/>
            <w:noWrap w:val="0"/>
            <w:vAlign w:val="center"/>
          </w:tcPr>
          <w:p w14:paraId="41D59BD9">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textAlignment w:val="auto"/>
              <w:rPr>
                <w:rFonts w:hint="default" w:ascii="Times New Roman" w:hAnsi="Times New Roman" w:eastAsia="宋体"/>
                <w:color w:val="auto"/>
                <w:sz w:val="24"/>
                <w:szCs w:val="24"/>
              </w:rPr>
            </w:pPr>
            <w:r>
              <w:rPr>
                <w:rFonts w:hint="eastAsia" w:ascii="Times New Roman" w:hAnsi="Times New Roman" w:eastAsia="宋体"/>
                <w:color w:val="auto"/>
                <w:sz w:val="24"/>
                <w:szCs w:val="24"/>
                <w:lang w:val="en-US" w:eastAsia="zh-CN"/>
              </w:rPr>
              <w:t>50</w:t>
            </w:r>
            <w:r>
              <w:rPr>
                <w:rFonts w:hint="default" w:ascii="Times New Roman" w:hAnsi="Times New Roman" w:eastAsia="宋体"/>
                <w:color w:val="auto"/>
                <w:sz w:val="24"/>
                <w:szCs w:val="24"/>
              </w:rPr>
              <w:t>00</w:t>
            </w:r>
          </w:p>
        </w:tc>
      </w:tr>
      <w:tr w14:paraId="095082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1894" w:hRule="atLeast"/>
          <w:jc w:val="center"/>
        </w:trPr>
        <w:tc>
          <w:tcPr>
            <w:tcW w:w="1228" w:type="dxa"/>
            <w:noWrap w:val="0"/>
            <w:vAlign w:val="center"/>
          </w:tcPr>
          <w:p w14:paraId="0BBC84D8">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kern w:val="0"/>
                <w:sz w:val="24"/>
                <w:szCs w:val="24"/>
              </w:rPr>
            </w:pPr>
            <w:r>
              <w:rPr>
                <w:rFonts w:hint="default" w:ascii="Times New Roman" w:hAnsi="Times New Roman" w:eastAsia="宋体"/>
                <w:color w:val="auto"/>
                <w:kern w:val="0"/>
                <w:sz w:val="24"/>
                <w:szCs w:val="24"/>
              </w:rPr>
              <w:t>专项评价设置情况</w:t>
            </w:r>
          </w:p>
        </w:tc>
        <w:tc>
          <w:tcPr>
            <w:tcW w:w="7973" w:type="dxa"/>
            <w:gridSpan w:val="3"/>
            <w:noWrap w:val="0"/>
            <w:vAlign w:val="center"/>
          </w:tcPr>
          <w:p w14:paraId="23F348B0">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kern w:val="0"/>
                <w:sz w:val="24"/>
                <w:szCs w:val="24"/>
              </w:rPr>
              <w:t>无</w:t>
            </w:r>
            <w:r>
              <w:rPr>
                <w:rFonts w:hint="eastAsia" w:ascii="Times New Roman" w:hAnsi="Times New Roman" w:eastAsia="宋体" w:cs="Times New Roman"/>
                <w:color w:val="auto"/>
                <w:kern w:val="0"/>
                <w:sz w:val="24"/>
                <w:szCs w:val="24"/>
                <w:lang w:eastAsia="zh-CN"/>
              </w:rPr>
              <w:t>。</w:t>
            </w:r>
          </w:p>
          <w:p w14:paraId="7C3A78A3">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根据《建设项目环境影响报告表编制技术指南（污染影响类）（试行）》，本项目专项评价判定情况见下表。</w:t>
            </w:r>
          </w:p>
          <w:p w14:paraId="4F3E03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表1-1专项评价设置对照一览表</w:t>
            </w:r>
          </w:p>
          <w:tbl>
            <w:tblPr>
              <w:tblStyle w:val="24"/>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84"/>
              <w:gridCol w:w="3645"/>
              <w:gridCol w:w="2812"/>
            </w:tblGrid>
            <w:tr w14:paraId="3334D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9" w:type="pct"/>
                  <w:tcBorders>
                    <w:tl2br w:val="nil"/>
                    <w:tr2bl w:val="nil"/>
                  </w:tcBorders>
                  <w:noWrap w:val="0"/>
                  <w:vAlign w:val="center"/>
                </w:tcPr>
                <w:p w14:paraId="133CABB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专项评价的类别</w:t>
                  </w:r>
                </w:p>
              </w:tc>
              <w:tc>
                <w:tcPr>
                  <w:tcW w:w="2354" w:type="pct"/>
                  <w:tcBorders>
                    <w:tl2br w:val="nil"/>
                    <w:tr2bl w:val="nil"/>
                  </w:tcBorders>
                  <w:noWrap w:val="0"/>
                  <w:vAlign w:val="center"/>
                </w:tcPr>
                <w:p w14:paraId="181E715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专项评价设置原则</w:t>
                  </w:r>
                </w:p>
              </w:tc>
              <w:tc>
                <w:tcPr>
                  <w:tcW w:w="1816" w:type="pct"/>
                  <w:tcBorders>
                    <w:tl2br w:val="nil"/>
                    <w:tr2bl w:val="nil"/>
                  </w:tcBorders>
                  <w:noWrap w:val="0"/>
                  <w:vAlign w:val="center"/>
                </w:tcPr>
                <w:p w14:paraId="569D341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本项目</w:t>
                  </w:r>
                </w:p>
              </w:tc>
            </w:tr>
            <w:tr w14:paraId="71BBD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9" w:type="pct"/>
                  <w:tcBorders>
                    <w:tl2br w:val="nil"/>
                    <w:tr2bl w:val="nil"/>
                  </w:tcBorders>
                  <w:noWrap w:val="0"/>
                  <w:vAlign w:val="center"/>
                </w:tcPr>
                <w:p w14:paraId="0637791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大气</w:t>
                  </w:r>
                </w:p>
              </w:tc>
              <w:tc>
                <w:tcPr>
                  <w:tcW w:w="2354" w:type="pct"/>
                  <w:tcBorders>
                    <w:tl2br w:val="nil"/>
                    <w:tr2bl w:val="nil"/>
                  </w:tcBorders>
                  <w:noWrap w:val="0"/>
                  <w:vAlign w:val="center"/>
                </w:tcPr>
                <w:p w14:paraId="0CC1C31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排放废气含有毒有害污染物（二氯甲烷、甲醛、三氯甲烷、三氯乙烯、四氯乙烯、乙醛、镉及其化合物、铬及其化合物、汞及其化合物、铅及其化合物、砷及其化合物）、二噁英、苯并芘[a]、氰化物、氯气且厂界外500m范围内有环境空气保护目标的建设项目。</w:t>
                  </w:r>
                </w:p>
              </w:tc>
              <w:tc>
                <w:tcPr>
                  <w:tcW w:w="1816" w:type="pct"/>
                  <w:tcBorders>
                    <w:tl2br w:val="nil"/>
                    <w:tr2bl w:val="nil"/>
                  </w:tcBorders>
                  <w:noWrap w:val="0"/>
                  <w:vAlign w:val="center"/>
                </w:tcPr>
                <w:p w14:paraId="0F0B3FA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rPr>
                  </w:pPr>
                  <w:r>
                    <w:rPr>
                      <w:rFonts w:hint="default" w:ascii="Times New Roman" w:hAnsi="Times New Roman" w:eastAsia="宋体"/>
                      <w:color w:val="auto"/>
                      <w:sz w:val="21"/>
                      <w:szCs w:val="21"/>
                    </w:rPr>
                    <w:t>本项目废气</w:t>
                  </w:r>
                  <w:r>
                    <w:rPr>
                      <w:rFonts w:hint="eastAsia" w:ascii="Times New Roman" w:hAnsi="Times New Roman" w:eastAsia="宋体"/>
                      <w:color w:val="auto"/>
                      <w:sz w:val="21"/>
                      <w:szCs w:val="21"/>
                      <w:lang w:val="en-US" w:eastAsia="zh-CN"/>
                    </w:rPr>
                    <w:t>污染物为</w:t>
                  </w:r>
                  <w:r>
                    <w:rPr>
                      <w:rFonts w:hint="default" w:ascii="Times New Roman" w:hAnsi="Times New Roman" w:eastAsia="宋体" w:cs="Times New Roman"/>
                      <w:color w:val="auto"/>
                      <w:sz w:val="21"/>
                      <w:szCs w:val="21"/>
                    </w:rPr>
                    <w:t>非甲烷总烃、颗粒物</w:t>
                  </w:r>
                  <w:r>
                    <w:rPr>
                      <w:rFonts w:hint="default" w:ascii="Times New Roman" w:hAnsi="Times New Roman" w:eastAsia="宋体"/>
                      <w:color w:val="auto"/>
                      <w:sz w:val="21"/>
                      <w:szCs w:val="21"/>
                    </w:rPr>
                    <w:t>，不涉及以上有毒有害污染物，且厂界外500米范围内没有环境空气保护目标，无需设置大气专项评价。</w:t>
                  </w:r>
                </w:p>
              </w:tc>
            </w:tr>
            <w:tr w14:paraId="6CF59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9" w:type="pct"/>
                  <w:tcBorders>
                    <w:tl2br w:val="nil"/>
                    <w:tr2bl w:val="nil"/>
                  </w:tcBorders>
                  <w:noWrap w:val="0"/>
                  <w:vAlign w:val="center"/>
                </w:tcPr>
                <w:p w14:paraId="65C5B1C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地表水</w:t>
                  </w:r>
                </w:p>
              </w:tc>
              <w:tc>
                <w:tcPr>
                  <w:tcW w:w="2354" w:type="pct"/>
                  <w:tcBorders>
                    <w:tl2br w:val="nil"/>
                    <w:tr2bl w:val="nil"/>
                  </w:tcBorders>
                  <w:noWrap w:val="0"/>
                  <w:vAlign w:val="center"/>
                </w:tcPr>
                <w:p w14:paraId="3E193BA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rPr>
                  </w:pPr>
                  <w:r>
                    <w:rPr>
                      <w:rFonts w:hint="default" w:ascii="Times New Roman" w:hAnsi="Times New Roman" w:eastAsia="宋体"/>
                      <w:color w:val="auto"/>
                      <w:sz w:val="21"/>
                      <w:szCs w:val="21"/>
                    </w:rPr>
                    <w:t>新增工业废水直排建设项目（槽罐车外送污水处理厂的除外）；新增废水直排的污水集中处理厂。</w:t>
                  </w:r>
                </w:p>
              </w:tc>
              <w:tc>
                <w:tcPr>
                  <w:tcW w:w="1816" w:type="pct"/>
                  <w:tcBorders>
                    <w:tl2br w:val="nil"/>
                    <w:tr2bl w:val="nil"/>
                  </w:tcBorders>
                  <w:noWrap w:val="0"/>
                  <w:vAlign w:val="center"/>
                </w:tcPr>
                <w:p w14:paraId="1EE6D6B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本项目</w:t>
                  </w:r>
                  <w:r>
                    <w:rPr>
                      <w:rFonts w:hint="eastAsia" w:ascii="Times New Roman" w:hAnsi="Times New Roman" w:eastAsia="宋体"/>
                      <w:color w:val="auto"/>
                      <w:sz w:val="21"/>
                      <w:szCs w:val="21"/>
                      <w:lang w:val="en-US" w:eastAsia="zh-CN"/>
                    </w:rPr>
                    <w:t>废水经厂区现有</w:t>
                  </w:r>
                  <w:r>
                    <w:rPr>
                      <w:rFonts w:hint="default" w:ascii="Times New Roman" w:hAnsi="Times New Roman" w:eastAsia="宋体"/>
                      <w:color w:val="auto"/>
                      <w:sz w:val="21"/>
                      <w:szCs w:val="21"/>
                      <w:highlight w:val="none"/>
                    </w:rPr>
                    <w:t>污水处理站处理达标后全部回用</w:t>
                  </w:r>
                  <w:r>
                    <w:rPr>
                      <w:rFonts w:hint="eastAsia" w:ascii="Times New Roman" w:hAnsi="Times New Roman" w:eastAsia="宋体"/>
                      <w:color w:val="auto"/>
                      <w:sz w:val="21"/>
                      <w:szCs w:val="21"/>
                      <w:highlight w:val="none"/>
                      <w:lang w:eastAsia="zh-CN"/>
                    </w:rPr>
                    <w:t>，</w:t>
                  </w:r>
                  <w:r>
                    <w:rPr>
                      <w:rFonts w:hint="default" w:ascii="Times New Roman" w:hAnsi="Times New Roman" w:eastAsia="宋体" w:cs="Times New Roman"/>
                      <w:color w:val="auto"/>
                      <w:sz w:val="21"/>
                      <w:szCs w:val="21"/>
                      <w:lang w:val="en-US" w:eastAsia="zh-CN"/>
                    </w:rPr>
                    <w:t>无</w:t>
                  </w:r>
                  <w:r>
                    <w:rPr>
                      <w:rFonts w:hint="eastAsia" w:ascii="Times New Roman" w:hAnsi="Times New Roman" w:eastAsia="宋体" w:cs="Times New Roman"/>
                      <w:color w:val="auto"/>
                      <w:sz w:val="21"/>
                      <w:szCs w:val="21"/>
                      <w:lang w:val="en-US" w:eastAsia="zh-CN"/>
                    </w:rPr>
                    <w:t>生产生活</w:t>
                  </w:r>
                  <w:r>
                    <w:rPr>
                      <w:rFonts w:hint="default" w:ascii="Times New Roman" w:hAnsi="Times New Roman" w:eastAsia="宋体" w:cs="Times New Roman"/>
                      <w:color w:val="auto"/>
                      <w:sz w:val="21"/>
                      <w:szCs w:val="21"/>
                      <w:lang w:val="en-US" w:eastAsia="zh-CN"/>
                    </w:rPr>
                    <w:t>废水外排</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olor w:val="auto"/>
                      <w:sz w:val="21"/>
                      <w:szCs w:val="21"/>
                      <w:lang w:val="en-US" w:eastAsia="zh-CN"/>
                    </w:rPr>
                    <w:t>无需设置地表水专项评价。</w:t>
                  </w:r>
                </w:p>
              </w:tc>
            </w:tr>
            <w:tr w14:paraId="35E64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9" w:type="pct"/>
                  <w:tcBorders>
                    <w:tl2br w:val="nil"/>
                    <w:tr2bl w:val="nil"/>
                  </w:tcBorders>
                  <w:noWrap w:val="0"/>
                  <w:vAlign w:val="center"/>
                </w:tcPr>
                <w:p w14:paraId="0F68DFC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环境风险</w:t>
                  </w:r>
                </w:p>
              </w:tc>
              <w:tc>
                <w:tcPr>
                  <w:tcW w:w="2354" w:type="pct"/>
                  <w:tcBorders>
                    <w:tl2br w:val="nil"/>
                    <w:tr2bl w:val="nil"/>
                  </w:tcBorders>
                  <w:noWrap w:val="0"/>
                  <w:vAlign w:val="center"/>
                </w:tcPr>
                <w:p w14:paraId="221A89D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rPr>
                  </w:pPr>
                  <w:r>
                    <w:rPr>
                      <w:rFonts w:hint="default" w:ascii="Times New Roman" w:hAnsi="Times New Roman" w:eastAsia="宋体"/>
                      <w:color w:val="auto"/>
                      <w:sz w:val="21"/>
                      <w:szCs w:val="21"/>
                    </w:rPr>
                    <w:t>有毒有害和易燃易爆危险物质存储量超过临界量的建设项目。</w:t>
                  </w:r>
                </w:p>
              </w:tc>
              <w:tc>
                <w:tcPr>
                  <w:tcW w:w="1816" w:type="pct"/>
                  <w:tcBorders>
                    <w:tl2br w:val="nil"/>
                    <w:tr2bl w:val="nil"/>
                  </w:tcBorders>
                  <w:noWrap w:val="0"/>
                  <w:vAlign w:val="center"/>
                </w:tcPr>
                <w:p w14:paraId="6CECC88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本项目</w:t>
                  </w:r>
                  <w:r>
                    <w:rPr>
                      <w:rFonts w:hint="eastAsia" w:ascii="Times New Roman" w:hAnsi="Times New Roman" w:eastAsia="宋体"/>
                      <w:color w:val="auto"/>
                      <w:sz w:val="21"/>
                      <w:szCs w:val="21"/>
                      <w:lang w:val="en-US" w:eastAsia="zh-CN"/>
                    </w:rPr>
                    <w:t>使用原辅材料主要为HDPE、钢材、色母粒、抗老化助剂，</w:t>
                  </w:r>
                  <w:r>
                    <w:rPr>
                      <w:rFonts w:hint="default" w:ascii="Times New Roman" w:hAnsi="Times New Roman" w:eastAsia="宋体"/>
                      <w:color w:val="auto"/>
                      <w:sz w:val="21"/>
                      <w:szCs w:val="21"/>
                      <w:lang w:val="en-US" w:eastAsia="zh-CN"/>
                    </w:rPr>
                    <w:t>不涉及易燃易爆危险物质无需设置风险专项评价。</w:t>
                  </w:r>
                </w:p>
              </w:tc>
            </w:tr>
            <w:tr w14:paraId="652C4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9" w:type="pct"/>
                  <w:tcBorders>
                    <w:tl2br w:val="nil"/>
                    <w:tr2bl w:val="nil"/>
                  </w:tcBorders>
                  <w:noWrap w:val="0"/>
                  <w:vAlign w:val="center"/>
                </w:tcPr>
                <w:p w14:paraId="100ED15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生态</w:t>
                  </w:r>
                </w:p>
              </w:tc>
              <w:tc>
                <w:tcPr>
                  <w:tcW w:w="2354" w:type="pct"/>
                  <w:tcBorders>
                    <w:tl2br w:val="nil"/>
                    <w:tr2bl w:val="nil"/>
                  </w:tcBorders>
                  <w:noWrap w:val="0"/>
                  <w:vAlign w:val="center"/>
                </w:tcPr>
                <w:p w14:paraId="039B4E8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rPr>
                  </w:pPr>
                  <w:r>
                    <w:rPr>
                      <w:rFonts w:hint="default" w:ascii="Times New Roman" w:hAnsi="Times New Roman" w:eastAsia="宋体"/>
                      <w:color w:val="auto"/>
                      <w:sz w:val="21"/>
                      <w:szCs w:val="21"/>
                    </w:rPr>
                    <w:t>取水口下游500m范围内有重要水生生物的自然产卵场、索饵场、越冬场和洄游通道的新增河道取水的污染物建设项目。</w:t>
                  </w:r>
                </w:p>
              </w:tc>
              <w:tc>
                <w:tcPr>
                  <w:tcW w:w="1816" w:type="pct"/>
                  <w:tcBorders>
                    <w:tl2br w:val="nil"/>
                    <w:tr2bl w:val="nil"/>
                  </w:tcBorders>
                  <w:noWrap w:val="0"/>
                  <w:vAlign w:val="center"/>
                </w:tcPr>
                <w:p w14:paraId="1CD768E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本项</w:t>
                  </w:r>
                  <w:r>
                    <w:rPr>
                      <w:rFonts w:hint="default" w:ascii="Times New Roman" w:hAnsi="Times New Roman" w:eastAsia="宋体" w:cs="Times New Roman"/>
                      <w:color w:val="auto"/>
                      <w:sz w:val="21"/>
                      <w:szCs w:val="21"/>
                      <w:lang w:val="en-US" w:eastAsia="zh-CN"/>
                    </w:rPr>
                    <w:t>目建设地点为公司</w:t>
                  </w:r>
                  <w:r>
                    <w:rPr>
                      <w:rFonts w:hint="eastAsia" w:ascii="Times New Roman" w:hAnsi="Times New Roman" w:eastAsia="宋体" w:cs="Times New Roman"/>
                      <w:color w:val="auto"/>
                      <w:sz w:val="21"/>
                      <w:szCs w:val="21"/>
                      <w:lang w:val="en-US" w:eastAsia="zh-CN"/>
                    </w:rPr>
                    <w:t>现有</w:t>
                  </w:r>
                  <w:r>
                    <w:rPr>
                      <w:rFonts w:hint="default" w:ascii="Times New Roman" w:hAnsi="Times New Roman" w:eastAsia="宋体" w:cs="Times New Roman"/>
                      <w:color w:val="auto"/>
                      <w:sz w:val="21"/>
                      <w:szCs w:val="21"/>
                      <w:lang w:val="en-US" w:eastAsia="zh-CN"/>
                    </w:rPr>
                    <w:t>处置区预留土地，</w:t>
                  </w:r>
                  <w:r>
                    <w:rPr>
                      <w:rFonts w:hint="eastAsia" w:ascii="Times New Roman" w:hAnsi="Times New Roman" w:eastAsia="宋体" w:cs="Times New Roman"/>
                      <w:color w:val="auto"/>
                      <w:sz w:val="21"/>
                      <w:szCs w:val="21"/>
                      <w:lang w:val="en-US" w:eastAsia="zh-CN"/>
                    </w:rPr>
                    <w:t>本项目生产生活水源全部来自于厂区现有供水管网，</w:t>
                  </w:r>
                  <w:r>
                    <w:rPr>
                      <w:rFonts w:hint="default" w:ascii="Times New Roman" w:hAnsi="Times New Roman" w:eastAsia="宋体" w:cs="Times New Roman"/>
                      <w:color w:val="auto"/>
                      <w:sz w:val="21"/>
                      <w:szCs w:val="21"/>
                      <w:lang w:val="en-US" w:eastAsia="zh-CN"/>
                    </w:rPr>
                    <w:t>不涉及新增</w:t>
                  </w:r>
                  <w:r>
                    <w:rPr>
                      <w:rFonts w:hint="eastAsia" w:ascii="Times New Roman" w:hAnsi="Times New Roman" w:eastAsia="宋体" w:cs="Times New Roman"/>
                      <w:color w:val="auto"/>
                      <w:sz w:val="21"/>
                      <w:szCs w:val="21"/>
                      <w:lang w:val="en-US" w:eastAsia="zh-CN"/>
                    </w:rPr>
                    <w:t>占地及</w:t>
                  </w:r>
                  <w:r>
                    <w:rPr>
                      <w:rFonts w:hint="default" w:ascii="Times New Roman" w:hAnsi="Times New Roman" w:eastAsia="宋体" w:cs="Times New Roman"/>
                      <w:color w:val="auto"/>
                      <w:sz w:val="21"/>
                      <w:szCs w:val="21"/>
                      <w:lang w:val="en-US" w:eastAsia="zh-CN"/>
                    </w:rPr>
                    <w:t>河道取水，无需设</w:t>
                  </w:r>
                  <w:r>
                    <w:rPr>
                      <w:rFonts w:hint="default" w:ascii="Times New Roman" w:hAnsi="Times New Roman" w:eastAsia="宋体"/>
                      <w:color w:val="auto"/>
                      <w:sz w:val="21"/>
                      <w:szCs w:val="21"/>
                      <w:lang w:val="en-US" w:eastAsia="zh-CN"/>
                    </w:rPr>
                    <w:t>置生态专项评价。</w:t>
                  </w:r>
                </w:p>
              </w:tc>
            </w:tr>
            <w:tr w14:paraId="561CF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9" w:type="pct"/>
                  <w:tcBorders>
                    <w:tl2br w:val="nil"/>
                    <w:tr2bl w:val="nil"/>
                  </w:tcBorders>
                  <w:noWrap w:val="0"/>
                  <w:vAlign w:val="center"/>
                </w:tcPr>
                <w:p w14:paraId="3614D22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海洋</w:t>
                  </w:r>
                </w:p>
              </w:tc>
              <w:tc>
                <w:tcPr>
                  <w:tcW w:w="2354" w:type="pct"/>
                  <w:tcBorders>
                    <w:tl2br w:val="nil"/>
                    <w:tr2bl w:val="nil"/>
                  </w:tcBorders>
                  <w:noWrap w:val="0"/>
                  <w:vAlign w:val="center"/>
                </w:tcPr>
                <w:p w14:paraId="6846BBC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rPr>
                  </w:pPr>
                  <w:r>
                    <w:rPr>
                      <w:rFonts w:hint="default" w:ascii="Times New Roman" w:hAnsi="Times New Roman" w:eastAsia="宋体"/>
                      <w:color w:val="auto"/>
                      <w:sz w:val="21"/>
                      <w:szCs w:val="21"/>
                    </w:rPr>
                    <w:t>直接向海排放污染物的海洋工程建设项目。</w:t>
                  </w:r>
                </w:p>
              </w:tc>
              <w:tc>
                <w:tcPr>
                  <w:tcW w:w="1816" w:type="pct"/>
                  <w:tcBorders>
                    <w:tl2br w:val="nil"/>
                    <w:tr2bl w:val="nil"/>
                  </w:tcBorders>
                  <w:noWrap w:val="0"/>
                  <w:vAlign w:val="center"/>
                </w:tcPr>
                <w:p w14:paraId="6C096AD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本项目</w:t>
                  </w:r>
                  <w:r>
                    <w:rPr>
                      <w:rFonts w:hint="eastAsia" w:ascii="Times New Roman" w:hAnsi="Times New Roman" w:eastAsia="宋体" w:cs="Times New Roman"/>
                      <w:color w:val="auto"/>
                      <w:sz w:val="21"/>
                      <w:szCs w:val="21"/>
                      <w:lang w:val="en-US" w:eastAsia="zh-CN"/>
                    </w:rPr>
                    <w:t>建设地点为</w:t>
                  </w:r>
                  <w:r>
                    <w:rPr>
                      <w:rFonts w:hint="eastAsia" w:ascii="Times New Roman" w:hAnsi="Times New Roman" w:eastAsia="宋体"/>
                      <w:color w:val="auto"/>
                      <w:sz w:val="21"/>
                      <w:szCs w:val="21"/>
                      <w:lang w:val="en-US" w:eastAsia="zh-CN"/>
                    </w:rPr>
                    <w:t>鄂托克高新技术产业开发区蒙西产业园</w:t>
                  </w:r>
                  <w:r>
                    <w:rPr>
                      <w:rFonts w:hint="default" w:ascii="Times New Roman" w:hAnsi="Times New Roman" w:eastAsia="宋体" w:cs="Times New Roman"/>
                      <w:color w:val="auto"/>
                      <w:sz w:val="21"/>
                      <w:szCs w:val="21"/>
                      <w:lang w:val="en-US" w:eastAsia="zh-CN"/>
                    </w:rPr>
                    <w:t>，属于内陆地区，不涉及海洋排放或海洋工程，无需</w:t>
                  </w:r>
                  <w:r>
                    <w:rPr>
                      <w:rFonts w:hint="default" w:ascii="Times New Roman" w:hAnsi="Times New Roman" w:eastAsia="宋体"/>
                      <w:color w:val="auto"/>
                      <w:sz w:val="21"/>
                      <w:szCs w:val="21"/>
                      <w:lang w:val="en-US" w:eastAsia="zh-CN"/>
                    </w:rPr>
                    <w:t>设置海洋专项评价。</w:t>
                  </w:r>
                </w:p>
              </w:tc>
            </w:tr>
          </w:tbl>
          <w:p w14:paraId="44582450">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olor w:val="auto"/>
                <w:kern w:val="0"/>
                <w:sz w:val="24"/>
                <w:szCs w:val="24"/>
              </w:rPr>
            </w:pPr>
            <w:r>
              <w:rPr>
                <w:rFonts w:hint="default" w:ascii="Times New Roman" w:hAnsi="Times New Roman" w:eastAsia="宋体" w:cs="Times New Roman"/>
                <w:color w:val="auto"/>
                <w:kern w:val="0"/>
                <w:sz w:val="24"/>
                <w:szCs w:val="24"/>
              </w:rPr>
              <w:t>根据指南要求，土壤、声环境不开展专项评价。地下水原则上不开展专项评价，涉及集中式饮用水水源和热水、矿泉水、温泉等特殊地下水资源保护区的开展地下水专项评价工作。</w:t>
            </w:r>
            <w:r>
              <w:rPr>
                <w:rFonts w:hint="default" w:ascii="Times New Roman" w:hAnsi="Times New Roman" w:eastAsia="宋体" w:cs="Times New Roman"/>
                <w:color w:val="auto"/>
                <w:kern w:val="0"/>
                <w:sz w:val="24"/>
                <w:szCs w:val="24"/>
                <w:lang w:val="en-US" w:eastAsia="zh-CN"/>
              </w:rPr>
              <w:t>本项目位于</w:t>
            </w:r>
            <w:r>
              <w:rPr>
                <w:rFonts w:hint="eastAsia" w:ascii="Times New Roman" w:hAnsi="Times New Roman" w:eastAsia="宋体"/>
                <w:color w:val="auto"/>
                <w:sz w:val="24"/>
                <w:szCs w:val="24"/>
                <w:lang w:val="en-US" w:eastAsia="zh-CN"/>
              </w:rPr>
              <w:t>鄂托克高新技术产业开发区蒙西产业园内蒙古美力坚清蓝危废处置有限公司厂区内</w:t>
            </w:r>
            <w:r>
              <w:rPr>
                <w:rFonts w:hint="default" w:ascii="Times New Roman" w:hAnsi="Times New Roman" w:eastAsia="宋体" w:cs="Times New Roman"/>
                <w:color w:val="auto"/>
                <w:kern w:val="0"/>
                <w:sz w:val="24"/>
                <w:szCs w:val="24"/>
              </w:rPr>
              <w:t>，项目周边不涉及集中式饮用水水源和热水、矿泉水、温泉等特殊地下水资源保护区，因此无需设置开展地下水专项评价工作。</w:t>
            </w:r>
          </w:p>
        </w:tc>
      </w:tr>
      <w:tr w14:paraId="4137F8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383" w:hRule="atLeast"/>
          <w:jc w:val="center"/>
        </w:trPr>
        <w:tc>
          <w:tcPr>
            <w:tcW w:w="1228" w:type="dxa"/>
            <w:noWrap w:val="0"/>
            <w:vAlign w:val="center"/>
          </w:tcPr>
          <w:p w14:paraId="31E07B04">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kern w:val="0"/>
                <w:sz w:val="24"/>
                <w:szCs w:val="24"/>
              </w:rPr>
            </w:pPr>
            <w:r>
              <w:rPr>
                <w:rFonts w:hint="default" w:ascii="Times New Roman" w:hAnsi="Times New Roman" w:eastAsia="宋体"/>
                <w:color w:val="auto"/>
                <w:sz w:val="24"/>
                <w:szCs w:val="24"/>
              </w:rPr>
              <w:t>规划情况</w:t>
            </w:r>
          </w:p>
        </w:tc>
        <w:tc>
          <w:tcPr>
            <w:tcW w:w="7973" w:type="dxa"/>
            <w:gridSpan w:val="3"/>
            <w:noWrap w:val="0"/>
            <w:vAlign w:val="center"/>
          </w:tcPr>
          <w:p w14:paraId="6D2474AC">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规划名称:《鄂托克经济开发区国土空间总体规划(2021-2035)》</w:t>
            </w:r>
          </w:p>
          <w:p w14:paraId="26D9D839">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olor w:val="auto"/>
                <w:kern w:val="0"/>
                <w:sz w:val="24"/>
                <w:szCs w:val="24"/>
              </w:rPr>
            </w:pPr>
            <w:r>
              <w:rPr>
                <w:rFonts w:hint="default" w:ascii="Times New Roman" w:hAnsi="Times New Roman" w:eastAsia="宋体" w:cs="Times New Roman"/>
                <w:color w:val="auto"/>
                <w:kern w:val="0"/>
                <w:sz w:val="24"/>
                <w:szCs w:val="24"/>
                <w:lang w:val="en-US" w:eastAsia="zh-CN"/>
              </w:rPr>
              <w:t>规划审批:内蒙古自治区人民政府于2024年3月25日批复</w:t>
            </w:r>
          </w:p>
        </w:tc>
      </w:tr>
      <w:tr w14:paraId="77912A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342" w:hRule="atLeast"/>
          <w:jc w:val="center"/>
        </w:trPr>
        <w:tc>
          <w:tcPr>
            <w:tcW w:w="1228" w:type="dxa"/>
            <w:noWrap w:val="0"/>
            <w:vAlign w:val="center"/>
          </w:tcPr>
          <w:p w14:paraId="0D18AE4C">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sz w:val="24"/>
                <w:szCs w:val="24"/>
              </w:rPr>
            </w:pPr>
            <w:r>
              <w:rPr>
                <w:rFonts w:hint="default" w:ascii="Times New Roman" w:hAnsi="Times New Roman" w:eastAsia="宋体"/>
                <w:color w:val="auto"/>
                <w:sz w:val="24"/>
                <w:szCs w:val="24"/>
              </w:rPr>
              <w:t>规划环境影响</w:t>
            </w:r>
          </w:p>
          <w:p w14:paraId="23BE3D91">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kern w:val="0"/>
                <w:sz w:val="24"/>
                <w:szCs w:val="24"/>
              </w:rPr>
            </w:pPr>
            <w:r>
              <w:rPr>
                <w:rFonts w:hint="default" w:ascii="Times New Roman" w:hAnsi="Times New Roman" w:eastAsia="宋体"/>
                <w:color w:val="auto"/>
                <w:sz w:val="24"/>
                <w:szCs w:val="24"/>
              </w:rPr>
              <w:t>评价情况</w:t>
            </w:r>
          </w:p>
        </w:tc>
        <w:tc>
          <w:tcPr>
            <w:tcW w:w="7973" w:type="dxa"/>
            <w:gridSpan w:val="3"/>
            <w:noWrap w:val="0"/>
            <w:vAlign w:val="center"/>
          </w:tcPr>
          <w:p w14:paraId="016B70D4">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olor w:val="auto"/>
                <w:kern w:val="0"/>
                <w:sz w:val="24"/>
                <w:szCs w:val="24"/>
              </w:rPr>
            </w:pPr>
            <w:r>
              <w:rPr>
                <w:rFonts w:hint="default" w:ascii="Times New Roman" w:hAnsi="Times New Roman" w:eastAsia="宋体" w:cs="Times New Roman"/>
                <w:color w:val="auto"/>
                <w:kern w:val="0"/>
                <w:sz w:val="24"/>
                <w:szCs w:val="24"/>
                <w:lang w:val="en-US" w:eastAsia="zh-CN"/>
              </w:rPr>
              <w:t>《鄂托克经济开发区国土空间总体规划</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2021-2035</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蒙西产业园环境影响报告书》于2024年</w:t>
            </w:r>
            <w:r>
              <w:rPr>
                <w:rFonts w:hint="eastAsia" w:ascii="Times New Roman" w:hAnsi="Times New Roman" w:eastAsia="宋体" w:cs="Times New Roman"/>
                <w:color w:val="auto"/>
                <w:kern w:val="0"/>
                <w:sz w:val="24"/>
                <w:szCs w:val="24"/>
                <w:lang w:val="en-US" w:eastAsia="zh-CN"/>
              </w:rPr>
              <w:t>6</w:t>
            </w:r>
            <w:r>
              <w:rPr>
                <w:rFonts w:hint="default" w:ascii="Times New Roman" w:hAnsi="Times New Roman" w:eastAsia="宋体" w:cs="Times New Roman"/>
                <w:color w:val="auto"/>
                <w:kern w:val="0"/>
                <w:sz w:val="24"/>
                <w:szCs w:val="24"/>
                <w:lang w:val="en-US" w:eastAsia="zh-CN"/>
              </w:rPr>
              <w:t>月</w:t>
            </w:r>
            <w:r>
              <w:rPr>
                <w:rFonts w:hint="eastAsia" w:ascii="Times New Roman" w:hAnsi="Times New Roman" w:eastAsia="宋体" w:cs="Times New Roman"/>
                <w:color w:val="auto"/>
                <w:kern w:val="0"/>
                <w:sz w:val="24"/>
                <w:szCs w:val="24"/>
                <w:lang w:val="en-US" w:eastAsia="zh-CN"/>
              </w:rPr>
              <w:t>11</w:t>
            </w:r>
            <w:r>
              <w:rPr>
                <w:rFonts w:hint="default" w:ascii="Times New Roman" w:hAnsi="Times New Roman" w:eastAsia="宋体" w:cs="Times New Roman"/>
                <w:color w:val="auto"/>
                <w:kern w:val="0"/>
                <w:sz w:val="24"/>
                <w:szCs w:val="24"/>
                <w:lang w:val="en-US" w:eastAsia="zh-CN"/>
              </w:rPr>
              <w:t>日取得内蒙古自治区生态环境厅关于《鄂托克经济开发区国土空间总体规划</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2021-2035</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蒙西产业园环境影响报告书》的审查意见。</w:t>
            </w:r>
            <w:r>
              <w:rPr>
                <w:rFonts w:hint="default" w:ascii="Times New Roman" w:hAnsi="Times New Roman" w:eastAsia="宋体" w:cs="Times New Roman"/>
                <w:color w:val="auto"/>
                <w:kern w:val="0"/>
                <w:sz w:val="24"/>
                <w:szCs w:val="24"/>
              </w:rPr>
              <w:t>内环审</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2024</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32号</w:t>
            </w:r>
          </w:p>
        </w:tc>
      </w:tr>
      <w:tr w14:paraId="047AAC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1021" w:hRule="atLeast"/>
          <w:jc w:val="center"/>
        </w:trPr>
        <w:tc>
          <w:tcPr>
            <w:tcW w:w="1228" w:type="dxa"/>
            <w:noWrap w:val="0"/>
            <w:vAlign w:val="center"/>
          </w:tcPr>
          <w:p w14:paraId="38737812">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kern w:val="0"/>
                <w:sz w:val="24"/>
                <w:szCs w:val="24"/>
              </w:rPr>
            </w:pPr>
            <w:r>
              <w:rPr>
                <w:rFonts w:hint="default" w:ascii="Times New Roman" w:hAnsi="Times New Roman" w:eastAsia="宋体"/>
                <w:color w:val="auto"/>
                <w:kern w:val="0"/>
                <w:sz w:val="24"/>
                <w:szCs w:val="24"/>
              </w:rPr>
              <w:t>规划及规划环境</w:t>
            </w:r>
          </w:p>
          <w:p w14:paraId="1640ED3F">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kern w:val="0"/>
                <w:sz w:val="24"/>
                <w:szCs w:val="24"/>
              </w:rPr>
            </w:pPr>
            <w:r>
              <w:rPr>
                <w:rFonts w:hint="default" w:ascii="Times New Roman" w:hAnsi="Times New Roman" w:eastAsia="宋体"/>
                <w:color w:val="auto"/>
                <w:kern w:val="0"/>
                <w:sz w:val="24"/>
                <w:szCs w:val="24"/>
              </w:rPr>
              <w:t>影响评价符合性分析</w:t>
            </w:r>
          </w:p>
        </w:tc>
        <w:tc>
          <w:tcPr>
            <w:tcW w:w="7973" w:type="dxa"/>
            <w:gridSpan w:val="3"/>
            <w:noWrap w:val="0"/>
            <w:vAlign w:val="center"/>
          </w:tcPr>
          <w:p w14:paraId="5B150B74">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本项目位于</w:t>
            </w:r>
            <w:r>
              <w:rPr>
                <w:rFonts w:hint="eastAsia" w:ascii="Times New Roman" w:hAnsi="Times New Roman" w:eastAsia="宋体" w:cs="Times New Roman"/>
                <w:color w:val="auto"/>
                <w:kern w:val="0"/>
                <w:sz w:val="24"/>
                <w:szCs w:val="24"/>
                <w:lang w:val="en-US" w:eastAsia="zh-CN"/>
              </w:rPr>
              <w:t>鄂托克高新技术产业开发区蒙西产业园内蒙古美力坚清蓝危废处置有限公司厂区内</w:t>
            </w:r>
            <w:r>
              <w:rPr>
                <w:rFonts w:hint="default" w:ascii="Times New Roman" w:hAnsi="Times New Roman" w:eastAsia="宋体" w:cs="Times New Roman"/>
                <w:color w:val="auto"/>
                <w:kern w:val="0"/>
                <w:sz w:val="24"/>
                <w:szCs w:val="24"/>
                <w:lang w:val="en-US" w:eastAsia="zh-CN"/>
              </w:rPr>
              <w:t>，本次评价根据《鄂托克经济开发区国土空间总体规划（2021-2035）蒙西产业园环境影响报告书》（内环审〔2024〕32号）分析本项目与规划及规划环境影响评价的符合性。规划符合性分析见下表。</w:t>
            </w:r>
          </w:p>
          <w:p w14:paraId="362E110D">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一、与园区规划符合性分析</w:t>
            </w:r>
          </w:p>
          <w:p w14:paraId="023E52E2">
            <w:pPr>
              <w:keepNext w:val="0"/>
              <w:keepLines w:val="0"/>
              <w:pageBreakBefore w:val="0"/>
              <w:widowControl/>
              <w:suppressLineNumbers w:val="0"/>
              <w:kinsoku/>
              <w:overflowPunct/>
              <w:topLinePunct/>
              <w:autoSpaceDE w:val="0"/>
              <w:autoSpaceDN w:val="0"/>
              <w:bidi w:val="0"/>
              <w:snapToGrid w:val="0"/>
              <w:spacing w:before="0" w:beforeAutospacing="0" w:after="0" w:afterLines="0" w:afterAutospacing="0" w:line="360" w:lineRule="auto"/>
              <w:ind w:left="0" w:right="0" w:firstLine="48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内蒙古鄂托克经济开发区位于鄂尔多斯市鄂托克旗，是自治区呼包鄂“大金三角”经济区的重要组成部分，是自治区西部乌海-乌斯太-棋盘井“小三角”的核心一角。经开区按照“一区两园”运行模式发展，鄂尔多斯鄂托克经济开发区分为蒙西产业园和棋盘井产业园两个区块，开发区面积53.6575km</w:t>
            </w:r>
            <w:r>
              <w:rPr>
                <w:rFonts w:hint="default" w:ascii="Times New Roman" w:hAnsi="Times New Roman" w:eastAsia="宋体" w:cs="Times New Roman"/>
                <w:color w:val="auto"/>
                <w:kern w:val="0"/>
                <w:sz w:val="24"/>
                <w:szCs w:val="24"/>
                <w:vertAlign w:val="superscript"/>
                <w:lang w:val="en-US" w:eastAsia="zh-CN"/>
              </w:rPr>
              <w:t>2</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蒙西产业园区块面积为25.7034km</w:t>
            </w:r>
            <w:r>
              <w:rPr>
                <w:rFonts w:hint="default" w:ascii="Times New Roman" w:hAnsi="Times New Roman" w:eastAsia="宋体" w:cs="Times New Roman"/>
                <w:color w:val="auto"/>
                <w:kern w:val="0"/>
                <w:sz w:val="24"/>
                <w:szCs w:val="24"/>
                <w:vertAlign w:val="superscript"/>
                <w:lang w:val="en-US" w:eastAsia="zh-CN"/>
              </w:rPr>
              <w:t>2</w:t>
            </w:r>
            <w:r>
              <w:rPr>
                <w:rFonts w:hint="default" w:ascii="Times New Roman" w:hAnsi="Times New Roman" w:eastAsia="宋体" w:cs="Times New Roman"/>
                <w:color w:val="auto"/>
                <w:kern w:val="0"/>
                <w:sz w:val="24"/>
                <w:szCs w:val="24"/>
                <w:lang w:val="en-US" w:eastAsia="zh-CN"/>
              </w:rPr>
              <w:t>。四至范围为规划范围东至京藏高速、南至新千公路、西至包兰铁路、北至千里山500KV变电站南规划路</w:t>
            </w:r>
            <w:r>
              <w:rPr>
                <w:rFonts w:hint="eastAsia" w:ascii="Times New Roman" w:hAnsi="Times New Roman" w:eastAsia="宋体" w:cs="Times New Roman"/>
                <w:color w:val="auto"/>
                <w:kern w:val="0"/>
                <w:sz w:val="24"/>
                <w:szCs w:val="24"/>
                <w:lang w:val="en-US" w:eastAsia="zh-CN"/>
              </w:rPr>
              <w:t>。根据蒙西产业园的产业功能特点，将各产业分为四类产业功能分区，包括既有项目建成区（南），现状以焦化项目为主，规划未来原则上不新增焦化产能；既有项目建成区（北），在现有特钢及其制品等特种冶金产业基础上，根据市场、资源、指标等条件适度发展高端专用化金属制品，采用创新技术实现冶炼废渣高附加值利用，实现绿色发展；精细化工板块，围绕氯碱化工，重点发展氯化高聚物、耗氯精细化工产品、聚氯乙烯(PVC)高端差异化产品、聚乙烯醇(PVA)下游等高技术含量、高附加值的耗氯精细化学品和专用化工新材料产品；新材料板块，在传统产业升级和产业链延伸完成度较高的基础上，跨越式发展新材料，主要包括可生物降解塑料、高性能纤维、功能性膜材料、硅基新材料和建筑新材料五个产业方向。</w:t>
            </w:r>
          </w:p>
          <w:p w14:paraId="63AC30CD">
            <w:pPr>
              <w:keepNext w:val="0"/>
              <w:keepLines w:val="0"/>
              <w:pageBreakBefore w:val="0"/>
              <w:widowControl/>
              <w:suppressLineNumbers w:val="0"/>
              <w:kinsoku/>
              <w:overflowPunct/>
              <w:topLinePunct/>
              <w:autoSpaceDE w:val="0"/>
              <w:autoSpaceDN w:val="0"/>
              <w:bidi w:val="0"/>
              <w:snapToGrid w:val="0"/>
              <w:spacing w:before="0" w:beforeAutospacing="0" w:after="0" w:afterLines="0" w:afterAutospacing="0" w:line="360" w:lineRule="auto"/>
              <w:ind w:left="0" w:right="0" w:firstLine="480"/>
              <w:jc w:val="left"/>
              <w:textAlignment w:val="auto"/>
              <w:rPr>
                <w:rFonts w:hint="eastAsia"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蒙西产业园在上述产业发展的基础上以新材料和精细化工</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即专用化学品</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为主导，以现代物流服务业为配套，建设自治区“小三角"科技环保型企业集群和新技术应用研发集中的西部一流特色产业园、国家级终端工业品生产基地。蒙西产业园主导产业为化工、冶金、新材料。</w:t>
            </w:r>
            <w:r>
              <w:rPr>
                <w:rFonts w:hint="default" w:ascii="宋体" w:hAnsi="宋体" w:eastAsia="宋体" w:cs="宋体"/>
                <w:color w:val="auto"/>
                <w:sz w:val="24"/>
                <w:szCs w:val="24"/>
              </w:rPr>
              <w:t>本项目由园区内危废处置企业配套建设，产品为危废专用包装容</w:t>
            </w:r>
            <w:r>
              <w:rPr>
                <w:rFonts w:hint="eastAsia" w:ascii="Times New Roman" w:hAnsi="Times New Roman" w:eastAsia="宋体" w:cs="Times New Roman"/>
                <w:color w:val="auto"/>
                <w:kern w:val="0"/>
                <w:sz w:val="24"/>
                <w:szCs w:val="24"/>
                <w:lang w:val="en-US" w:eastAsia="zh-CN"/>
              </w:rPr>
              <w:t>器（IBC吨桶、HDPE200L塑料桶），</w:t>
            </w:r>
            <w:r>
              <w:rPr>
                <w:rFonts w:hint="default" w:ascii="宋体" w:hAnsi="宋体" w:eastAsia="宋体" w:cs="宋体"/>
                <w:color w:val="auto"/>
                <w:sz w:val="24"/>
                <w:szCs w:val="24"/>
              </w:rPr>
              <w:t>直接服务于企业自身危废收集、转运、暂存及处置全流程需求，同时可为园区内化工、冶金等企业提供合规的危废包装配套，属于危废处置产业链的上游配套环节，与园区绿色循环、资源综合利用的发展导向高度契合</w:t>
            </w:r>
            <w:r>
              <w:rPr>
                <w:rFonts w:hint="eastAsia" w:ascii="Times New Roman" w:hAnsi="Times New Roman" w:eastAsia="宋体" w:cs="Times New Roman"/>
                <w:color w:val="auto"/>
                <w:kern w:val="0"/>
                <w:sz w:val="24"/>
                <w:szCs w:val="24"/>
                <w:lang w:val="en-US" w:eastAsia="zh-CN"/>
              </w:rPr>
              <w:t>。</w:t>
            </w:r>
          </w:p>
          <w:p w14:paraId="6ADAE72C">
            <w:pPr>
              <w:keepNext w:val="0"/>
              <w:keepLines w:val="0"/>
              <w:pageBreakBefore w:val="0"/>
              <w:widowControl/>
              <w:suppressLineNumbers w:val="0"/>
              <w:kinsoku/>
              <w:overflowPunct/>
              <w:topLinePunct/>
              <w:autoSpaceDE w:val="0"/>
              <w:autoSpaceDN w:val="0"/>
              <w:bidi w:val="0"/>
              <w:snapToGrid w:val="0"/>
              <w:spacing w:before="0" w:beforeAutospacing="0" w:after="0" w:afterLines="0" w:afterAutospacing="0" w:line="360" w:lineRule="auto"/>
              <w:ind w:left="0" w:right="0" w:firstLine="48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园区按照</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底线控制原则</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集聚发展原则</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节约集约用地原则</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可持续发展原则</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的原则，</w:t>
            </w:r>
            <w:r>
              <w:rPr>
                <w:rFonts w:hint="eastAsia" w:ascii="Times New Roman" w:hAnsi="Times New Roman" w:eastAsia="宋体" w:cs="Times New Roman"/>
                <w:color w:val="auto"/>
                <w:kern w:val="0"/>
                <w:sz w:val="24"/>
                <w:szCs w:val="24"/>
                <w:lang w:val="en-US" w:eastAsia="zh-CN"/>
              </w:rPr>
              <w:t>园区重点发展绿色低碳、清洁生产、资源循环利用的产业项目</w:t>
            </w:r>
            <w:r>
              <w:rPr>
                <w:rFonts w:hint="eastAsia" w:cs="Times New Roman"/>
                <w:color w:val="auto"/>
                <w:kern w:val="0"/>
                <w:sz w:val="24"/>
                <w:szCs w:val="24"/>
                <w:lang w:val="en-US" w:eastAsia="zh-CN"/>
              </w:rPr>
              <w:t>。</w:t>
            </w:r>
            <w:r>
              <w:rPr>
                <w:rFonts w:hint="default" w:ascii="宋体" w:hAnsi="宋体" w:eastAsia="宋体" w:cs="宋体"/>
                <w:color w:val="auto"/>
                <w:sz w:val="24"/>
                <w:szCs w:val="24"/>
              </w:rPr>
              <w:t>本项目为园区危废处置企业自建配套项目，</w:t>
            </w:r>
            <w:r>
              <w:rPr>
                <w:rFonts w:hint="eastAsia" w:ascii="宋体" w:hAnsi="宋体" w:eastAsia="宋体" w:cs="宋体"/>
                <w:color w:val="auto"/>
                <w:sz w:val="24"/>
                <w:szCs w:val="24"/>
                <w:lang w:val="en-US" w:eastAsia="zh-CN"/>
              </w:rPr>
              <w:t>主要</w:t>
            </w:r>
            <w:r>
              <w:rPr>
                <w:rFonts w:hint="eastAsia" w:ascii="宋体" w:hAnsi="宋体" w:cs="宋体"/>
                <w:color w:val="auto"/>
                <w:sz w:val="24"/>
                <w:szCs w:val="24"/>
                <w:lang w:val="en-US" w:eastAsia="zh-CN"/>
              </w:rPr>
              <w:t>使用</w:t>
            </w:r>
            <w:r>
              <w:rPr>
                <w:rFonts w:hint="eastAsia" w:ascii="宋体" w:hAnsi="宋体" w:eastAsia="宋体" w:cs="宋体"/>
                <w:color w:val="auto"/>
                <w:sz w:val="24"/>
                <w:szCs w:val="24"/>
                <w:lang w:val="en-US" w:eastAsia="zh-CN"/>
              </w:rPr>
              <w:t>原料为</w:t>
            </w:r>
            <w:r>
              <w:rPr>
                <w:rFonts w:hint="default" w:ascii="Times New Roman" w:hAnsi="Times New Roman" w:eastAsia="宋体" w:cs="Times New Roman"/>
                <w:b w:val="0"/>
                <w:bCs w:val="0"/>
                <w:color w:val="auto"/>
                <w:sz w:val="24"/>
                <w:szCs w:val="24"/>
                <w:lang w:val="en-US" w:eastAsia="zh-CN"/>
              </w:rPr>
              <w:t>HDPE</w:t>
            </w:r>
            <w:r>
              <w:rPr>
                <w:rFonts w:hint="eastAsia" w:cs="Times New Roman"/>
                <w:b w:val="0"/>
                <w:bCs w:val="0"/>
                <w:color w:val="auto"/>
                <w:sz w:val="24"/>
                <w:szCs w:val="24"/>
                <w:lang w:val="en-US" w:eastAsia="zh-CN"/>
              </w:rPr>
              <w:t>颗粒，</w:t>
            </w:r>
            <w:r>
              <w:rPr>
                <w:rFonts w:hint="default" w:ascii="宋体" w:hAnsi="宋体" w:eastAsia="宋体" w:cs="宋体"/>
                <w:color w:val="auto"/>
                <w:sz w:val="24"/>
                <w:szCs w:val="24"/>
              </w:rPr>
              <w:t>生产危废专用包装容器，直接服务于企业危废收集、转运、暂存及处置全流程，解决园区内危废规范包装的需求，属于危废处置产业链的关键配套环节。项目生产过程严格落实清洁生产与循环经济要求，</w:t>
            </w:r>
            <w:r>
              <w:rPr>
                <w:rFonts w:hint="eastAsia" w:ascii="宋体" w:hAnsi="宋体" w:eastAsia="宋体" w:cs="宋体"/>
                <w:color w:val="auto"/>
                <w:sz w:val="24"/>
                <w:szCs w:val="24"/>
                <w:lang w:val="en-US" w:eastAsia="zh-CN"/>
              </w:rPr>
              <w:t>无生产</w:t>
            </w:r>
            <w:r>
              <w:rPr>
                <w:rFonts w:hint="default" w:ascii="宋体" w:hAnsi="宋体" w:eastAsia="宋体" w:cs="宋体"/>
                <w:color w:val="auto"/>
                <w:sz w:val="24"/>
                <w:szCs w:val="24"/>
              </w:rPr>
              <w:t>废水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仅生活污水</w:t>
            </w:r>
            <w:r>
              <w:rPr>
                <w:rFonts w:hint="default" w:ascii="宋体" w:hAnsi="宋体" w:eastAsia="宋体" w:cs="宋体"/>
                <w:color w:val="auto"/>
                <w:sz w:val="24"/>
                <w:szCs w:val="24"/>
              </w:rPr>
              <w:t>全部回用不外排，固废实现分类资源化处置，无外排污染物，符合园区绿色低碳、资源循环利用的发展导向；选址位于园区工业用地范围内，利用现有厂区预留用地建设，不新增占地，不涉及生态保护红线及环境敏感目标，符合园区空间布局与集约用地原则。</w:t>
            </w:r>
            <w:r>
              <w:rPr>
                <w:rFonts w:hint="eastAsia" w:ascii="Times New Roman" w:hAnsi="Times New Roman" w:eastAsia="宋体" w:cs="Times New Roman"/>
                <w:color w:val="auto"/>
                <w:kern w:val="0"/>
                <w:sz w:val="24"/>
                <w:szCs w:val="24"/>
                <w:lang w:val="en-US" w:eastAsia="zh-CN"/>
              </w:rPr>
              <w:t>故本项目建设符合《</w:t>
            </w:r>
            <w:r>
              <w:rPr>
                <w:rFonts w:hint="default" w:ascii="Times New Roman" w:hAnsi="Times New Roman" w:cs="Times New Roman"/>
                <w:color w:val="auto"/>
                <w:kern w:val="0"/>
                <w:sz w:val="24"/>
                <w:szCs w:val="24"/>
              </w:rPr>
              <w:t>鄂托克经济开发区国土空间总体规划</w:t>
            </w:r>
            <w:r>
              <w:rPr>
                <w:rFonts w:hint="eastAsia" w:ascii="Times New Roman" w:hAnsi="Times New Roman" w:cs="Times New Roman"/>
                <w:color w:val="auto"/>
                <w:kern w:val="0"/>
                <w:sz w:val="24"/>
                <w:szCs w:val="24"/>
                <w:lang w:eastAsia="zh-CN"/>
              </w:rPr>
              <w:t>（</w:t>
            </w:r>
            <w:r>
              <w:rPr>
                <w:rFonts w:hint="default" w:ascii="Times New Roman" w:hAnsi="Times New Roman" w:cs="Times New Roman"/>
                <w:color w:val="auto"/>
                <w:kern w:val="0"/>
                <w:sz w:val="24"/>
                <w:szCs w:val="24"/>
              </w:rPr>
              <w:t>2021-2035</w:t>
            </w:r>
            <w:r>
              <w:rPr>
                <w:rFonts w:hint="eastAsia" w:ascii="Times New Roman" w:hAnsi="Times New Roman" w:cs="Times New Roman"/>
                <w:color w:val="auto"/>
                <w:kern w:val="0"/>
                <w:sz w:val="24"/>
                <w:szCs w:val="24"/>
                <w:lang w:eastAsia="zh-CN"/>
              </w:rPr>
              <w:t>）</w:t>
            </w:r>
            <w:r>
              <w:rPr>
                <w:rFonts w:hint="default" w:ascii="Times New Roman" w:hAnsi="Times New Roman" w:eastAsia="宋体"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要求。</w:t>
            </w:r>
          </w:p>
          <w:p w14:paraId="11AADD7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二、与园区规划环评</w:t>
            </w:r>
            <w:r>
              <w:rPr>
                <w:rFonts w:hint="eastAsia" w:ascii="Times New Roman" w:hAnsi="Times New Roman" w:eastAsia="宋体" w:cs="Times New Roman"/>
                <w:b/>
                <w:bCs/>
                <w:color w:val="auto"/>
                <w:kern w:val="0"/>
                <w:sz w:val="24"/>
                <w:szCs w:val="24"/>
                <w:lang w:val="en-US" w:eastAsia="zh-CN"/>
              </w:rPr>
              <w:t>及规划环评</w:t>
            </w:r>
            <w:r>
              <w:rPr>
                <w:rFonts w:hint="default" w:ascii="Times New Roman" w:hAnsi="Times New Roman" w:eastAsia="宋体" w:cs="Times New Roman"/>
                <w:b/>
                <w:bCs/>
                <w:color w:val="auto"/>
                <w:kern w:val="0"/>
                <w:sz w:val="24"/>
                <w:szCs w:val="24"/>
                <w:lang w:val="en-US" w:eastAsia="zh-CN"/>
              </w:rPr>
              <w:t>审查意见的符合性分析</w:t>
            </w:r>
          </w:p>
          <w:p w14:paraId="7DA246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表1-</w:t>
            </w:r>
            <w:r>
              <w:rPr>
                <w:rFonts w:hint="eastAsia" w:ascii="Times New Roman" w:hAnsi="Times New Roman" w:eastAsia="宋体" w:cs="Times New Roman"/>
                <w:b/>
                <w:bCs/>
                <w:color w:val="auto"/>
                <w:sz w:val="24"/>
                <w:lang w:val="en-US" w:eastAsia="zh-CN"/>
              </w:rPr>
              <w:t>2</w:t>
            </w:r>
            <w:r>
              <w:rPr>
                <w:rFonts w:hint="default" w:ascii="Times New Roman" w:hAnsi="Times New Roman" w:eastAsia="宋体" w:cs="Times New Roman"/>
                <w:b/>
                <w:bCs/>
                <w:color w:val="auto"/>
                <w:sz w:val="24"/>
                <w:lang w:val="en-US" w:eastAsia="zh-CN"/>
              </w:rPr>
              <w:t>本项目与《鄂托克经济开发区国土空间总体规划(2021-2035)蒙西产业园环境影响报告书》及其审查意见的符合性</w:t>
            </w:r>
            <w:r>
              <w:rPr>
                <w:rFonts w:hint="eastAsia" w:ascii="Times New Roman" w:hAnsi="Times New Roman" w:eastAsia="宋体" w:cs="Times New Roman"/>
                <w:b/>
                <w:bCs/>
                <w:color w:val="auto"/>
                <w:sz w:val="24"/>
                <w:lang w:val="en-US" w:eastAsia="zh-CN"/>
              </w:rPr>
              <w:t>分析</w:t>
            </w:r>
            <w:r>
              <w:rPr>
                <w:rFonts w:hint="default" w:ascii="Times New Roman" w:hAnsi="Times New Roman" w:eastAsia="宋体" w:cs="Times New Roman"/>
                <w:b/>
                <w:bCs/>
                <w:color w:val="auto"/>
                <w:sz w:val="24"/>
                <w:lang w:val="en-US" w:eastAsia="zh-CN"/>
              </w:rPr>
              <w:t>一览表</w:t>
            </w:r>
          </w:p>
          <w:tbl>
            <w:tblPr>
              <w:tblStyle w:val="24"/>
              <w:tblW w:w="4996" w:type="pct"/>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3"/>
              <w:gridCol w:w="3104"/>
              <w:gridCol w:w="2921"/>
              <w:gridCol w:w="1014"/>
            </w:tblGrid>
            <w:tr w14:paraId="24507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4" w:type="pct"/>
                  <w:tcBorders>
                    <w:tl2br w:val="nil"/>
                    <w:tr2bl w:val="nil"/>
                  </w:tcBorders>
                  <w:noWrap w:val="0"/>
                  <w:vAlign w:val="center"/>
                </w:tcPr>
                <w:p w14:paraId="0B817B87">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center"/>
                    <w:textAlignment w:val="auto"/>
                    <w:rPr>
                      <w:rFonts w:hint="eastAsia" w:ascii="Times New Roman" w:hAnsi="Times New Roman" w:eastAsia="宋体" w:cs="Times New Roman"/>
                      <w:color w:val="auto"/>
                      <w:kern w:val="0"/>
                      <w:sz w:val="21"/>
                      <w:szCs w:val="21"/>
                      <w:lang w:eastAsia="zh-CN"/>
                    </w:rPr>
                  </w:pPr>
                  <w:r>
                    <w:rPr>
                      <w:rFonts w:hint="eastAsia" w:ascii="Times New Roman" w:hAnsi="Times New Roman" w:eastAsia="宋体" w:cs="Times New Roman"/>
                      <w:color w:val="auto"/>
                      <w:kern w:val="0"/>
                      <w:sz w:val="21"/>
                      <w:szCs w:val="21"/>
                      <w:lang w:val="en-US" w:eastAsia="zh-CN"/>
                    </w:rPr>
                    <w:t>文件</w:t>
                  </w:r>
                </w:p>
              </w:tc>
              <w:tc>
                <w:tcPr>
                  <w:tcW w:w="2004" w:type="pct"/>
                  <w:tcBorders>
                    <w:tl2br w:val="nil"/>
                    <w:tr2bl w:val="nil"/>
                  </w:tcBorders>
                  <w:noWrap w:val="0"/>
                  <w:vAlign w:val="center"/>
                </w:tcPr>
                <w:p w14:paraId="3D50F023">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内容</w:t>
                  </w:r>
                </w:p>
              </w:tc>
              <w:tc>
                <w:tcPr>
                  <w:tcW w:w="1886" w:type="pct"/>
                  <w:tcBorders>
                    <w:tl2br w:val="nil"/>
                    <w:tr2bl w:val="nil"/>
                  </w:tcBorders>
                  <w:noWrap w:val="0"/>
                  <w:vAlign w:val="center"/>
                </w:tcPr>
                <w:p w14:paraId="452CA3AB">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本项目情况</w:t>
                  </w:r>
                </w:p>
              </w:tc>
              <w:tc>
                <w:tcPr>
                  <w:tcW w:w="654" w:type="pct"/>
                  <w:tcBorders>
                    <w:tl2br w:val="nil"/>
                    <w:tr2bl w:val="nil"/>
                  </w:tcBorders>
                  <w:noWrap w:val="0"/>
                  <w:vAlign w:val="center"/>
                </w:tcPr>
                <w:p w14:paraId="37A6F43C">
                  <w:pPr>
                    <w:keepNext w:val="0"/>
                    <w:keepLines w:val="0"/>
                    <w:pageBreakBefore w:val="0"/>
                    <w:suppressLineNumbers w:val="0"/>
                    <w:kinsoku/>
                    <w:overflowPunct/>
                    <w:autoSpaceDE w:val="0"/>
                    <w:autoSpaceDN w:val="0"/>
                    <w:bidi w:val="0"/>
                    <w:snapToGrid w:val="0"/>
                    <w:spacing w:before="0" w:beforeAutospacing="0" w:after="0" w:afterLines="0" w:afterAutospacing="0" w:line="360" w:lineRule="auto"/>
                    <w:ind w:left="0" w:right="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zh-CN"/>
                    </w:rPr>
                    <w:t>符合性</w:t>
                  </w:r>
                </w:p>
              </w:tc>
            </w:tr>
            <w:tr w14:paraId="1BC79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4" w:type="pct"/>
                  <w:vMerge w:val="restart"/>
                  <w:tcBorders>
                    <w:tl2br w:val="nil"/>
                    <w:tr2bl w:val="nil"/>
                  </w:tcBorders>
                  <w:noWrap w:val="0"/>
                  <w:vAlign w:val="center"/>
                </w:tcPr>
                <w:p w14:paraId="66DEFED5">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《鄂托克经济开发区国土空间总体规划（2021-2035）蒙西产业园环境影响报告书》</w:t>
                  </w:r>
                </w:p>
              </w:tc>
              <w:tc>
                <w:tcPr>
                  <w:tcW w:w="2004" w:type="pct"/>
                  <w:tcBorders>
                    <w:tl2br w:val="nil"/>
                    <w:tr2bl w:val="nil"/>
                  </w:tcBorders>
                  <w:noWrap w:val="0"/>
                  <w:vAlign w:val="center"/>
                </w:tcPr>
                <w:p w14:paraId="588806F2">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以水定产，园区引入项目应重点评估水耗指标，取用地表水不得挤占生态用水、生活用水和黄河水。禁止取用地下水作为生产用水。</w:t>
                  </w:r>
                </w:p>
              </w:tc>
              <w:tc>
                <w:tcPr>
                  <w:tcW w:w="1886" w:type="pct"/>
                  <w:tcBorders>
                    <w:tl2br w:val="nil"/>
                    <w:tr2bl w:val="nil"/>
                  </w:tcBorders>
                  <w:noWrap w:val="0"/>
                  <w:vAlign w:val="center"/>
                </w:tcPr>
                <w:p w14:paraId="3270DAAC">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本项目用水由园区供水管网提供，不取用地下水作为生产用水</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本</w:t>
                  </w:r>
                  <w:r>
                    <w:rPr>
                      <w:rFonts w:hint="eastAsia" w:ascii="Times New Roman" w:hAnsi="Times New Roman" w:eastAsia="宋体" w:cs="Times New Roman"/>
                      <w:color w:val="auto"/>
                      <w:sz w:val="21"/>
                      <w:szCs w:val="21"/>
                      <w:lang w:val="en-US" w:eastAsia="zh-CN"/>
                    </w:rPr>
                    <w:t>项目</w:t>
                  </w:r>
                  <w:r>
                    <w:rPr>
                      <w:rFonts w:hint="default" w:ascii="Times New Roman" w:hAnsi="Times New Roman" w:eastAsia="宋体" w:cs="Times New Roman"/>
                      <w:color w:val="auto"/>
                      <w:sz w:val="21"/>
                      <w:szCs w:val="21"/>
                      <w:lang w:val="en-US" w:eastAsia="zh-CN"/>
                    </w:rPr>
                    <w:t>新增用水量较小，不挤占生态用水、生活用水和黄河水。</w:t>
                  </w:r>
                </w:p>
              </w:tc>
              <w:tc>
                <w:tcPr>
                  <w:tcW w:w="654" w:type="pct"/>
                  <w:tcBorders>
                    <w:tl2br w:val="nil"/>
                    <w:tr2bl w:val="nil"/>
                  </w:tcBorders>
                  <w:noWrap w:val="0"/>
                  <w:vAlign w:val="center"/>
                </w:tcPr>
                <w:p w14:paraId="36ED4F7A">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B74D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4" w:type="pct"/>
                  <w:vMerge w:val="continue"/>
                  <w:tcBorders>
                    <w:tl2br w:val="nil"/>
                    <w:tr2bl w:val="nil"/>
                  </w:tcBorders>
                  <w:noWrap w:val="0"/>
                  <w:vAlign w:val="center"/>
                </w:tcPr>
                <w:p w14:paraId="5B3C3056">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s="Times New Roman"/>
                      <w:color w:val="auto"/>
                      <w:kern w:val="0"/>
                      <w:sz w:val="21"/>
                      <w:szCs w:val="21"/>
                    </w:rPr>
                  </w:pPr>
                </w:p>
              </w:tc>
              <w:tc>
                <w:tcPr>
                  <w:tcW w:w="2004" w:type="pct"/>
                  <w:tcBorders>
                    <w:tl2br w:val="nil"/>
                    <w:tr2bl w:val="nil"/>
                  </w:tcBorders>
                  <w:noWrap w:val="0"/>
                  <w:vAlign w:val="center"/>
                </w:tcPr>
                <w:p w14:paraId="333BB2A1">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园区存在无纳污水体的环境限制，园区大型化工企业废水必须实现零排放的限制要求，在废水处理技术、废水处置方案等方面具有环保示范意义的项目，优先进入园区</w:t>
                  </w:r>
                </w:p>
              </w:tc>
              <w:tc>
                <w:tcPr>
                  <w:tcW w:w="1886" w:type="pct"/>
                  <w:tcBorders>
                    <w:tl2br w:val="nil"/>
                    <w:tr2bl w:val="nil"/>
                  </w:tcBorders>
                  <w:noWrap w:val="0"/>
                  <w:vAlign w:val="center"/>
                </w:tcPr>
                <w:p w14:paraId="164E090B">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w:t>
                  </w:r>
                  <w:r>
                    <w:rPr>
                      <w:rFonts w:hint="default" w:ascii="Times New Roman" w:hAnsi="Times New Roman" w:eastAsia="宋体" w:cs="Times New Roman"/>
                      <w:color w:val="auto"/>
                      <w:sz w:val="21"/>
                      <w:szCs w:val="21"/>
                      <w:lang w:val="en-US" w:eastAsia="zh-CN"/>
                    </w:rPr>
                    <w:t>项目</w:t>
                  </w:r>
                  <w:r>
                    <w:rPr>
                      <w:rFonts w:hint="eastAsia" w:ascii="Times New Roman" w:hAnsi="Times New Roman" w:eastAsia="宋体" w:cs="Times New Roman"/>
                      <w:color w:val="auto"/>
                      <w:sz w:val="21"/>
                      <w:szCs w:val="21"/>
                      <w:lang w:val="en-US" w:eastAsia="zh-CN"/>
                    </w:rPr>
                    <w:t>无生产废水，仅</w:t>
                  </w:r>
                  <w:r>
                    <w:rPr>
                      <w:rFonts w:hint="default" w:ascii="Times New Roman" w:hAnsi="Times New Roman" w:eastAsia="宋体" w:cs="Times New Roman"/>
                      <w:color w:val="auto"/>
                      <w:sz w:val="21"/>
                      <w:szCs w:val="21"/>
                      <w:lang w:val="en-US" w:eastAsia="zh-CN"/>
                    </w:rPr>
                    <w:t>生活</w:t>
                  </w:r>
                  <w:r>
                    <w:rPr>
                      <w:rFonts w:hint="eastAsia" w:ascii="Times New Roman" w:hAnsi="Times New Roman" w:eastAsia="宋体" w:cs="Times New Roman"/>
                      <w:color w:val="auto"/>
                      <w:sz w:val="21"/>
                      <w:szCs w:val="21"/>
                      <w:lang w:val="en-US" w:eastAsia="zh-CN"/>
                    </w:rPr>
                    <w:t>污</w:t>
                  </w:r>
                  <w:r>
                    <w:rPr>
                      <w:rFonts w:hint="default" w:ascii="Times New Roman" w:hAnsi="Times New Roman" w:eastAsia="宋体" w:cs="Times New Roman"/>
                      <w:color w:val="auto"/>
                      <w:sz w:val="21"/>
                      <w:szCs w:val="21"/>
                      <w:lang w:val="en-US" w:eastAsia="zh-CN"/>
                    </w:rPr>
                    <w:t>水经处理后全部回用，废水实现零排放，在废水处理技术、废水处置方案等方面具有环保示范意义的项目。</w:t>
                  </w:r>
                </w:p>
              </w:tc>
              <w:tc>
                <w:tcPr>
                  <w:tcW w:w="654" w:type="pct"/>
                  <w:tcBorders>
                    <w:tl2br w:val="nil"/>
                    <w:tr2bl w:val="nil"/>
                  </w:tcBorders>
                  <w:noWrap w:val="0"/>
                  <w:vAlign w:val="center"/>
                </w:tcPr>
                <w:p w14:paraId="4DA73B09">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符合</w:t>
                  </w:r>
                </w:p>
              </w:tc>
            </w:tr>
            <w:tr w14:paraId="6F31D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4" w:type="pct"/>
                  <w:vMerge w:val="continue"/>
                  <w:tcBorders>
                    <w:tl2br w:val="nil"/>
                    <w:tr2bl w:val="nil"/>
                  </w:tcBorders>
                  <w:noWrap w:val="0"/>
                  <w:vAlign w:val="center"/>
                </w:tcPr>
                <w:p w14:paraId="43A20F79">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s="Times New Roman"/>
                      <w:color w:val="auto"/>
                      <w:kern w:val="0"/>
                      <w:sz w:val="21"/>
                      <w:szCs w:val="21"/>
                    </w:rPr>
                  </w:pPr>
                </w:p>
              </w:tc>
              <w:tc>
                <w:tcPr>
                  <w:tcW w:w="2004" w:type="pct"/>
                  <w:tcBorders>
                    <w:tl2br w:val="nil"/>
                    <w:tr2bl w:val="nil"/>
                  </w:tcBorders>
                  <w:noWrap w:val="0"/>
                  <w:vAlign w:val="center"/>
                </w:tcPr>
                <w:p w14:paraId="17151D2C">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园区内企业产生的工业固废临时贮存，应分类管理、隔离分区贮存，尤其是煤矸石、脱硫渣、灰渣应单独贮存，以便分别运往园区渣场隔离分区贮存，方便后续综合利用。</w:t>
                  </w:r>
                </w:p>
              </w:tc>
              <w:tc>
                <w:tcPr>
                  <w:tcW w:w="1886" w:type="pct"/>
                  <w:tcBorders>
                    <w:tl2br w:val="nil"/>
                    <w:tr2bl w:val="nil"/>
                  </w:tcBorders>
                  <w:noWrap w:val="0"/>
                  <w:vAlign w:val="center"/>
                </w:tcPr>
                <w:p w14:paraId="0503B284">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本项目不涉及煤矸石、脱硫渣、灰渣等一般工业固废，产生的危废暂存于厂区危废库，均合理处置。</w:t>
                  </w:r>
                </w:p>
              </w:tc>
              <w:tc>
                <w:tcPr>
                  <w:tcW w:w="654" w:type="pct"/>
                  <w:tcBorders>
                    <w:tl2br w:val="nil"/>
                    <w:tr2bl w:val="nil"/>
                  </w:tcBorders>
                  <w:noWrap w:val="0"/>
                  <w:vAlign w:val="center"/>
                </w:tcPr>
                <w:p w14:paraId="7607C2AF">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符合</w:t>
                  </w:r>
                </w:p>
              </w:tc>
            </w:tr>
            <w:tr w14:paraId="77805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4" w:type="pct"/>
                  <w:vMerge w:val="continue"/>
                  <w:tcBorders>
                    <w:tl2br w:val="nil"/>
                    <w:tr2bl w:val="nil"/>
                  </w:tcBorders>
                  <w:noWrap w:val="0"/>
                  <w:vAlign w:val="center"/>
                </w:tcPr>
                <w:p w14:paraId="55568A1F">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s="Times New Roman"/>
                      <w:color w:val="auto"/>
                      <w:kern w:val="0"/>
                      <w:sz w:val="21"/>
                      <w:szCs w:val="21"/>
                    </w:rPr>
                  </w:pPr>
                </w:p>
              </w:tc>
              <w:tc>
                <w:tcPr>
                  <w:tcW w:w="2004" w:type="pct"/>
                  <w:tcBorders>
                    <w:tl2br w:val="nil"/>
                    <w:tr2bl w:val="nil"/>
                  </w:tcBorders>
                  <w:noWrap w:val="0"/>
                  <w:vAlign w:val="center"/>
                </w:tcPr>
                <w:p w14:paraId="52819F82">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入园项目，应加强土地沙化的预防与治理，全过程防治水土流失。进入园区的项目不得占用林地、基本草原等，改善区域生态环境。</w:t>
                  </w:r>
                </w:p>
              </w:tc>
              <w:tc>
                <w:tcPr>
                  <w:tcW w:w="1886" w:type="pct"/>
                  <w:tcBorders>
                    <w:tl2br w:val="nil"/>
                    <w:tr2bl w:val="nil"/>
                  </w:tcBorders>
                  <w:noWrap w:val="0"/>
                  <w:vAlign w:val="center"/>
                </w:tcPr>
                <w:p w14:paraId="718A7E81">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w:t>
                  </w:r>
                  <w:r>
                    <w:rPr>
                      <w:rFonts w:hint="default" w:ascii="Times New Roman" w:hAnsi="Times New Roman" w:eastAsia="宋体" w:cs="Times New Roman"/>
                      <w:color w:val="auto"/>
                      <w:kern w:val="0"/>
                      <w:sz w:val="21"/>
                      <w:szCs w:val="21"/>
                      <w:lang w:val="en-US" w:eastAsia="zh-CN"/>
                    </w:rPr>
                    <w:t>位于内蒙古自治区鄂尔多斯市鄂托克旗</w:t>
                  </w:r>
                  <w:r>
                    <w:rPr>
                      <w:rFonts w:hint="eastAsia" w:ascii="Times New Roman" w:hAnsi="Times New Roman" w:eastAsia="宋体" w:cs="Times New Roman"/>
                      <w:color w:val="auto"/>
                      <w:kern w:val="0"/>
                      <w:sz w:val="21"/>
                      <w:szCs w:val="21"/>
                      <w:lang w:val="en-US" w:eastAsia="zh-CN"/>
                    </w:rPr>
                    <w:t>内蒙古美力坚清蓝危废处置有限公司现有厂区范围内</w:t>
                  </w:r>
                  <w:r>
                    <w:rPr>
                      <w:rFonts w:hint="default" w:ascii="Times New Roman" w:hAnsi="Times New Roman" w:eastAsia="宋体" w:cs="Times New Roman"/>
                      <w:color w:val="auto"/>
                      <w:sz w:val="21"/>
                      <w:szCs w:val="21"/>
                      <w:lang w:val="en-US" w:eastAsia="zh-CN"/>
                    </w:rPr>
                    <w:t>，不新增占地，不占用林地、基本草原等。</w:t>
                  </w:r>
                </w:p>
              </w:tc>
              <w:tc>
                <w:tcPr>
                  <w:tcW w:w="654" w:type="pct"/>
                  <w:tcBorders>
                    <w:tl2br w:val="nil"/>
                    <w:tr2bl w:val="nil"/>
                  </w:tcBorders>
                  <w:noWrap w:val="0"/>
                  <w:vAlign w:val="center"/>
                </w:tcPr>
                <w:p w14:paraId="0DC71220">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符合</w:t>
                  </w:r>
                </w:p>
              </w:tc>
            </w:tr>
            <w:tr w14:paraId="7C3DC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4" w:type="pct"/>
                  <w:vMerge w:val="continue"/>
                  <w:tcBorders>
                    <w:tl2br w:val="nil"/>
                    <w:tr2bl w:val="nil"/>
                  </w:tcBorders>
                  <w:noWrap w:val="0"/>
                  <w:vAlign w:val="center"/>
                </w:tcPr>
                <w:p w14:paraId="4909D823">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s="Times New Roman"/>
                      <w:color w:val="auto"/>
                      <w:kern w:val="0"/>
                      <w:sz w:val="21"/>
                      <w:szCs w:val="21"/>
                    </w:rPr>
                  </w:pPr>
                </w:p>
              </w:tc>
              <w:tc>
                <w:tcPr>
                  <w:tcW w:w="2004" w:type="pct"/>
                  <w:tcBorders>
                    <w:tl2br w:val="nil"/>
                    <w:tr2bl w:val="nil"/>
                  </w:tcBorders>
                  <w:noWrap w:val="0"/>
                  <w:vAlign w:val="center"/>
                </w:tcPr>
                <w:p w14:paraId="1B0E0640">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“两高”项目确需建设的，应全面执行国家各自治区关于“两高”项目准入和管理的各项规定，并且严格按照《内蒙古自治区坚决遏制“两高”项目低水平盲目发展管控目录》等相关要求实施</w:t>
                  </w:r>
                </w:p>
              </w:tc>
              <w:tc>
                <w:tcPr>
                  <w:tcW w:w="1886" w:type="pct"/>
                  <w:tcBorders>
                    <w:tl2br w:val="nil"/>
                    <w:tr2bl w:val="nil"/>
                  </w:tcBorders>
                  <w:noWrap w:val="0"/>
                  <w:vAlign w:val="center"/>
                </w:tcPr>
                <w:p w14:paraId="13D24E0E">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本项目不属于“两高”项目</w:t>
                  </w:r>
                </w:p>
              </w:tc>
              <w:tc>
                <w:tcPr>
                  <w:tcW w:w="654" w:type="pct"/>
                  <w:tcBorders>
                    <w:tl2br w:val="nil"/>
                    <w:tr2bl w:val="nil"/>
                  </w:tcBorders>
                  <w:noWrap w:val="0"/>
                  <w:vAlign w:val="center"/>
                </w:tcPr>
                <w:p w14:paraId="027E7C20">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符合</w:t>
                  </w:r>
                </w:p>
              </w:tc>
            </w:tr>
            <w:tr w14:paraId="75DDC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4" w:type="pct"/>
                  <w:vMerge w:val="restart"/>
                  <w:tcBorders>
                    <w:tl2br w:val="nil"/>
                    <w:tr2bl w:val="nil"/>
                  </w:tcBorders>
                  <w:noWrap w:val="0"/>
                  <w:vAlign w:val="center"/>
                </w:tcPr>
                <w:p w14:paraId="3D59AA8D">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规划环评审查意见</w:t>
                  </w:r>
                </w:p>
              </w:tc>
              <w:tc>
                <w:tcPr>
                  <w:tcW w:w="2004" w:type="pct"/>
                  <w:tcBorders>
                    <w:tl2br w:val="nil"/>
                    <w:tr2bl w:val="nil"/>
                  </w:tcBorders>
                  <w:noWrap w:val="0"/>
                  <w:vAlign w:val="center"/>
                </w:tcPr>
                <w:p w14:paraId="18B99F16">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严格生态环境准入，推动高质量发展。根据区域环境质量目标管理要求，统筹做好产业发展和生态环境保护工作，全面执行国家、自治区“两高”项目准入相关规定，合理规划化工、冶金、新材料等发展规模和建设时序，原则上不得新建重化工项目，推动钢铁、焦化、铁合金、电石、氯碱等传统产业升级改造，延伸下游产业链条，实现绿色低碳高质量发展。严格落实</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四水四定</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要求，合理利用非常规水资源，审慎引进高耗水行业。</w:t>
                  </w:r>
                </w:p>
              </w:tc>
              <w:tc>
                <w:tcPr>
                  <w:tcW w:w="1886" w:type="pct"/>
                  <w:tcBorders>
                    <w:tl2br w:val="nil"/>
                    <w:tr2bl w:val="nil"/>
                  </w:tcBorders>
                  <w:noWrap w:val="0"/>
                  <w:vAlign w:val="center"/>
                </w:tcPr>
                <w:p w14:paraId="2D92CCAF">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项目属于“C2926塑料包装箱及容器制造”，</w:t>
                  </w:r>
                  <w:r>
                    <w:rPr>
                      <w:rFonts w:hint="default" w:ascii="Times New Roman" w:hAnsi="Times New Roman" w:eastAsia="宋体" w:cs="宋体"/>
                      <w:color w:val="auto"/>
                      <w:sz w:val="21"/>
                      <w:szCs w:val="21"/>
                    </w:rPr>
                    <w:t>为危废处置配套项目，</w:t>
                  </w:r>
                  <w:r>
                    <w:rPr>
                      <w:rFonts w:hint="default" w:ascii="Times New Roman" w:hAnsi="Times New Roman" w:eastAsia="宋体" w:cs="Times New Roman"/>
                      <w:color w:val="auto"/>
                      <w:sz w:val="21"/>
                      <w:szCs w:val="21"/>
                      <w:lang w:val="en-US" w:eastAsia="zh-CN"/>
                    </w:rPr>
                    <w:t>以HDPE</w:t>
                  </w:r>
                  <w:r>
                    <w:rPr>
                      <w:rFonts w:hint="default" w:ascii="Times New Roman" w:hAnsi="Times New Roman" w:eastAsia="宋体" w:cs="宋体"/>
                      <w:color w:val="auto"/>
                      <w:sz w:val="21"/>
                      <w:szCs w:val="21"/>
                    </w:rPr>
                    <w:t>为原料生产危废专用包装容器，项目无高污染、高耗能、高耗水特征，不属于国家及地方“两高”项目管控目录范围，符合园区生态环境准入及产业定位要求</w:t>
                  </w:r>
                  <w:r>
                    <w:rPr>
                      <w:rFonts w:hint="default" w:ascii="Times New Roman" w:hAnsi="Times New Roman" w:eastAsia="宋体" w:cs="Times New Roman"/>
                      <w:color w:val="auto"/>
                      <w:sz w:val="21"/>
                      <w:szCs w:val="21"/>
                      <w:lang w:val="en-US" w:eastAsia="zh-CN"/>
                    </w:rPr>
                    <w:t>。</w:t>
                  </w:r>
                </w:p>
              </w:tc>
              <w:tc>
                <w:tcPr>
                  <w:tcW w:w="654" w:type="pct"/>
                  <w:tcBorders>
                    <w:tl2br w:val="nil"/>
                    <w:tr2bl w:val="nil"/>
                  </w:tcBorders>
                  <w:noWrap w:val="0"/>
                  <w:vAlign w:val="center"/>
                </w:tcPr>
                <w:p w14:paraId="1592E5D0">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符合</w:t>
                  </w:r>
                </w:p>
              </w:tc>
            </w:tr>
            <w:tr w14:paraId="35BF6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4" w:type="pct"/>
                  <w:vMerge w:val="continue"/>
                  <w:tcBorders>
                    <w:tl2br w:val="nil"/>
                    <w:tr2bl w:val="nil"/>
                  </w:tcBorders>
                  <w:noWrap w:val="0"/>
                  <w:vAlign w:val="center"/>
                </w:tcPr>
                <w:p w14:paraId="6D149446">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eastAsia" w:ascii="Times New Roman" w:hAnsi="Times New Roman" w:eastAsia="宋体" w:cs="Times New Roman"/>
                      <w:color w:val="auto"/>
                      <w:kern w:val="0"/>
                      <w:sz w:val="21"/>
                      <w:szCs w:val="21"/>
                      <w:lang w:val="en-US" w:eastAsia="zh-CN"/>
                    </w:rPr>
                  </w:pPr>
                </w:p>
              </w:tc>
              <w:tc>
                <w:tcPr>
                  <w:tcW w:w="2004" w:type="pct"/>
                  <w:tcBorders>
                    <w:tl2br w:val="nil"/>
                    <w:tr2bl w:val="nil"/>
                  </w:tcBorders>
                  <w:noWrap w:val="0"/>
                  <w:vAlign w:val="center"/>
                </w:tcPr>
                <w:p w14:paraId="344A7837">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严守环境质量底线，强化污染物排放总量管控。根据国家、自治区和鄂尔多斯市关于大气、水、土壤、挥发性有机物污染防治相关要求，落实与区域环境空气质量改善目标相匹配的区域削减措施，推动重点行业按照大气污染物超低排放或者特别排放限值进行建设或改造升级，持续减少主要污染物、挥发性有机物、恶臭污染物等有组织和无组织排放量，保障区域环境质量改善。</w:t>
                  </w:r>
                </w:p>
              </w:tc>
              <w:tc>
                <w:tcPr>
                  <w:tcW w:w="1886" w:type="pct"/>
                  <w:tcBorders>
                    <w:tl2br w:val="nil"/>
                    <w:tr2bl w:val="nil"/>
                  </w:tcBorders>
                  <w:noWrap w:val="0"/>
                  <w:vAlign w:val="center"/>
                </w:tcPr>
                <w:p w14:paraId="0B7AFD49">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项目生产过程中采用清洁生产工艺，废气</w:t>
                  </w:r>
                  <w:r>
                    <w:rPr>
                      <w:rFonts w:hint="default" w:ascii="Times New Roman" w:hAnsi="Times New Roman" w:eastAsia="宋体" w:cs="Times New Roman"/>
                      <w:color w:val="auto"/>
                      <w:kern w:val="0"/>
                      <w:sz w:val="21"/>
                      <w:szCs w:val="21"/>
                      <w:lang w:val="en-US" w:eastAsia="zh-CN"/>
                    </w:rPr>
                    <w:t>采取负压</w:t>
                  </w:r>
                  <w:r>
                    <w:rPr>
                      <w:rFonts w:hint="eastAsia" w:ascii="Times New Roman" w:hAnsi="Times New Roman" w:eastAsia="宋体" w:cs="Times New Roman"/>
                      <w:color w:val="auto"/>
                      <w:kern w:val="0"/>
                      <w:sz w:val="21"/>
                      <w:szCs w:val="21"/>
                      <w:lang w:val="en-US" w:eastAsia="zh-CN"/>
                    </w:rPr>
                    <w:t>吸附</w:t>
                  </w:r>
                  <w:r>
                    <w:rPr>
                      <w:rFonts w:hint="default" w:ascii="Times New Roman" w:hAnsi="Times New Roman" w:eastAsia="宋体" w:cs="Times New Roman"/>
                      <w:color w:val="auto"/>
                      <w:kern w:val="0"/>
                      <w:sz w:val="21"/>
                      <w:szCs w:val="21"/>
                      <w:lang w:val="en-US" w:eastAsia="zh-CN"/>
                    </w:rPr>
                    <w:t>方式对废气进行收集，</w:t>
                  </w:r>
                  <w:r>
                    <w:rPr>
                      <w:rFonts w:hint="eastAsia" w:ascii="Times New Roman" w:hAnsi="Times New Roman" w:eastAsia="宋体" w:cs="Times New Roman"/>
                      <w:color w:val="auto"/>
                      <w:kern w:val="0"/>
                      <w:sz w:val="21"/>
                      <w:szCs w:val="21"/>
                      <w:lang w:val="en-US" w:eastAsia="zh-CN"/>
                    </w:rPr>
                    <w:t>并</w:t>
                  </w:r>
                  <w:r>
                    <w:rPr>
                      <w:rFonts w:hint="default" w:ascii="Times New Roman" w:hAnsi="Times New Roman" w:eastAsia="宋体" w:cs="Times New Roman"/>
                      <w:color w:val="auto"/>
                      <w:kern w:val="0"/>
                      <w:sz w:val="21"/>
                      <w:szCs w:val="21"/>
                      <w:lang w:val="en-US" w:eastAsia="zh-CN"/>
                    </w:rPr>
                    <w:t>通过集气管道引至废气处理装置</w:t>
                  </w:r>
                  <w:r>
                    <w:rPr>
                      <w:rFonts w:hint="eastAsia" w:ascii="Times New Roman" w:hAnsi="Times New Roman" w:eastAsia="宋体" w:cs="Times New Roman"/>
                      <w:color w:val="auto"/>
                      <w:kern w:val="0"/>
                      <w:sz w:val="21"/>
                      <w:szCs w:val="21"/>
                      <w:lang w:val="en-US" w:eastAsia="zh-CN"/>
                    </w:rPr>
                    <w:t>，经袋式除尘</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lang w:val="en-US" w:eastAsia="zh-CN"/>
                    </w:rPr>
                    <w:t>光催化</w:t>
                  </w:r>
                  <w:r>
                    <w:rPr>
                      <w:rFonts w:hint="eastAsia" w:ascii="Times New Roman" w:hAnsi="Times New Roman" w:eastAsia="宋体" w:cs="Times New Roman"/>
                      <w:color w:val="auto"/>
                      <w:sz w:val="21"/>
                      <w:szCs w:val="21"/>
                      <w:lang w:val="en-US" w:eastAsia="zh-CN"/>
                    </w:rPr>
                    <w:t>+二级</w:t>
                  </w:r>
                  <w:r>
                    <w:rPr>
                      <w:rFonts w:hint="eastAsia" w:ascii="Times New Roman" w:hAnsi="Times New Roman" w:eastAsia="宋体" w:cs="Times New Roman"/>
                      <w:color w:val="auto"/>
                      <w:kern w:val="0"/>
                      <w:sz w:val="21"/>
                      <w:szCs w:val="21"/>
                      <w:lang w:val="en-US" w:eastAsia="zh-CN"/>
                    </w:rPr>
                    <w:t>活性炭吸附装置</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lang w:val="en-US" w:eastAsia="zh-CN"/>
                    </w:rPr>
                    <w:t>15米高排气筒（DA001）达标排放</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生活污水</w:t>
                  </w:r>
                  <w:r>
                    <w:rPr>
                      <w:rFonts w:hint="eastAsia" w:ascii="Times New Roman" w:hAnsi="Times New Roman" w:eastAsia="宋体"/>
                      <w:color w:val="auto"/>
                      <w:sz w:val="21"/>
                      <w:szCs w:val="21"/>
                      <w:lang w:val="en-US" w:eastAsia="zh-CN"/>
                    </w:rPr>
                    <w:t>经现有</w:t>
                  </w:r>
                  <w:r>
                    <w:rPr>
                      <w:rFonts w:hint="default" w:ascii="Times New Roman" w:hAnsi="Times New Roman" w:eastAsia="宋体"/>
                      <w:color w:val="auto"/>
                      <w:sz w:val="21"/>
                      <w:szCs w:val="21"/>
                      <w:highlight w:val="none"/>
                    </w:rPr>
                    <w:t>污水处理站处理后全部回用</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固体废物均妥善处置</w:t>
                  </w:r>
                  <w:r>
                    <w:rPr>
                      <w:rFonts w:hint="default" w:ascii="Times New Roman" w:hAnsi="Times New Roman" w:eastAsia="宋体" w:cs="Times New Roman"/>
                      <w:color w:val="auto"/>
                      <w:sz w:val="21"/>
                      <w:szCs w:val="21"/>
                      <w:lang w:val="en-US" w:eastAsia="zh-CN"/>
                    </w:rPr>
                    <w:t>，污染物排放总量可控，契合园区环境质量改善</w:t>
                  </w:r>
                  <w:r>
                    <w:rPr>
                      <w:rFonts w:hint="eastAsia" w:ascii="Times New Roman" w:hAnsi="Times New Roman" w:eastAsia="宋体" w:cs="Times New Roman"/>
                      <w:color w:val="auto"/>
                      <w:sz w:val="21"/>
                      <w:szCs w:val="21"/>
                      <w:lang w:val="en-US" w:eastAsia="zh-CN"/>
                    </w:rPr>
                    <w:t>的</w:t>
                  </w:r>
                  <w:r>
                    <w:rPr>
                      <w:rFonts w:hint="default" w:ascii="Times New Roman" w:hAnsi="Times New Roman" w:eastAsia="宋体" w:cs="Times New Roman"/>
                      <w:color w:val="auto"/>
                      <w:sz w:val="21"/>
                      <w:szCs w:val="21"/>
                      <w:lang w:val="en-US" w:eastAsia="zh-CN"/>
                    </w:rPr>
                    <w:t>目标。</w:t>
                  </w:r>
                </w:p>
              </w:tc>
              <w:tc>
                <w:tcPr>
                  <w:tcW w:w="654" w:type="pct"/>
                  <w:tcBorders>
                    <w:tl2br w:val="nil"/>
                    <w:tr2bl w:val="nil"/>
                  </w:tcBorders>
                  <w:noWrap w:val="0"/>
                  <w:vAlign w:val="center"/>
                </w:tcPr>
                <w:p w14:paraId="28AB0088">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符合</w:t>
                  </w:r>
                </w:p>
              </w:tc>
            </w:tr>
            <w:tr w14:paraId="0A6D5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4" w:type="pct"/>
                  <w:vMerge w:val="continue"/>
                  <w:tcBorders>
                    <w:tl2br w:val="nil"/>
                    <w:tr2bl w:val="nil"/>
                  </w:tcBorders>
                  <w:noWrap w:val="0"/>
                  <w:vAlign w:val="center"/>
                </w:tcPr>
                <w:p w14:paraId="18A5911C">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jc w:val="center"/>
                    <w:textAlignment w:val="auto"/>
                    <w:rPr>
                      <w:rFonts w:hint="default" w:ascii="Times New Roman" w:hAnsi="Times New Roman" w:eastAsia="宋体" w:cs="Times New Roman"/>
                      <w:color w:val="auto"/>
                      <w:kern w:val="0"/>
                      <w:sz w:val="21"/>
                      <w:szCs w:val="21"/>
                      <w:lang w:val="en-US" w:eastAsia="zh-CN"/>
                    </w:rPr>
                  </w:pPr>
                </w:p>
              </w:tc>
              <w:tc>
                <w:tcPr>
                  <w:tcW w:w="2004" w:type="pct"/>
                  <w:tcBorders>
                    <w:tl2br w:val="nil"/>
                    <w:tr2bl w:val="nil"/>
                  </w:tcBorders>
                  <w:noWrap w:val="0"/>
                  <w:vAlign w:val="center"/>
                </w:tcPr>
                <w:p w14:paraId="6B1B1381">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加强环境监管及日常环境质量监测。园区应建立完善的环境监测计划，开展包括常规污染物和特征污染物在内的环境空气、地下水、土壤、生态系统等环境质量监测工作，实现长期监测与有效监控。重点企业排污口要设置在线监测系统并与生态环境部门联网。</w:t>
                  </w:r>
                </w:p>
              </w:tc>
              <w:tc>
                <w:tcPr>
                  <w:tcW w:w="1886" w:type="pct"/>
                  <w:tcBorders>
                    <w:tl2br w:val="nil"/>
                    <w:tr2bl w:val="nil"/>
                  </w:tcBorders>
                  <w:noWrap w:val="0"/>
                  <w:vAlign w:val="center"/>
                </w:tcPr>
                <w:p w14:paraId="73D30515">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本项目制定了自行监测计划，</w:t>
                  </w:r>
                  <w:r>
                    <w:rPr>
                      <w:rFonts w:hint="eastAsia" w:ascii="Times New Roman" w:hAnsi="Times New Roman" w:eastAsia="宋体" w:cs="Times New Roman"/>
                      <w:color w:val="auto"/>
                      <w:sz w:val="21"/>
                      <w:szCs w:val="21"/>
                      <w:lang w:val="en-US" w:eastAsia="zh-CN"/>
                    </w:rPr>
                    <w:t>排气筒</w:t>
                  </w:r>
                  <w:r>
                    <w:rPr>
                      <w:rFonts w:hint="default" w:ascii="Times New Roman" w:hAnsi="Times New Roman" w:eastAsia="宋体" w:cs="Times New Roman"/>
                      <w:color w:val="auto"/>
                      <w:sz w:val="21"/>
                      <w:szCs w:val="21"/>
                      <w:lang w:val="en-US" w:eastAsia="zh-CN"/>
                    </w:rPr>
                    <w:t>安装在线监测设施并与当地环境保护部门联网。</w:t>
                  </w:r>
                </w:p>
              </w:tc>
              <w:tc>
                <w:tcPr>
                  <w:tcW w:w="654" w:type="pct"/>
                  <w:tcBorders>
                    <w:tl2br w:val="nil"/>
                    <w:tr2bl w:val="nil"/>
                  </w:tcBorders>
                  <w:noWrap w:val="0"/>
                  <w:vAlign w:val="center"/>
                </w:tcPr>
                <w:p w14:paraId="38EEF7A6">
                  <w:pPr>
                    <w:keepNext w:val="0"/>
                    <w:keepLines w:val="0"/>
                    <w:pageBreakBefore w:val="0"/>
                    <w:suppressLineNumbers w:val="0"/>
                    <w:kinsoku/>
                    <w:overflowPunct/>
                    <w:autoSpaceDE w:val="0"/>
                    <w:autoSpaceDN w:val="0"/>
                    <w:bidi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符合</w:t>
                  </w:r>
                </w:p>
              </w:tc>
            </w:tr>
          </w:tbl>
          <w:p w14:paraId="2AB0B4F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olor w:val="auto"/>
                <w:sz w:val="24"/>
                <w:szCs w:val="24"/>
              </w:rPr>
            </w:pPr>
            <w:r>
              <w:rPr>
                <w:rFonts w:hint="eastAsia" w:ascii="Times New Roman" w:hAnsi="Times New Roman" w:eastAsia="宋体" w:cs="Times New Roman"/>
                <w:color w:val="auto"/>
                <w:kern w:val="0"/>
                <w:sz w:val="24"/>
                <w:szCs w:val="24"/>
                <w:lang w:val="en-US" w:eastAsia="zh-CN"/>
              </w:rPr>
              <w:t>综上所述，本项目的建设符合</w:t>
            </w:r>
            <w:r>
              <w:rPr>
                <w:rFonts w:hint="default" w:ascii="Times New Roman" w:hAnsi="Times New Roman" w:eastAsia="宋体" w:cs="Times New Roman"/>
                <w:color w:val="auto"/>
                <w:kern w:val="0"/>
                <w:sz w:val="24"/>
                <w:szCs w:val="24"/>
                <w:lang w:val="en-US" w:eastAsia="zh-CN"/>
              </w:rPr>
              <w:t>园区规划</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规划环评审查意见</w:t>
            </w:r>
            <w:r>
              <w:rPr>
                <w:rFonts w:hint="eastAsia" w:ascii="Times New Roman" w:hAnsi="Times New Roman" w:eastAsia="宋体" w:cs="Times New Roman"/>
                <w:color w:val="auto"/>
                <w:kern w:val="0"/>
                <w:sz w:val="24"/>
                <w:szCs w:val="24"/>
                <w:lang w:val="en-US" w:eastAsia="zh-CN"/>
              </w:rPr>
              <w:t>的相关要求。</w:t>
            </w:r>
          </w:p>
        </w:tc>
      </w:tr>
      <w:tr w14:paraId="1F97F6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28" w:type="dxa"/>
            <w:noWrap w:val="0"/>
            <w:vAlign w:val="center"/>
          </w:tcPr>
          <w:p w14:paraId="000B7727">
            <w:pPr>
              <w:keepNext w:val="0"/>
              <w:keepLines w:val="0"/>
              <w:pageBreakBefore w:val="0"/>
              <w:suppressLineNumbers w:val="0"/>
              <w:tabs>
                <w:tab w:val="left" w:pos="7616"/>
              </w:tabs>
              <w:kinsoku/>
              <w:overflowPunct/>
              <w:autoSpaceDE w:val="0"/>
              <w:autoSpaceDN w:val="0"/>
              <w:bidi w:val="0"/>
              <w:adjustRightInd w:val="0"/>
              <w:snapToGrid w:val="0"/>
              <w:spacing w:before="0" w:beforeAutospacing="0" w:after="0" w:afterLines="0" w:afterAutospacing="0" w:line="276" w:lineRule="auto"/>
              <w:ind w:left="0" w:right="0"/>
              <w:jc w:val="left"/>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其他符合性分析</w:t>
            </w:r>
            <w:r>
              <w:rPr>
                <w:rFonts w:hint="eastAsia" w:ascii="Times New Roman" w:hAnsi="Times New Roman" w:eastAsia="宋体"/>
                <w:color w:val="auto"/>
                <w:kern w:val="0"/>
                <w:sz w:val="24"/>
                <w:szCs w:val="24"/>
                <w:lang w:eastAsia="zh-CN"/>
              </w:rPr>
              <w:tab/>
            </w:r>
            <w:r>
              <w:rPr>
                <w:rFonts w:hint="default" w:ascii="Times New Roman" w:hAnsi="Times New Roman" w:eastAsia="宋体" w:cs="Times New Roman"/>
                <w:color w:val="auto"/>
                <w:kern w:val="0"/>
                <w:sz w:val="24"/>
                <w:szCs w:val="24"/>
              </w:rPr>
              <w:t>其他符合性分析</w:t>
            </w:r>
          </w:p>
        </w:tc>
        <w:tc>
          <w:tcPr>
            <w:tcW w:w="7988" w:type="dxa"/>
            <w:gridSpan w:val="4"/>
            <w:noWrap w:val="0"/>
            <w:vAlign w:val="center"/>
          </w:tcPr>
          <w:p w14:paraId="01ECBF08">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1、产业政策符合性</w:t>
            </w:r>
          </w:p>
          <w:p w14:paraId="47A26699">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w:t>
            </w:r>
            <w:r>
              <w:rPr>
                <w:rFonts w:hint="eastAsia" w:ascii="Times New Roman" w:hAnsi="Times New Roman" w:eastAsia="宋体" w:cs="Times New Roman"/>
                <w:color w:val="auto"/>
                <w:kern w:val="0"/>
                <w:sz w:val="24"/>
                <w:szCs w:val="24"/>
                <w:lang w:val="en-US" w:eastAsia="zh-CN"/>
              </w:rPr>
              <w:t>不</w:t>
            </w:r>
            <w:r>
              <w:rPr>
                <w:rFonts w:hint="default" w:ascii="Times New Roman" w:hAnsi="Times New Roman" w:eastAsia="宋体" w:cs="Times New Roman"/>
                <w:color w:val="auto"/>
                <w:kern w:val="0"/>
                <w:sz w:val="24"/>
                <w:szCs w:val="24"/>
                <w:lang w:val="en-US" w:eastAsia="zh-CN"/>
              </w:rPr>
              <w:t>属于</w:t>
            </w:r>
            <w:r>
              <w:rPr>
                <w:rFonts w:hint="eastAsia" w:ascii="Times New Roman" w:hAnsi="Times New Roman" w:eastAsia="宋体" w:cs="Times New Roman"/>
                <w:color w:val="auto"/>
                <w:kern w:val="0"/>
                <w:sz w:val="24"/>
                <w:szCs w:val="24"/>
                <w:lang w:val="en-US" w:eastAsia="zh-CN"/>
              </w:rPr>
              <w:t>国务院批准颁发的</w:t>
            </w:r>
            <w:r>
              <w:rPr>
                <w:rFonts w:hint="default" w:ascii="Times New Roman" w:hAnsi="Times New Roman" w:eastAsia="宋体" w:cs="Times New Roman"/>
                <w:color w:val="auto"/>
                <w:kern w:val="0"/>
                <w:sz w:val="24"/>
                <w:szCs w:val="24"/>
                <w:lang w:val="en-US" w:eastAsia="zh-CN"/>
              </w:rPr>
              <w:t>《产业结构调整指导目录（20</w:t>
            </w:r>
            <w:r>
              <w:rPr>
                <w:rFonts w:hint="eastAsia" w:ascii="Times New Roman" w:hAnsi="Times New Roman" w:eastAsia="宋体" w:cs="Times New Roman"/>
                <w:color w:val="auto"/>
                <w:kern w:val="0"/>
                <w:sz w:val="24"/>
                <w:szCs w:val="24"/>
                <w:lang w:val="en-US" w:eastAsia="zh-CN"/>
              </w:rPr>
              <w:t>24</w:t>
            </w:r>
            <w:r>
              <w:rPr>
                <w:rFonts w:hint="default" w:ascii="Times New Roman" w:hAnsi="Times New Roman" w:eastAsia="宋体" w:cs="Times New Roman"/>
                <w:color w:val="auto"/>
                <w:kern w:val="0"/>
                <w:sz w:val="24"/>
                <w:szCs w:val="24"/>
                <w:lang w:val="en-US" w:eastAsia="zh-CN"/>
              </w:rPr>
              <w:t>年本）》</w:t>
            </w:r>
            <w:r>
              <w:rPr>
                <w:rFonts w:hint="eastAsia" w:ascii="Times New Roman" w:hAnsi="Times New Roman" w:eastAsia="宋体" w:cs="Times New Roman"/>
                <w:color w:val="auto"/>
                <w:kern w:val="0"/>
                <w:sz w:val="24"/>
                <w:szCs w:val="24"/>
                <w:lang w:val="en-US" w:eastAsia="zh-CN"/>
              </w:rPr>
              <w:t>中的鼓励类、限制类、淘汰类项目</w:t>
            </w:r>
            <w:r>
              <w:rPr>
                <w:rFonts w:hint="default" w:ascii="Times New Roman" w:hAnsi="Times New Roman" w:eastAsia="宋体" w:cs="Times New Roman"/>
                <w:color w:val="auto"/>
                <w:kern w:val="0"/>
                <w:sz w:val="24"/>
                <w:szCs w:val="24"/>
                <w:lang w:val="en-US" w:eastAsia="zh-CN"/>
              </w:rPr>
              <w:t>，属于</w:t>
            </w:r>
            <w:r>
              <w:rPr>
                <w:rFonts w:hint="eastAsia" w:ascii="Times New Roman" w:hAnsi="Times New Roman" w:eastAsia="宋体" w:cs="Times New Roman"/>
                <w:color w:val="auto"/>
                <w:kern w:val="0"/>
                <w:sz w:val="24"/>
                <w:szCs w:val="24"/>
                <w:lang w:val="en-US" w:eastAsia="zh-CN"/>
              </w:rPr>
              <w:t>允许</w:t>
            </w:r>
            <w:r>
              <w:rPr>
                <w:rFonts w:hint="default" w:ascii="Times New Roman" w:hAnsi="Times New Roman" w:eastAsia="宋体" w:cs="Times New Roman"/>
                <w:color w:val="auto"/>
                <w:kern w:val="0"/>
                <w:sz w:val="24"/>
                <w:szCs w:val="24"/>
                <w:lang w:val="en-US" w:eastAsia="zh-CN"/>
              </w:rPr>
              <w:t>类项目，符合国家现行产业政策。</w:t>
            </w:r>
            <w:r>
              <w:rPr>
                <w:rFonts w:hint="eastAsia" w:ascii="Times New Roman" w:hAnsi="Times New Roman" w:eastAsia="宋体"/>
                <w:color w:val="auto"/>
                <w:sz w:val="24"/>
                <w:szCs w:val="24"/>
              </w:rPr>
              <w:t>另外该项目的建设已取得</w:t>
            </w:r>
            <w:r>
              <w:rPr>
                <w:rFonts w:hint="eastAsia" w:ascii="Times New Roman" w:hAnsi="Times New Roman" w:eastAsia="宋体"/>
                <w:color w:val="auto"/>
                <w:sz w:val="24"/>
                <w:szCs w:val="24"/>
                <w:lang w:val="en-US" w:eastAsia="zh-CN"/>
              </w:rPr>
              <w:t>鄂托克旗发展和改革委员会的</w:t>
            </w:r>
            <w:r>
              <w:rPr>
                <w:rFonts w:hint="eastAsia" w:ascii="Times New Roman" w:hAnsi="Times New Roman" w:eastAsia="宋体"/>
                <w:color w:val="auto"/>
                <w:sz w:val="24"/>
                <w:szCs w:val="24"/>
              </w:rPr>
              <w:t>项目备案告知书，项目代码：2</w:t>
            </w:r>
            <w:r>
              <w:rPr>
                <w:rFonts w:hint="eastAsia" w:ascii="Times New Roman" w:hAnsi="Times New Roman" w:eastAsia="宋体"/>
                <w:color w:val="auto"/>
                <w:sz w:val="24"/>
                <w:szCs w:val="24"/>
                <w:lang w:val="en-US" w:eastAsia="zh-CN"/>
              </w:rPr>
              <w:t>512</w:t>
            </w:r>
            <w:r>
              <w:rPr>
                <w:rFonts w:hint="eastAsia" w:ascii="Times New Roman" w:hAnsi="Times New Roman" w:eastAsia="宋体"/>
                <w:color w:val="auto"/>
                <w:sz w:val="24"/>
                <w:szCs w:val="24"/>
              </w:rPr>
              <w:t>-150624-04-01-</w:t>
            </w:r>
            <w:r>
              <w:rPr>
                <w:rFonts w:hint="eastAsia" w:ascii="Times New Roman" w:hAnsi="Times New Roman" w:eastAsia="宋体"/>
                <w:color w:val="auto"/>
                <w:sz w:val="24"/>
                <w:szCs w:val="24"/>
                <w:lang w:val="en-US" w:eastAsia="zh-CN"/>
              </w:rPr>
              <w:t>68763</w:t>
            </w:r>
            <w:r>
              <w:rPr>
                <w:rFonts w:hint="eastAsia" w:ascii="Times New Roman" w:hAnsi="Times New Roman" w:eastAsia="宋体"/>
                <w:color w:val="auto"/>
                <w:sz w:val="24"/>
                <w:szCs w:val="24"/>
              </w:rPr>
              <w:t>1</w:t>
            </w:r>
            <w:r>
              <w:rPr>
                <w:rFonts w:hint="eastAsia" w:ascii="Times New Roman" w:hAnsi="Times New Roman" w:eastAsia="宋体"/>
                <w:color w:val="auto"/>
                <w:sz w:val="24"/>
                <w:szCs w:val="24"/>
                <w:lang w:eastAsia="zh-CN"/>
              </w:rPr>
              <w:t>。</w:t>
            </w:r>
          </w:p>
          <w:p w14:paraId="3FE6A17E">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2、选址合理性</w:t>
            </w:r>
          </w:p>
          <w:p w14:paraId="2A1161B8">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建设地点位于内蒙古自治区鄂尔多斯市鄂托克旗内蒙古美力坚清蓝危废处置有限公司现有厂区范围内，不新增占地，依托现有厂区基础设施与配套条件建设。项目选址位于鄂托克高新技术产业开发区蒙西产业园工业集中区内，周边均为化工、冶金、电力等园区主导产业相关企业（东北侧君正化工、东南侧德晟钢厂、西北侧君正热电厂、北侧京能电厂），</w:t>
            </w:r>
            <w:r>
              <w:rPr>
                <w:rFonts w:hint="eastAsia" w:ascii="Times New Roman" w:hAnsi="Times New Roman" w:cs="Times New Roman"/>
                <w:color w:val="auto"/>
                <w:kern w:val="0"/>
                <w:sz w:val="24"/>
                <w:szCs w:val="24"/>
                <w:lang w:val="en-US" w:eastAsia="zh-CN"/>
              </w:rPr>
              <w:t>周边</w:t>
            </w:r>
            <w:r>
              <w:rPr>
                <w:rFonts w:hint="default" w:ascii="Times New Roman" w:hAnsi="Times New Roman" w:eastAsia="宋体" w:cs="Times New Roman"/>
                <w:color w:val="auto"/>
                <w:kern w:val="0"/>
                <w:sz w:val="24"/>
                <w:szCs w:val="24"/>
                <w:lang w:val="en-US" w:eastAsia="zh-CN"/>
              </w:rPr>
              <w:t>无自然保护区、风景名胜区、饮用水水源地保护区等特殊敏感区域，厂区周边及进厂道路两侧50m范围内无居民区、学校等环境敏感目标。本项目为危废处置配套项目，生产工艺及污染特征与周边企业相容，无交叉影响风险，同时可服务于园区内企业危废包装需求，与园区产业发展导向一致，选址具有良好的环境相容性与产业匹配性，项目选址合理。</w:t>
            </w:r>
          </w:p>
          <w:p w14:paraId="5C1E3A2D">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3、生态环境分区管控要求符合性分析</w:t>
            </w:r>
          </w:p>
          <w:p w14:paraId="1D47E3DD">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2024年8月6日，鄂尔多斯市人民政府正式发布了鄂尔多斯生态环境分区管控动态更新成果（2023年）（以下简称“更新成果”）。调整之后，鄂尔多斯市按照优先保护、重点管控、一般管控三大类别，共划分为171个环境管控单元。其中，优先保护单元有76个，面积占比达64.35%；重点管控单元86个，面积占比为28.10%；一般管控单元9个，面积占比7.56%。</w:t>
            </w:r>
          </w:p>
          <w:p w14:paraId="18CE49FA">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本项目位于内蒙古自治区鄂尔多斯市鄂托克旗</w:t>
            </w:r>
            <w:r>
              <w:rPr>
                <w:rFonts w:hint="eastAsia" w:ascii="Times New Roman" w:hAnsi="Times New Roman" w:eastAsia="宋体" w:cs="Times New Roman"/>
                <w:color w:val="auto"/>
                <w:kern w:val="0"/>
                <w:sz w:val="24"/>
                <w:szCs w:val="24"/>
                <w:lang w:val="en-US" w:eastAsia="zh-CN"/>
              </w:rPr>
              <w:t>内蒙古美力坚清蓝危废处置有限公司现有厂区范围内</w:t>
            </w:r>
            <w:r>
              <w:rPr>
                <w:rFonts w:hint="default" w:ascii="Times New Roman" w:hAnsi="Times New Roman" w:eastAsia="宋体" w:cs="Times New Roman"/>
                <w:color w:val="auto"/>
                <w:kern w:val="0"/>
                <w:sz w:val="24"/>
                <w:szCs w:val="24"/>
                <w:lang w:val="en-US" w:eastAsia="zh-CN"/>
              </w:rPr>
              <w:t>，根据内蒙古自治区“三线一单”公众端应用平台的研判分析，本项目涉及的环境管控单元为：鄂托克经济开发区蒙西产业园-环境管控单元（ZH15062420001）。</w:t>
            </w:r>
          </w:p>
          <w:p w14:paraId="589CA7CE">
            <w:pPr>
              <w:keepNext w:val="0"/>
              <w:keepLines w:val="0"/>
              <w:pageBreakBefore w:val="0"/>
              <w:suppressLineNumbers w:val="0"/>
              <w:kinsoku/>
              <w:overflowPunct/>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本项目与鄂尔多斯市生态环境分区管控相对位置见图1-1、1-2。</w:t>
            </w:r>
          </w:p>
          <w:p w14:paraId="168AB94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drawing>
                <wp:inline distT="0" distB="0" distL="114300" distR="114300">
                  <wp:extent cx="4986020" cy="3574415"/>
                  <wp:effectExtent l="0" t="0" r="5080" b="6985"/>
                  <wp:docPr id="22" name="图片 22" descr="内蒙古自治区鄂尔多斯市三线一单图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内蒙古自治区鄂尔多斯市三线一单图集+"/>
                          <pic:cNvPicPr>
                            <a:picLocks noChangeAspect="1"/>
                          </pic:cNvPicPr>
                        </pic:nvPicPr>
                        <pic:blipFill>
                          <a:blip r:embed="rId15"/>
                          <a:stretch>
                            <a:fillRect/>
                          </a:stretch>
                        </pic:blipFill>
                        <pic:spPr>
                          <a:xfrm>
                            <a:off x="0" y="0"/>
                            <a:ext cx="4986020" cy="3574415"/>
                          </a:xfrm>
                          <a:prstGeom prst="rect">
                            <a:avLst/>
                          </a:prstGeom>
                        </pic:spPr>
                      </pic:pic>
                    </a:graphicData>
                  </a:graphic>
                </wp:inline>
              </w:drawing>
            </w:r>
          </w:p>
          <w:p w14:paraId="4EA426C4">
            <w:pPr>
              <w:keepNext w:val="0"/>
              <w:keepLines w:val="0"/>
              <w:pageBreakBefore w:val="0"/>
              <w:suppressLineNumbers w:val="0"/>
              <w:kinsoku/>
              <w:overflowPunct/>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图1-1项目与鄂尔多斯市生态环境分区管控的位置关系示意图</w:t>
            </w:r>
          </w:p>
          <w:p w14:paraId="20CCE11B">
            <w:pPr>
              <w:keepNext w:val="0"/>
              <w:keepLines w:val="0"/>
              <w:pageBreakBefore w:val="0"/>
              <w:widowControl/>
              <w:suppressLineNumbers w:val="0"/>
              <w:kinsoku/>
              <w:wordWrap w:val="0"/>
              <w:overflowPunct/>
              <w:topLinePunct/>
              <w:autoSpaceDE w:val="0"/>
              <w:autoSpaceDN w:val="0"/>
              <w:bidi w:val="0"/>
              <w:adjustRightInd/>
              <w:snapToGrid w:val="0"/>
              <w:spacing w:before="0" w:beforeAutospacing="0" w:after="0" w:afterLines="0" w:afterAutospacing="0" w:line="360" w:lineRule="auto"/>
              <w:ind w:left="0" w:right="0" w:firstLine="0" w:firstLineChars="0"/>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drawing>
                <wp:inline distT="0" distB="0" distL="114300" distR="114300">
                  <wp:extent cx="4977765" cy="3039110"/>
                  <wp:effectExtent l="0" t="0" r="13335" b="8890"/>
                  <wp:docPr id="23" name="图片 23" descr="三线一单公众端应用平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三线一单公众端应用平台"/>
                          <pic:cNvPicPr>
                            <a:picLocks noChangeAspect="1"/>
                          </pic:cNvPicPr>
                        </pic:nvPicPr>
                        <pic:blipFill>
                          <a:blip r:embed="rId16"/>
                          <a:stretch>
                            <a:fillRect/>
                          </a:stretch>
                        </pic:blipFill>
                        <pic:spPr>
                          <a:xfrm>
                            <a:off x="0" y="0"/>
                            <a:ext cx="4977765" cy="3039110"/>
                          </a:xfrm>
                          <a:prstGeom prst="rect">
                            <a:avLst/>
                          </a:prstGeom>
                        </pic:spPr>
                      </pic:pic>
                    </a:graphicData>
                  </a:graphic>
                </wp:inline>
              </w:drawing>
            </w:r>
          </w:p>
          <w:p w14:paraId="07336F5D">
            <w:pPr>
              <w:keepNext w:val="0"/>
              <w:keepLines w:val="0"/>
              <w:pageBreakBefore w:val="0"/>
              <w:suppressLineNumbers w:val="0"/>
              <w:kinsoku/>
              <w:overflowPunct/>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图1-2项目在内蒙古自治区“三线一单”公众端应用平台查询图</w:t>
            </w:r>
          </w:p>
          <w:p w14:paraId="22EDCAA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p>
          <w:p w14:paraId="4F79BDE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w:t>
            </w:r>
            <w:r>
              <w:rPr>
                <w:rFonts w:hint="eastAsia" w:ascii="Times New Roman" w:hAnsi="Times New Roman" w:eastAsia="宋体" w:cs="Times New Roman"/>
                <w:color w:val="auto"/>
                <w:kern w:val="0"/>
                <w:sz w:val="24"/>
                <w:szCs w:val="24"/>
                <w:lang w:val="en-US" w:eastAsia="zh-CN"/>
              </w:rPr>
              <w:t>生态环境分区管控</w:t>
            </w:r>
            <w:r>
              <w:rPr>
                <w:rFonts w:hint="default" w:ascii="Times New Roman" w:hAnsi="Times New Roman" w:eastAsia="宋体" w:cs="Times New Roman"/>
                <w:color w:val="auto"/>
                <w:kern w:val="0"/>
                <w:sz w:val="24"/>
                <w:szCs w:val="24"/>
                <w:lang w:val="en-US" w:eastAsia="zh-CN"/>
              </w:rPr>
              <w:t>符合性分析如下：</w:t>
            </w:r>
          </w:p>
          <w:p w14:paraId="5CEFA29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 1 \* GB3 \* MERGEFORMAT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①</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生态保护红线</w:t>
            </w:r>
          </w:p>
          <w:p w14:paraId="7D03204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本项目位于内蒙古自治区鄂尔多斯市鄂托克旗</w:t>
            </w:r>
            <w:r>
              <w:rPr>
                <w:rFonts w:hint="eastAsia" w:ascii="Times New Roman" w:hAnsi="Times New Roman" w:eastAsia="宋体" w:cs="Times New Roman"/>
                <w:color w:val="auto"/>
                <w:kern w:val="0"/>
                <w:sz w:val="24"/>
                <w:szCs w:val="24"/>
                <w:lang w:val="en-US" w:eastAsia="zh-CN"/>
              </w:rPr>
              <w:t>内蒙古美力坚清蓝危废处置有限公司现有厂区范围内</w:t>
            </w:r>
            <w:r>
              <w:rPr>
                <w:rFonts w:hint="default" w:ascii="Times New Roman" w:hAnsi="Times New Roman" w:eastAsia="宋体" w:cs="Times New Roman"/>
                <w:color w:val="auto"/>
                <w:kern w:val="0"/>
                <w:sz w:val="24"/>
                <w:szCs w:val="24"/>
                <w:lang w:val="en-US" w:eastAsia="zh-CN"/>
              </w:rPr>
              <w:t>，用地性质为工业用地，不在生态保护红线范围内。</w:t>
            </w:r>
          </w:p>
          <w:p w14:paraId="0DF791A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 2 \* GB3 \* MERGEFORMAT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②</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环境质量底线</w:t>
            </w:r>
          </w:p>
          <w:p w14:paraId="5705D63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本项目位于内蒙古自治区鄂尔多斯市鄂托克旗</w:t>
            </w:r>
            <w:r>
              <w:rPr>
                <w:rFonts w:hint="eastAsia" w:ascii="Times New Roman" w:hAnsi="Times New Roman" w:eastAsia="宋体" w:cs="Times New Roman"/>
                <w:color w:val="auto"/>
                <w:kern w:val="0"/>
                <w:sz w:val="24"/>
                <w:szCs w:val="24"/>
                <w:lang w:val="en-US" w:eastAsia="zh-CN"/>
              </w:rPr>
              <w:t>内蒙古美力坚清蓝危废处置有限公司现有厂区范围内</w:t>
            </w:r>
            <w:r>
              <w:rPr>
                <w:rFonts w:hint="default" w:ascii="Times New Roman" w:hAnsi="Times New Roman" w:eastAsia="宋体" w:cs="Times New Roman"/>
                <w:color w:val="auto"/>
                <w:kern w:val="0"/>
                <w:sz w:val="24"/>
                <w:szCs w:val="24"/>
                <w:lang w:val="en-US" w:eastAsia="zh-CN"/>
              </w:rPr>
              <w:t>，根据内蒙古自治区生态环境厅发布的《</w:t>
            </w:r>
            <w:r>
              <w:rPr>
                <w:rFonts w:hint="eastAsia" w:ascii="Times New Roman" w:hAnsi="Times New Roman" w:eastAsia="宋体" w:cs="Times New Roman"/>
                <w:color w:val="auto"/>
                <w:sz w:val="24"/>
              </w:rPr>
              <w:t>2025年内蒙古自治区生态环境状况公报</w:t>
            </w:r>
            <w:r>
              <w:rPr>
                <w:rFonts w:hint="default" w:ascii="Times New Roman" w:hAnsi="Times New Roman" w:eastAsia="宋体" w:cs="Times New Roman"/>
                <w:color w:val="auto"/>
                <w:kern w:val="0"/>
                <w:sz w:val="24"/>
                <w:szCs w:val="24"/>
                <w:lang w:val="en-US" w:eastAsia="zh-CN"/>
              </w:rPr>
              <w:t>》，本项目所在区域为环境空气质量达标区。</w:t>
            </w:r>
            <w:r>
              <w:rPr>
                <w:rFonts w:hint="eastAsia" w:cs="Times New Roman"/>
                <w:color w:val="auto"/>
                <w:kern w:val="0"/>
                <w:sz w:val="24"/>
                <w:szCs w:val="24"/>
                <w:lang w:val="en-US" w:eastAsia="zh-CN"/>
              </w:rPr>
              <w:t>根据</w:t>
            </w:r>
            <w:r>
              <w:rPr>
                <w:rFonts w:hint="eastAsia" w:ascii="Times New Roman" w:hAnsi="Times New Roman" w:eastAsia="宋体" w:cs="Times New Roman"/>
                <w:color w:val="auto"/>
                <w:kern w:val="0"/>
                <w:szCs w:val="21"/>
                <w:lang w:val="en-US" w:eastAsia="zh-CN"/>
              </w:rPr>
              <w:t>引用</w:t>
            </w:r>
            <w:r>
              <w:rPr>
                <w:rFonts w:hint="eastAsia" w:ascii="Times New Roman" w:hAnsi="Times New Roman" w:cs="Times New Roman"/>
                <w:color w:val="auto"/>
                <w:kern w:val="0"/>
                <w:szCs w:val="21"/>
                <w:lang w:val="en-US" w:eastAsia="zh-CN"/>
              </w:rPr>
              <w:t>的</w:t>
            </w:r>
            <w:r>
              <w:rPr>
                <w:rFonts w:hint="eastAsia" w:ascii="Times New Roman" w:hAnsi="Times New Roman" w:eastAsia="宋体" w:cs="Times New Roman"/>
                <w:color w:val="auto"/>
                <w:kern w:val="0"/>
                <w:szCs w:val="21"/>
                <w:lang w:val="en-US" w:eastAsia="zh-CN"/>
              </w:rPr>
              <w:t>《内蒙古美力坚科技化工有限公司产品多元化提质改造项目环境影响报告书》中监测数据</w:t>
            </w:r>
            <w:r>
              <w:rPr>
                <w:rFonts w:hint="eastAsia" w:ascii="Times New Roman" w:hAnsi="Times New Roman" w:cs="Times New Roman"/>
                <w:color w:val="auto"/>
                <w:kern w:val="0"/>
                <w:szCs w:val="21"/>
                <w:lang w:val="en-US" w:eastAsia="zh-CN"/>
              </w:rPr>
              <w:t>可知，</w:t>
            </w:r>
            <w:r>
              <w:rPr>
                <w:rFonts w:hint="default" w:ascii="Times New Roman" w:hAnsi="Times New Roman" w:eastAsia="宋体" w:cs="Times New Roman"/>
                <w:color w:val="auto"/>
                <w:highlight w:val="none"/>
                <w:lang w:val="en-US" w:eastAsia="zh-CN"/>
              </w:rPr>
              <w:t>TSP满足《环境空气质量标准》(GB3095-20</w:t>
            </w:r>
            <w:r>
              <w:rPr>
                <w:rFonts w:hint="eastAsia" w:cs="Times New Roman"/>
                <w:color w:val="auto"/>
                <w:highlight w:val="none"/>
                <w:lang w:val="en-US" w:eastAsia="zh-CN"/>
              </w:rPr>
              <w:t>26</w:t>
            </w:r>
            <w:r>
              <w:rPr>
                <w:rFonts w:hint="default" w:ascii="Times New Roman" w:hAnsi="Times New Roman" w:eastAsia="宋体" w:cs="Times New Roman"/>
                <w:color w:val="auto"/>
                <w:highlight w:val="none"/>
                <w:lang w:val="en-US" w:eastAsia="zh-CN"/>
              </w:rPr>
              <w:t>)二级标准</w:t>
            </w:r>
            <w:r>
              <w:rPr>
                <w:rFonts w:hint="eastAsia" w:ascii="Times New Roman" w:hAnsi="Times New Roman" w:eastAsia="宋体" w:cs="Times New Roman"/>
                <w:color w:val="auto"/>
                <w:highlight w:val="none"/>
                <w:lang w:val="en-US" w:eastAsia="zh-CN"/>
              </w:rPr>
              <w:t>。</w:t>
            </w:r>
          </w:p>
          <w:p w14:paraId="1D5E1B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本项目运行期产生有</w:t>
            </w:r>
            <w:r>
              <w:rPr>
                <w:rFonts w:hint="eastAsia" w:ascii="Times New Roman" w:hAnsi="Times New Roman" w:eastAsia="宋体" w:cs="Times New Roman"/>
                <w:color w:val="auto"/>
                <w:kern w:val="0"/>
                <w:sz w:val="24"/>
                <w:szCs w:val="24"/>
                <w:lang w:val="en-US" w:eastAsia="zh-CN"/>
              </w:rPr>
              <w:t>粉尘、</w:t>
            </w:r>
            <w:r>
              <w:rPr>
                <w:rFonts w:hint="default" w:ascii="Times New Roman" w:hAnsi="Times New Roman" w:eastAsia="宋体" w:cs="Times New Roman"/>
                <w:color w:val="auto"/>
                <w:kern w:val="0"/>
                <w:sz w:val="24"/>
                <w:szCs w:val="24"/>
                <w:lang w:val="en-US" w:eastAsia="zh-CN"/>
              </w:rPr>
              <w:t>非甲烷总烃</w:t>
            </w:r>
            <w:r>
              <w:rPr>
                <w:rFonts w:hint="default" w:ascii="Times New Roman" w:hAnsi="Times New Roman" w:eastAsia="宋体" w:cs="Times New Roman"/>
                <w:color w:val="auto"/>
                <w:kern w:val="0"/>
                <w:sz w:val="24"/>
                <w:szCs w:val="24"/>
                <w:highlight w:val="none"/>
                <w:lang w:val="en-US" w:eastAsia="zh-CN"/>
              </w:rPr>
              <w:t>和</w:t>
            </w:r>
            <w:r>
              <w:rPr>
                <w:rFonts w:hint="eastAsia" w:ascii="Times New Roman" w:hAnsi="Times New Roman" w:eastAsia="宋体" w:cs="Times New Roman"/>
                <w:color w:val="auto"/>
                <w:kern w:val="0"/>
                <w:sz w:val="24"/>
                <w:szCs w:val="24"/>
                <w:highlight w:val="none"/>
                <w:lang w:val="en-US" w:eastAsia="zh-CN"/>
              </w:rPr>
              <w:t>生</w:t>
            </w:r>
            <w:r>
              <w:rPr>
                <w:rFonts w:hint="eastAsia" w:cs="Times New Roman"/>
                <w:color w:val="auto"/>
                <w:kern w:val="0"/>
                <w:sz w:val="24"/>
                <w:szCs w:val="24"/>
                <w:highlight w:val="none"/>
                <w:lang w:val="en-US" w:eastAsia="zh-CN"/>
              </w:rPr>
              <w:t>活</w:t>
            </w:r>
            <w:r>
              <w:rPr>
                <w:rFonts w:hint="default" w:ascii="Times New Roman" w:hAnsi="Times New Roman" w:eastAsia="宋体" w:cs="Times New Roman"/>
                <w:color w:val="auto"/>
                <w:kern w:val="0"/>
                <w:sz w:val="24"/>
                <w:szCs w:val="24"/>
                <w:highlight w:val="none"/>
                <w:lang w:val="en-US" w:eastAsia="zh-CN"/>
              </w:rPr>
              <w:t>污水，经分析，本项目建成后产生的废气采取负压</w:t>
            </w:r>
            <w:r>
              <w:rPr>
                <w:rFonts w:hint="eastAsia" w:ascii="Times New Roman" w:hAnsi="Times New Roman" w:eastAsia="宋体" w:cs="Times New Roman"/>
                <w:color w:val="auto"/>
                <w:kern w:val="0"/>
                <w:sz w:val="24"/>
                <w:szCs w:val="24"/>
                <w:highlight w:val="none"/>
                <w:lang w:val="en-US" w:eastAsia="zh-CN"/>
              </w:rPr>
              <w:t>吸附</w:t>
            </w:r>
            <w:r>
              <w:rPr>
                <w:rFonts w:hint="default" w:ascii="Times New Roman" w:hAnsi="Times New Roman" w:eastAsia="宋体" w:cs="Times New Roman"/>
                <w:color w:val="auto"/>
                <w:kern w:val="0"/>
                <w:sz w:val="24"/>
                <w:szCs w:val="24"/>
                <w:highlight w:val="none"/>
                <w:lang w:val="en-US" w:eastAsia="zh-CN"/>
              </w:rPr>
              <w:t>方式对废气进行收集，</w:t>
            </w:r>
            <w:r>
              <w:rPr>
                <w:rFonts w:hint="eastAsia" w:ascii="Times New Roman" w:hAnsi="Times New Roman" w:eastAsia="宋体" w:cs="Times New Roman"/>
                <w:color w:val="auto"/>
                <w:kern w:val="0"/>
                <w:sz w:val="24"/>
                <w:szCs w:val="24"/>
                <w:highlight w:val="none"/>
                <w:lang w:val="en-US" w:eastAsia="zh-CN"/>
              </w:rPr>
              <w:t>并</w:t>
            </w:r>
            <w:r>
              <w:rPr>
                <w:rFonts w:hint="default" w:ascii="Times New Roman" w:hAnsi="Times New Roman" w:eastAsia="宋体" w:cs="Times New Roman"/>
                <w:color w:val="auto"/>
                <w:kern w:val="0"/>
                <w:sz w:val="24"/>
                <w:szCs w:val="24"/>
                <w:highlight w:val="none"/>
                <w:lang w:val="en-US" w:eastAsia="zh-CN"/>
              </w:rPr>
              <w:t>通过集气管道引至废气处理装置</w:t>
            </w:r>
            <w:r>
              <w:rPr>
                <w:rFonts w:hint="eastAsia" w:ascii="Times New Roman" w:hAnsi="Times New Roman" w:eastAsia="宋体" w:cs="Times New Roman"/>
                <w:color w:val="auto"/>
                <w:kern w:val="0"/>
                <w:sz w:val="24"/>
                <w:szCs w:val="24"/>
                <w:highlight w:val="none"/>
                <w:lang w:val="en-US" w:eastAsia="zh-CN"/>
              </w:rPr>
              <w:t>，经</w:t>
            </w:r>
            <w:r>
              <w:rPr>
                <w:rFonts w:hint="eastAsia" w:cs="Times New Roman"/>
                <w:color w:val="auto"/>
                <w:kern w:val="0"/>
                <w:sz w:val="24"/>
                <w:szCs w:val="24"/>
                <w:highlight w:val="none"/>
                <w:lang w:val="en-US" w:eastAsia="zh-CN"/>
              </w:rPr>
              <w:t>袋式</w:t>
            </w:r>
            <w:r>
              <w:rPr>
                <w:rFonts w:hint="eastAsia" w:ascii="Times New Roman" w:hAnsi="Times New Roman" w:eastAsia="宋体" w:cs="Times New Roman"/>
                <w:color w:val="auto"/>
                <w:kern w:val="0"/>
                <w:sz w:val="24"/>
                <w:szCs w:val="24"/>
                <w:highlight w:val="none"/>
                <w:lang w:val="en-US" w:eastAsia="zh-CN"/>
              </w:rPr>
              <w:t>除尘</w:t>
            </w:r>
            <w:r>
              <w:rPr>
                <w:rFonts w:hint="eastAsia" w:ascii="Times New Roman" w:hAnsi="Times New Roman" w:cs="Times New Roman"/>
                <w:color w:val="auto"/>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光催化</w:t>
            </w:r>
            <w:r>
              <w:rPr>
                <w:rFonts w:hint="eastAsia" w:ascii="Times New Roman" w:hAnsi="Times New Roman" w:cs="Times New Roman"/>
                <w:color w:val="auto"/>
                <w:sz w:val="24"/>
                <w:szCs w:val="24"/>
                <w:highlight w:val="none"/>
                <w:lang w:val="en-US" w:eastAsia="zh-CN"/>
              </w:rPr>
              <w:t>+二级</w:t>
            </w:r>
            <w:r>
              <w:rPr>
                <w:rFonts w:hint="eastAsia" w:ascii="Times New Roman" w:hAnsi="Times New Roman" w:eastAsia="宋体" w:cs="Times New Roman"/>
                <w:color w:val="auto"/>
                <w:kern w:val="0"/>
                <w:sz w:val="24"/>
                <w:szCs w:val="24"/>
                <w:highlight w:val="none"/>
                <w:lang w:val="en-US" w:eastAsia="zh-CN"/>
              </w:rPr>
              <w:t>活性炭吸附装置</w:t>
            </w:r>
            <w:r>
              <w:rPr>
                <w:rFonts w:hint="eastAsia" w:ascii="Times New Roman" w:hAnsi="Times New Roman" w:cs="Times New Roman"/>
                <w:color w:val="auto"/>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15米高排气筒（DA001）达标排放，</w:t>
            </w:r>
            <w:r>
              <w:rPr>
                <w:rFonts w:hint="default" w:ascii="Times New Roman" w:hAnsi="Times New Roman" w:eastAsia="宋体" w:cs="Times New Roman"/>
                <w:color w:val="auto"/>
                <w:kern w:val="0"/>
                <w:sz w:val="24"/>
                <w:szCs w:val="24"/>
                <w:highlight w:val="none"/>
                <w:lang w:val="en-US" w:eastAsia="zh-CN"/>
              </w:rPr>
              <w:t>环境质量影响处于可接受水平；</w:t>
            </w:r>
            <w:r>
              <w:rPr>
                <w:rFonts w:hint="eastAsia" w:ascii="Times New Roman" w:hAnsi="Times New Roman" w:eastAsia="宋体" w:cs="Times New Roman"/>
                <w:color w:val="auto"/>
                <w:kern w:val="0"/>
                <w:sz w:val="24"/>
                <w:szCs w:val="24"/>
                <w:highlight w:val="none"/>
                <w:lang w:val="en-US" w:eastAsia="zh-CN"/>
              </w:rPr>
              <w:t>生</w:t>
            </w:r>
            <w:r>
              <w:rPr>
                <w:rFonts w:hint="eastAsia" w:cs="Times New Roman"/>
                <w:color w:val="auto"/>
                <w:kern w:val="0"/>
                <w:sz w:val="24"/>
                <w:szCs w:val="24"/>
                <w:highlight w:val="none"/>
                <w:lang w:val="en-US" w:eastAsia="zh-CN"/>
              </w:rPr>
              <w:t>活</w:t>
            </w:r>
            <w:r>
              <w:rPr>
                <w:rFonts w:hint="default" w:ascii="Times New Roman" w:hAnsi="Times New Roman" w:eastAsia="宋体" w:cs="Times New Roman"/>
                <w:color w:val="auto"/>
                <w:kern w:val="0"/>
                <w:sz w:val="24"/>
                <w:szCs w:val="24"/>
                <w:highlight w:val="none"/>
                <w:lang w:val="en-US" w:eastAsia="zh-CN"/>
              </w:rPr>
              <w:t>污水</w:t>
            </w:r>
            <w:r>
              <w:rPr>
                <w:rFonts w:hint="eastAsia" w:ascii="Times New Roman" w:hAnsi="Times New Roman" w:eastAsia="宋体" w:cs="Times New Roman"/>
                <w:color w:val="auto"/>
                <w:kern w:val="0"/>
                <w:sz w:val="24"/>
                <w:szCs w:val="24"/>
                <w:highlight w:val="none"/>
                <w:lang w:val="en-US" w:eastAsia="zh-CN"/>
              </w:rPr>
              <w:t>经</w:t>
            </w:r>
            <w:r>
              <w:rPr>
                <w:rFonts w:hint="eastAsia" w:ascii="Times New Roman" w:hAnsi="Times New Roman" w:eastAsia="宋体" w:cs="Times New Roman"/>
                <w:color w:val="auto"/>
                <w:kern w:val="0"/>
                <w:sz w:val="24"/>
                <w:szCs w:val="24"/>
                <w:lang w:val="en-US" w:eastAsia="zh-CN"/>
              </w:rPr>
              <w:t>污水处理站</w:t>
            </w:r>
            <w:r>
              <w:rPr>
                <w:rFonts w:hint="default" w:ascii="Times New Roman" w:hAnsi="Times New Roman" w:eastAsia="宋体" w:cs="Times New Roman"/>
                <w:color w:val="auto"/>
                <w:kern w:val="0"/>
                <w:sz w:val="24"/>
                <w:szCs w:val="24"/>
                <w:lang w:val="en-US" w:eastAsia="zh-CN"/>
              </w:rPr>
              <w:t>处理达标后全部回用于固化及焚烧车</w:t>
            </w:r>
            <w:r>
              <w:rPr>
                <w:rFonts w:hint="eastAsia" w:cs="Times New Roman"/>
                <w:color w:val="auto"/>
                <w:kern w:val="0"/>
                <w:sz w:val="24"/>
                <w:szCs w:val="24"/>
                <w:lang w:val="en-US" w:eastAsia="zh-CN"/>
              </w:rPr>
              <w:t>间</w:t>
            </w:r>
            <w:r>
              <w:rPr>
                <w:rFonts w:hint="default" w:ascii="Times New Roman" w:hAnsi="Times New Roman" w:eastAsia="宋体" w:cs="Times New Roman"/>
                <w:color w:val="auto"/>
                <w:kern w:val="0"/>
                <w:sz w:val="24"/>
                <w:szCs w:val="24"/>
                <w:lang w:val="en-US" w:eastAsia="zh-CN"/>
              </w:rPr>
              <w:t>，不外排，对环境影响较小。</w:t>
            </w:r>
          </w:p>
          <w:p w14:paraId="7FC6A9D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在采取相应的污染防治措施后，各类污染物的排放对周边环境影响较小，不会改变区域环境功能区质量要求，项目符合环境质量底线要求。</w:t>
            </w:r>
          </w:p>
          <w:p w14:paraId="3D8A839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 3 \* GB3 \* MERGEFORMAT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③</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资源利用上线</w:t>
            </w:r>
          </w:p>
          <w:p w14:paraId="4D1CB8E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本项目建设地点位于内蒙古自治区鄂尔多斯市鄂托克旗</w:t>
            </w:r>
            <w:r>
              <w:rPr>
                <w:rFonts w:hint="eastAsia" w:ascii="Times New Roman" w:hAnsi="Times New Roman" w:eastAsia="宋体" w:cs="Times New Roman"/>
                <w:color w:val="auto"/>
                <w:kern w:val="0"/>
                <w:sz w:val="24"/>
                <w:szCs w:val="24"/>
                <w:lang w:val="en-US" w:eastAsia="zh-CN"/>
              </w:rPr>
              <w:t>内蒙古美力坚清蓝危废处置有限公司现有厂区范围内</w:t>
            </w:r>
            <w:r>
              <w:rPr>
                <w:rFonts w:hint="default" w:ascii="Times New Roman" w:hAnsi="Times New Roman" w:eastAsia="宋体" w:cs="Times New Roman"/>
                <w:color w:val="auto"/>
                <w:kern w:val="0"/>
                <w:sz w:val="24"/>
                <w:szCs w:val="24"/>
                <w:lang w:val="en-US" w:eastAsia="zh-CN"/>
              </w:rPr>
              <w:t>，不新增用地，本项目运营过程主要资源消耗为水、电，</w:t>
            </w:r>
            <w:r>
              <w:rPr>
                <w:rFonts w:hint="eastAsia" w:ascii="Times New Roman" w:hAnsi="Times New Roman" w:eastAsia="宋体" w:cs="Times New Roman"/>
                <w:color w:val="auto"/>
                <w:kern w:val="0"/>
                <w:sz w:val="24"/>
                <w:szCs w:val="24"/>
                <w:lang w:val="en-US" w:eastAsia="zh-CN"/>
              </w:rPr>
              <w:t>本工程用水主要由</w:t>
            </w:r>
            <w:r>
              <w:rPr>
                <w:rFonts w:hint="default" w:ascii="Times New Roman" w:hAnsi="Times New Roman" w:eastAsia="宋体" w:cs="Times New Roman"/>
                <w:color w:val="auto"/>
                <w:kern w:val="0"/>
                <w:sz w:val="24"/>
                <w:szCs w:val="24"/>
                <w:lang w:val="en-US" w:eastAsia="zh-CN"/>
              </w:rPr>
              <w:t>开发区进行统一供给</w:t>
            </w:r>
            <w:r>
              <w:rPr>
                <w:rFonts w:hint="eastAsia" w:ascii="Times New Roman" w:hAnsi="Times New Roman" w:eastAsia="宋体" w:cs="Times New Roman"/>
                <w:color w:val="auto"/>
                <w:kern w:val="0"/>
                <w:sz w:val="24"/>
                <w:szCs w:val="24"/>
                <w:highlight w:val="none"/>
                <w:lang w:val="en-US" w:eastAsia="zh-CN"/>
              </w:rPr>
              <w:t>，新鲜水总</w:t>
            </w:r>
            <w:r>
              <w:rPr>
                <w:rFonts w:hint="default" w:ascii="Times New Roman" w:hAnsi="Times New Roman" w:eastAsia="宋体" w:cs="Times New Roman"/>
                <w:color w:val="auto"/>
                <w:kern w:val="0"/>
                <w:sz w:val="24"/>
                <w:szCs w:val="24"/>
                <w:highlight w:val="none"/>
                <w:lang w:val="en-US" w:eastAsia="zh-CN"/>
              </w:rPr>
              <w:t>用水量为</w:t>
            </w:r>
            <w:r>
              <w:rPr>
                <w:rFonts w:hint="eastAsia" w:cs="Times New Roman"/>
                <w:color w:val="auto"/>
                <w:kern w:val="0"/>
                <w:sz w:val="24"/>
                <w:szCs w:val="24"/>
                <w:highlight w:val="none"/>
                <w:lang w:val="en-US" w:eastAsia="zh-CN"/>
              </w:rPr>
              <w:t>2.78</w:t>
            </w:r>
            <w:r>
              <w:rPr>
                <w:rFonts w:hint="default"/>
                <w:color w:val="auto"/>
                <w:highlight w:val="none"/>
                <w:lang w:val="en-US" w:eastAsia="zh-CN"/>
              </w:rPr>
              <w:t>m</w:t>
            </w:r>
            <w:r>
              <w:rPr>
                <w:rFonts w:hint="default"/>
                <w:color w:val="auto"/>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/d</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年用电量为</w:t>
            </w:r>
            <w:r>
              <w:rPr>
                <w:rFonts w:hint="eastAsia" w:ascii="Times New Roman" w:hAnsi="Times New Roman" w:eastAsia="宋体" w:cs="Times New Roman"/>
                <w:color w:val="auto"/>
                <w:kern w:val="0"/>
                <w:sz w:val="24"/>
                <w:szCs w:val="24"/>
                <w:highlight w:val="none"/>
                <w:lang w:val="en-US" w:eastAsia="zh-CN"/>
              </w:rPr>
              <w:t>320</w:t>
            </w:r>
            <w:r>
              <w:rPr>
                <w:rFonts w:hint="default" w:ascii="Times New Roman" w:hAnsi="Times New Roman" w:eastAsia="宋体" w:cs="Times New Roman"/>
                <w:color w:val="auto"/>
                <w:kern w:val="0"/>
                <w:sz w:val="24"/>
                <w:szCs w:val="24"/>
                <w:highlight w:val="none"/>
                <w:lang w:val="en-US" w:eastAsia="zh-CN"/>
              </w:rPr>
              <w:t>万kWh</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资源消耗量较小</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不</w:t>
            </w:r>
            <w:r>
              <w:rPr>
                <w:rFonts w:hint="default" w:ascii="Times New Roman" w:hAnsi="Times New Roman" w:eastAsia="宋体" w:cs="Times New Roman"/>
                <w:color w:val="auto"/>
                <w:kern w:val="0"/>
                <w:sz w:val="24"/>
                <w:szCs w:val="24"/>
                <w:lang w:val="en-US" w:eastAsia="zh-CN"/>
              </w:rPr>
              <w:t>会超出资源利用上线。</w:t>
            </w:r>
          </w:p>
          <w:p w14:paraId="0C6C24E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 4 \* GB3 \* MERGEFORMAT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④</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环境准入清单</w:t>
            </w:r>
          </w:p>
          <w:p w14:paraId="55FC978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本项目与《鄂尔多斯市生态环境准入清单》符合性分析详见下表所示：</w:t>
            </w:r>
          </w:p>
          <w:p w14:paraId="28FB68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表1-</w:t>
            </w:r>
            <w:r>
              <w:rPr>
                <w:rFonts w:hint="eastAsia" w:ascii="Times New Roman" w:hAnsi="Times New Roman" w:eastAsia="宋体" w:cs="Times New Roman"/>
                <w:b/>
                <w:bCs/>
                <w:color w:val="auto"/>
                <w:sz w:val="24"/>
                <w:lang w:val="en-US" w:eastAsia="zh-CN"/>
              </w:rPr>
              <w:t>3本项目与</w:t>
            </w:r>
            <w:r>
              <w:rPr>
                <w:rFonts w:hint="default" w:ascii="Times New Roman" w:hAnsi="Times New Roman" w:eastAsia="宋体" w:cs="Times New Roman"/>
                <w:b/>
                <w:bCs/>
                <w:color w:val="auto"/>
                <w:sz w:val="24"/>
                <w:lang w:val="en-US" w:eastAsia="zh-CN"/>
              </w:rPr>
              <w:t>《鄂尔多斯市生态环境准入清单》符合性分析</w:t>
            </w:r>
          </w:p>
          <w:tbl>
            <w:tblPr>
              <w:tblStyle w:val="24"/>
              <w:tblW w:w="4996"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1"/>
              <w:gridCol w:w="428"/>
              <w:gridCol w:w="247"/>
              <w:gridCol w:w="545"/>
              <w:gridCol w:w="3309"/>
              <w:gridCol w:w="2246"/>
              <w:gridCol w:w="660"/>
            </w:tblGrid>
            <w:tr w14:paraId="46B6F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06" w:type="pct"/>
                  <w:tcBorders>
                    <w:tl2br w:val="nil"/>
                    <w:tr2bl w:val="nil"/>
                  </w:tcBorders>
                  <w:noWrap w:val="0"/>
                  <w:vAlign w:val="center"/>
                </w:tcPr>
                <w:p w14:paraId="17AD8C7C">
                  <w:pPr>
                    <w:pStyle w:val="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bookmarkStart w:id="2" w:name="_Hlk181194165"/>
                  <w:r>
                    <w:rPr>
                      <w:rFonts w:hint="default" w:ascii="Times New Roman" w:hAnsi="Times New Roman" w:eastAsia="宋体" w:cs="Times New Roman"/>
                      <w:color w:val="auto"/>
                      <w:sz w:val="21"/>
                      <w:szCs w:val="21"/>
                      <w:lang w:val="en-US" w:eastAsia="zh-CN"/>
                    </w:rPr>
                    <w:t>编号</w:t>
                  </w:r>
                </w:p>
              </w:tc>
              <w:tc>
                <w:tcPr>
                  <w:tcW w:w="276" w:type="pct"/>
                  <w:tcBorders>
                    <w:tl2br w:val="nil"/>
                    <w:tr2bl w:val="nil"/>
                  </w:tcBorders>
                  <w:noWrap w:val="0"/>
                  <w:vAlign w:val="center"/>
                </w:tcPr>
                <w:p w14:paraId="0785184F">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环境管控单元名称</w:t>
                  </w:r>
                </w:p>
              </w:tc>
              <w:tc>
                <w:tcPr>
                  <w:tcW w:w="159" w:type="pct"/>
                  <w:tcBorders>
                    <w:tl2br w:val="nil"/>
                    <w:tr2bl w:val="nil"/>
                  </w:tcBorders>
                  <w:noWrap w:val="0"/>
                  <w:vAlign w:val="center"/>
                </w:tcPr>
                <w:p w14:paraId="776CB7AD">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管控单元类别</w:t>
                  </w:r>
                </w:p>
              </w:tc>
              <w:tc>
                <w:tcPr>
                  <w:tcW w:w="2484" w:type="pct"/>
                  <w:gridSpan w:val="2"/>
                  <w:tcBorders>
                    <w:tl2br w:val="nil"/>
                    <w:tr2bl w:val="nil"/>
                  </w:tcBorders>
                  <w:noWrap w:val="0"/>
                  <w:vAlign w:val="center"/>
                </w:tcPr>
                <w:p w14:paraId="258D3CE4">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管控要求</w:t>
                  </w:r>
                </w:p>
              </w:tc>
              <w:tc>
                <w:tcPr>
                  <w:tcW w:w="1447" w:type="pct"/>
                  <w:tcBorders>
                    <w:tl2br w:val="nil"/>
                    <w:tr2bl w:val="nil"/>
                  </w:tcBorders>
                  <w:noWrap w:val="0"/>
                  <w:vAlign w:val="center"/>
                </w:tcPr>
                <w:p w14:paraId="2F53C27F">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w:t>
                  </w:r>
                </w:p>
              </w:tc>
              <w:tc>
                <w:tcPr>
                  <w:tcW w:w="425" w:type="pct"/>
                  <w:tcBorders>
                    <w:tl2br w:val="nil"/>
                    <w:tr2bl w:val="nil"/>
                  </w:tcBorders>
                  <w:noWrap w:val="0"/>
                  <w:vAlign w:val="center"/>
                </w:tcPr>
                <w:p w14:paraId="3E446DAE">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符合性</w:t>
                  </w:r>
                </w:p>
              </w:tc>
            </w:tr>
            <w:tr w14:paraId="609D5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06" w:type="pct"/>
                  <w:vMerge w:val="restart"/>
                  <w:tcBorders>
                    <w:tl2br w:val="nil"/>
                    <w:tr2bl w:val="nil"/>
                  </w:tcBorders>
                  <w:noWrap w:val="0"/>
                  <w:vAlign w:val="center"/>
                </w:tcPr>
                <w:p w14:paraId="659990F0">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ZH15062420001</w:t>
                  </w:r>
                </w:p>
              </w:tc>
              <w:tc>
                <w:tcPr>
                  <w:tcW w:w="276" w:type="pct"/>
                  <w:vMerge w:val="restart"/>
                  <w:tcBorders>
                    <w:tl2br w:val="nil"/>
                    <w:tr2bl w:val="nil"/>
                  </w:tcBorders>
                  <w:noWrap w:val="0"/>
                  <w:vAlign w:val="center"/>
                </w:tcPr>
                <w:p w14:paraId="75B770B1">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鄂托克经济开发区蒙西产业园</w:t>
                  </w:r>
                </w:p>
              </w:tc>
              <w:tc>
                <w:tcPr>
                  <w:tcW w:w="159" w:type="pct"/>
                  <w:vMerge w:val="restart"/>
                  <w:tcBorders>
                    <w:tl2br w:val="nil"/>
                    <w:tr2bl w:val="nil"/>
                  </w:tcBorders>
                  <w:noWrap w:val="0"/>
                  <w:vAlign w:val="center"/>
                </w:tcPr>
                <w:p w14:paraId="717C5D75">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重点管控单元</w:t>
                  </w:r>
                </w:p>
              </w:tc>
              <w:tc>
                <w:tcPr>
                  <w:tcW w:w="351" w:type="pct"/>
                  <w:tcBorders>
                    <w:tl2br w:val="nil"/>
                    <w:tr2bl w:val="nil"/>
                  </w:tcBorders>
                  <w:noWrap w:val="0"/>
                  <w:vAlign w:val="center"/>
                </w:tcPr>
                <w:p w14:paraId="5546C4C0">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空间布局约束</w:t>
                  </w:r>
                </w:p>
              </w:tc>
              <w:tc>
                <w:tcPr>
                  <w:tcW w:w="2133" w:type="pct"/>
                  <w:tcBorders>
                    <w:tl2br w:val="nil"/>
                    <w:tr2bl w:val="nil"/>
                  </w:tcBorders>
                  <w:noWrap w:val="0"/>
                  <w:vAlign w:val="center"/>
                </w:tcPr>
                <w:p w14:paraId="573A3021">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1.新增工业项目需位于产业园区内，符合园区规划；</w:t>
                  </w:r>
                </w:p>
                <w:p w14:paraId="50D55294">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2.禁止在黄河干流岸线和重要支流岸线一定范围内新建“两高”项目；</w:t>
                  </w:r>
                </w:p>
                <w:p w14:paraId="1C788CE6">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3.沿黄地区工业项目入园需符合“十四五”重点地区工业项目入园要求。</w:t>
                  </w:r>
                </w:p>
              </w:tc>
              <w:tc>
                <w:tcPr>
                  <w:tcW w:w="1447" w:type="pct"/>
                  <w:tcBorders>
                    <w:tl2br w:val="nil"/>
                    <w:tr2bl w:val="nil"/>
                  </w:tcBorders>
                  <w:noWrap w:val="0"/>
                  <w:vAlign w:val="center"/>
                </w:tcPr>
                <w:p w14:paraId="4B79A151">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1.项目位于蒙西产业园区内，利用现有厂区改造建设，符合园区规划；</w:t>
                  </w:r>
                </w:p>
                <w:p w14:paraId="0F4BAA76">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2.项目不属于“两高”项目，且厂址不涉及黄河干流/支流岸线敏感范围；</w:t>
                  </w:r>
                </w:p>
                <w:p w14:paraId="2E57BC20">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3.项目属于工业配套包装生产，符合沿黄地区工业项目入园的产业定位要求。</w:t>
                  </w:r>
                </w:p>
              </w:tc>
              <w:tc>
                <w:tcPr>
                  <w:tcW w:w="425" w:type="pct"/>
                  <w:tcBorders>
                    <w:tl2br w:val="nil"/>
                    <w:tr2bl w:val="nil"/>
                  </w:tcBorders>
                  <w:noWrap w:val="0"/>
                  <w:vAlign w:val="center"/>
                </w:tcPr>
                <w:p w14:paraId="567E5478">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3943A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06" w:type="pct"/>
                  <w:vMerge w:val="continue"/>
                  <w:tcBorders>
                    <w:tl2br w:val="nil"/>
                    <w:tr2bl w:val="nil"/>
                  </w:tcBorders>
                  <w:noWrap w:val="0"/>
                  <w:vAlign w:val="center"/>
                </w:tcPr>
                <w:p w14:paraId="248717DA">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276" w:type="pct"/>
                  <w:vMerge w:val="continue"/>
                  <w:tcBorders>
                    <w:tl2br w:val="nil"/>
                    <w:tr2bl w:val="nil"/>
                  </w:tcBorders>
                  <w:noWrap w:val="0"/>
                  <w:vAlign w:val="center"/>
                </w:tcPr>
                <w:p w14:paraId="40663369">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159" w:type="pct"/>
                  <w:vMerge w:val="continue"/>
                  <w:tcBorders>
                    <w:tl2br w:val="nil"/>
                    <w:tr2bl w:val="nil"/>
                  </w:tcBorders>
                  <w:noWrap w:val="0"/>
                  <w:vAlign w:val="center"/>
                </w:tcPr>
                <w:p w14:paraId="29FA46BD">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351" w:type="pct"/>
                  <w:tcBorders>
                    <w:tl2br w:val="nil"/>
                    <w:tr2bl w:val="nil"/>
                  </w:tcBorders>
                  <w:noWrap w:val="0"/>
                  <w:vAlign w:val="center"/>
                </w:tcPr>
                <w:p w14:paraId="1D24C31B">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产业准入约束</w:t>
                  </w:r>
                </w:p>
              </w:tc>
              <w:tc>
                <w:tcPr>
                  <w:tcW w:w="2133" w:type="pct"/>
                  <w:tcBorders>
                    <w:tl2br w:val="nil"/>
                    <w:tr2bl w:val="nil"/>
                  </w:tcBorders>
                  <w:noWrap w:val="0"/>
                  <w:vAlign w:val="center"/>
                </w:tcPr>
                <w:p w14:paraId="00CC63DD">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SA"/>
                    </w:rPr>
                    <w:t>1.</w:t>
                  </w:r>
                  <w:r>
                    <w:rPr>
                      <w:rFonts w:hint="default" w:ascii="Times New Roman" w:hAnsi="Times New Roman" w:eastAsia="宋体" w:cs="Times New Roman"/>
                      <w:color w:val="auto"/>
                      <w:sz w:val="21"/>
                      <w:szCs w:val="21"/>
                      <w:lang w:val="en-US" w:eastAsia="zh-CN"/>
                    </w:rPr>
                    <w:t>严格限制高耗能、高污染、高耗水项目；</w:t>
                  </w:r>
                </w:p>
                <w:p w14:paraId="039B9AF7">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SA"/>
                    </w:rPr>
                    <w:t>2.</w:t>
                  </w:r>
                  <w:r>
                    <w:rPr>
                      <w:rFonts w:hint="default" w:ascii="Times New Roman" w:hAnsi="Times New Roman" w:eastAsia="宋体" w:cs="Times New Roman"/>
                      <w:color w:val="auto"/>
                      <w:sz w:val="21"/>
                      <w:szCs w:val="21"/>
                      <w:lang w:val="en-US" w:eastAsia="zh-CN"/>
                    </w:rPr>
                    <w:t>新建项目需符合产业政策，不属于淘汰/限制类；</w:t>
                  </w:r>
                </w:p>
                <w:p w14:paraId="06060E30">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SA"/>
                    </w:rPr>
                    <w:t>3.</w:t>
                  </w:r>
                  <w:r>
                    <w:rPr>
                      <w:rFonts w:hint="default" w:ascii="Times New Roman" w:hAnsi="Times New Roman" w:eastAsia="宋体" w:cs="Times New Roman"/>
                      <w:color w:val="auto"/>
                      <w:sz w:val="21"/>
                      <w:szCs w:val="21"/>
                      <w:lang w:val="en-US" w:eastAsia="zh-CN"/>
                    </w:rPr>
                    <w:t>沿黄地区严控“两高”项目，优先布局低耗水、低污染项目。</w:t>
                  </w:r>
                </w:p>
              </w:tc>
              <w:tc>
                <w:tcPr>
                  <w:tcW w:w="1447" w:type="pct"/>
                  <w:tcBorders>
                    <w:tl2br w:val="nil"/>
                    <w:tr2bl w:val="nil"/>
                  </w:tcBorders>
                  <w:noWrap w:val="0"/>
                  <w:vAlign w:val="center"/>
                </w:tcPr>
                <w:p w14:paraId="11752090">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1.项目为制桶项目，属于低耗能、低污染、低耗水的工业配套类项目；</w:t>
                  </w:r>
                </w:p>
                <w:p w14:paraId="3BCFC31A">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2.项目符合国家及鄂尔多斯市产业政策，不属于淘汰/限制类；</w:t>
                  </w:r>
                </w:p>
                <w:p w14:paraId="16F246AF">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3.项目用水、能耗、污染排放强度均较低，符合沿黄地区产业布局导向。</w:t>
                  </w:r>
                </w:p>
              </w:tc>
              <w:tc>
                <w:tcPr>
                  <w:tcW w:w="425" w:type="pct"/>
                  <w:tcBorders>
                    <w:tl2br w:val="nil"/>
                    <w:tr2bl w:val="nil"/>
                  </w:tcBorders>
                  <w:noWrap w:val="0"/>
                  <w:vAlign w:val="center"/>
                </w:tcPr>
                <w:p w14:paraId="54EA1FC2">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F849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06" w:type="pct"/>
                  <w:vMerge w:val="continue"/>
                  <w:tcBorders>
                    <w:tl2br w:val="nil"/>
                    <w:tr2bl w:val="nil"/>
                  </w:tcBorders>
                  <w:noWrap w:val="0"/>
                  <w:vAlign w:val="center"/>
                </w:tcPr>
                <w:p w14:paraId="0F98546D">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276" w:type="pct"/>
                  <w:vMerge w:val="continue"/>
                  <w:tcBorders>
                    <w:tl2br w:val="nil"/>
                    <w:tr2bl w:val="nil"/>
                  </w:tcBorders>
                  <w:noWrap w:val="0"/>
                  <w:vAlign w:val="center"/>
                </w:tcPr>
                <w:p w14:paraId="037EFFEF">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159" w:type="pct"/>
                  <w:vMerge w:val="continue"/>
                  <w:tcBorders>
                    <w:tl2br w:val="nil"/>
                    <w:tr2bl w:val="nil"/>
                  </w:tcBorders>
                  <w:noWrap w:val="0"/>
                  <w:vAlign w:val="center"/>
                </w:tcPr>
                <w:p w14:paraId="066244A0">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351" w:type="pct"/>
                  <w:tcBorders>
                    <w:tl2br w:val="nil"/>
                    <w:tr2bl w:val="nil"/>
                  </w:tcBorders>
                  <w:noWrap w:val="0"/>
                  <w:vAlign w:val="center"/>
                </w:tcPr>
                <w:p w14:paraId="5BABC9F2">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污染物排放管控</w:t>
                  </w:r>
                </w:p>
              </w:tc>
              <w:tc>
                <w:tcPr>
                  <w:tcW w:w="2133" w:type="pct"/>
                  <w:tcBorders>
                    <w:tl2br w:val="nil"/>
                    <w:tr2bl w:val="nil"/>
                  </w:tcBorders>
                  <w:noWrap w:val="0"/>
                  <w:vAlign w:val="center"/>
                </w:tcPr>
                <w:p w14:paraId="23B143BB">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1.</w:t>
                  </w:r>
                  <w:r>
                    <w:rPr>
                      <w:rFonts w:hint="default" w:ascii="Times New Roman" w:hAnsi="Times New Roman" w:eastAsia="宋体" w:cs="Times New Roman"/>
                      <w:color w:val="auto"/>
                      <w:sz w:val="21"/>
                      <w:szCs w:val="21"/>
                      <w:highlight w:val="none"/>
                      <w:lang w:val="en-US" w:eastAsia="zh-CN"/>
                    </w:rPr>
                    <w:t>落实污染物总量控制制度，新改扩建项目需满足总量指标；</w:t>
                  </w:r>
                </w:p>
                <w:p w14:paraId="426587D9">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2</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工业园区污水应收尽收、全部回用；3.固废（含危险废物）需规范处置，实现资源化利用。</w:t>
                  </w:r>
                </w:p>
              </w:tc>
              <w:tc>
                <w:tcPr>
                  <w:tcW w:w="1447" w:type="pct"/>
                  <w:tcBorders>
                    <w:tl2br w:val="nil"/>
                    <w:tr2bl w:val="nil"/>
                  </w:tcBorders>
                  <w:noWrap w:val="0"/>
                  <w:vAlign w:val="center"/>
                </w:tcPr>
                <w:p w14:paraId="7C6DA0E5">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1.本项目严格落实污染物总量控制制度，废气污染物包括颗粒物、非甲烷总烃（VOCs），</w:t>
                  </w:r>
                  <w:r>
                    <w:rPr>
                      <w:rFonts w:hint="eastAsia" w:ascii="Times New Roman" w:hAnsi="Times New Roman" w:eastAsia="宋体" w:cs="Times New Roman"/>
                      <w:color w:val="auto"/>
                      <w:sz w:val="21"/>
                      <w:szCs w:val="21"/>
                      <w:highlight w:val="none"/>
                      <w:lang w:val="en-US" w:eastAsia="zh-CN"/>
                    </w:rPr>
                    <w:t>需申请总量</w:t>
                  </w:r>
                  <w:r>
                    <w:rPr>
                      <w:rFonts w:hint="default" w:ascii="Times New Roman" w:hAnsi="Times New Roman" w:eastAsia="宋体" w:cs="Times New Roman"/>
                      <w:color w:val="auto"/>
                      <w:sz w:val="21"/>
                      <w:szCs w:val="21"/>
                      <w:highlight w:val="none"/>
                      <w:lang w:val="en-US" w:eastAsia="zh-CN"/>
                    </w:rPr>
                    <w:t>，满足区域总量管控要求；</w:t>
                  </w:r>
                </w:p>
                <w:p w14:paraId="0C431277">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2.项目无外排废水，</w:t>
                  </w:r>
                  <w:r>
                    <w:rPr>
                      <w:rFonts w:hint="eastAsia" w:ascii="Times New Roman" w:hAnsi="Times New Roman" w:eastAsia="宋体" w:cs="Times New Roman"/>
                      <w:color w:val="auto"/>
                      <w:sz w:val="21"/>
                      <w:szCs w:val="21"/>
                      <w:highlight w:val="none"/>
                      <w:lang w:val="en-US" w:eastAsia="zh-CN"/>
                    </w:rPr>
                    <w:t>生活污水</w:t>
                  </w:r>
                  <w:r>
                    <w:rPr>
                      <w:rFonts w:hint="default" w:ascii="Times New Roman" w:hAnsi="Times New Roman" w:eastAsia="宋体" w:cs="Times New Roman"/>
                      <w:color w:val="auto"/>
                      <w:sz w:val="21"/>
                      <w:szCs w:val="21"/>
                      <w:highlight w:val="none"/>
                      <w:lang w:val="en-US" w:eastAsia="zh-CN"/>
                    </w:rPr>
                    <w:t>经处理后全部回用，符合园区污水回用要求；</w:t>
                  </w:r>
                </w:p>
                <w:p w14:paraId="42B85F18">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lang w:val="en-US" w:eastAsia="zh-CN"/>
                    </w:rPr>
                    <w:t>项目产生的</w:t>
                  </w:r>
                  <w:r>
                    <w:rPr>
                      <w:rFonts w:hint="default" w:ascii="Times New Roman" w:hAnsi="Times New Roman" w:eastAsia="宋体" w:cs="Times New Roman"/>
                      <w:color w:val="auto"/>
                      <w:sz w:val="21"/>
                      <w:szCs w:val="21"/>
                      <w:highlight w:val="none"/>
                      <w:lang w:val="en-US" w:eastAsia="zh-CN"/>
                    </w:rPr>
                    <w:t>一般固废</w:t>
                  </w:r>
                  <w:r>
                    <w:rPr>
                      <w:rFonts w:hint="eastAsia" w:ascii="Times New Roman" w:hAnsi="Times New Roman" w:eastAsia="宋体" w:cs="Times New Roman"/>
                      <w:color w:val="auto"/>
                      <w:sz w:val="21"/>
                      <w:szCs w:val="21"/>
                      <w:highlight w:val="none"/>
                      <w:lang w:val="en-US" w:eastAsia="zh-CN"/>
                    </w:rPr>
                    <w:t>主要为</w:t>
                  </w:r>
                  <w:r>
                    <w:rPr>
                      <w:rFonts w:hint="default" w:ascii="Times New Roman" w:hAnsi="Times New Roman" w:eastAsia="宋体" w:cs="Times New Roman"/>
                      <w:color w:val="auto"/>
                      <w:sz w:val="21"/>
                      <w:szCs w:val="21"/>
                      <w:highlight w:val="none"/>
                      <w:lang w:val="en-US" w:eastAsia="zh-CN"/>
                    </w:rPr>
                    <w:t>塑料</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钢材废料</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回</w:t>
                  </w:r>
                  <w:r>
                    <w:rPr>
                      <w:rFonts w:hint="eastAsia" w:ascii="Times New Roman" w:hAnsi="Times New Roman" w:eastAsia="宋体" w:cs="Times New Roman"/>
                      <w:color w:val="auto"/>
                      <w:sz w:val="21"/>
                      <w:szCs w:val="21"/>
                      <w:highlight w:val="none"/>
                      <w:lang w:val="en-US" w:eastAsia="zh-CN"/>
                    </w:rPr>
                    <w:t>用于生产或外售</w:t>
                  </w:r>
                  <w:r>
                    <w:rPr>
                      <w:rFonts w:hint="default" w:ascii="Times New Roman" w:hAnsi="Times New Roman" w:eastAsia="宋体" w:cs="Times New Roman"/>
                      <w:color w:val="auto"/>
                      <w:sz w:val="21"/>
                      <w:szCs w:val="21"/>
                      <w:highlight w:val="none"/>
                      <w:lang w:val="en-US" w:eastAsia="zh-CN"/>
                    </w:rPr>
                    <w:t>，危险废物由企业自身（危废处置单位）规范处置。</w:t>
                  </w:r>
                </w:p>
              </w:tc>
              <w:tc>
                <w:tcPr>
                  <w:tcW w:w="425" w:type="pct"/>
                  <w:tcBorders>
                    <w:tl2br w:val="nil"/>
                    <w:tr2bl w:val="nil"/>
                  </w:tcBorders>
                  <w:noWrap w:val="0"/>
                  <w:vAlign w:val="center"/>
                </w:tcPr>
                <w:p w14:paraId="74B97530">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A78E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06" w:type="pct"/>
                  <w:vMerge w:val="continue"/>
                  <w:tcBorders>
                    <w:tl2br w:val="nil"/>
                    <w:tr2bl w:val="nil"/>
                  </w:tcBorders>
                  <w:noWrap w:val="0"/>
                  <w:vAlign w:val="center"/>
                </w:tcPr>
                <w:p w14:paraId="799F1F75">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276" w:type="pct"/>
                  <w:vMerge w:val="continue"/>
                  <w:tcBorders>
                    <w:tl2br w:val="nil"/>
                    <w:tr2bl w:val="nil"/>
                  </w:tcBorders>
                  <w:noWrap w:val="0"/>
                  <w:vAlign w:val="center"/>
                </w:tcPr>
                <w:p w14:paraId="37A6A59C">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159" w:type="pct"/>
                  <w:vMerge w:val="continue"/>
                  <w:tcBorders>
                    <w:tl2br w:val="nil"/>
                    <w:tr2bl w:val="nil"/>
                  </w:tcBorders>
                  <w:noWrap w:val="0"/>
                  <w:vAlign w:val="center"/>
                </w:tcPr>
                <w:p w14:paraId="62BB2760">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351" w:type="pct"/>
                  <w:tcBorders>
                    <w:tl2br w:val="nil"/>
                    <w:tr2bl w:val="nil"/>
                  </w:tcBorders>
                  <w:noWrap w:val="0"/>
                  <w:vAlign w:val="center"/>
                </w:tcPr>
                <w:p w14:paraId="419F8827">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水资源开发效率</w:t>
                  </w:r>
                </w:p>
              </w:tc>
              <w:tc>
                <w:tcPr>
                  <w:tcW w:w="2133" w:type="pct"/>
                  <w:tcBorders>
                    <w:tl2br w:val="nil"/>
                    <w:tr2bl w:val="nil"/>
                  </w:tcBorders>
                  <w:noWrap w:val="0"/>
                  <w:vAlign w:val="center"/>
                </w:tcPr>
                <w:p w14:paraId="67065F79">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SA"/>
                    </w:rPr>
                    <w:t>1.</w:t>
                  </w:r>
                  <w:r>
                    <w:rPr>
                      <w:rFonts w:hint="default" w:ascii="Times New Roman" w:hAnsi="Times New Roman" w:eastAsia="宋体" w:cs="Times New Roman"/>
                      <w:color w:val="auto"/>
                      <w:sz w:val="21"/>
                      <w:szCs w:val="21"/>
                      <w:lang w:val="en-US" w:eastAsia="zh-CN"/>
                    </w:rPr>
                    <w:t>严格执行用水总量控制，高耗水行业需节水改造；</w:t>
                  </w:r>
                </w:p>
                <w:p w14:paraId="063D6E8E">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SA"/>
                    </w:rPr>
                    <w:t>2.</w:t>
                  </w:r>
                  <w:r>
                    <w:rPr>
                      <w:rFonts w:hint="default" w:ascii="Times New Roman" w:hAnsi="Times New Roman" w:eastAsia="宋体" w:cs="Times New Roman"/>
                      <w:color w:val="auto"/>
                      <w:sz w:val="21"/>
                      <w:szCs w:val="21"/>
                      <w:lang w:val="en-US" w:eastAsia="zh-CN"/>
                    </w:rPr>
                    <w:t>工业园区优先利用再生水，严控新水取用；</w:t>
                  </w:r>
                </w:p>
                <w:p w14:paraId="772BFEBA">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3.推广节水工艺，提高工业水回用率。</w:t>
                  </w:r>
                </w:p>
              </w:tc>
              <w:tc>
                <w:tcPr>
                  <w:tcW w:w="1447" w:type="pct"/>
                  <w:tcBorders>
                    <w:tl2br w:val="nil"/>
                    <w:tr2bl w:val="nil"/>
                  </w:tcBorders>
                  <w:noWrap w:val="0"/>
                  <w:vAlign w:val="center"/>
                </w:tcPr>
                <w:p w14:paraId="4C14EC3A">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1.项目不属于高耗水行业，用水总量小，符合区域用水管控要求；</w:t>
                  </w:r>
                </w:p>
                <w:p w14:paraId="0C18E904">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2.项目用水以园区再生水为主，新水取用量少，符合水资源利用导向；</w:t>
                  </w:r>
                </w:p>
                <w:p w14:paraId="45F7AD2C">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3.项目生产工艺节水，且污水全部回用。</w:t>
                  </w:r>
                </w:p>
              </w:tc>
              <w:tc>
                <w:tcPr>
                  <w:tcW w:w="425" w:type="pct"/>
                  <w:tcBorders>
                    <w:tl2br w:val="nil"/>
                    <w:tr2bl w:val="nil"/>
                  </w:tcBorders>
                  <w:noWrap w:val="0"/>
                  <w:vAlign w:val="center"/>
                </w:tcPr>
                <w:p w14:paraId="186C40F2">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3A377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06" w:type="pct"/>
                  <w:vMerge w:val="continue"/>
                  <w:tcBorders>
                    <w:tl2br w:val="nil"/>
                    <w:tr2bl w:val="nil"/>
                  </w:tcBorders>
                  <w:noWrap w:val="0"/>
                  <w:vAlign w:val="center"/>
                </w:tcPr>
                <w:p w14:paraId="334E8B21">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276" w:type="pct"/>
                  <w:vMerge w:val="continue"/>
                  <w:tcBorders>
                    <w:tl2br w:val="nil"/>
                    <w:tr2bl w:val="nil"/>
                  </w:tcBorders>
                  <w:noWrap w:val="0"/>
                  <w:vAlign w:val="center"/>
                </w:tcPr>
                <w:p w14:paraId="791DF6D5">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159" w:type="pct"/>
                  <w:vMerge w:val="continue"/>
                  <w:tcBorders>
                    <w:tl2br w:val="nil"/>
                    <w:tr2bl w:val="nil"/>
                  </w:tcBorders>
                  <w:noWrap w:val="0"/>
                  <w:vAlign w:val="center"/>
                </w:tcPr>
                <w:p w14:paraId="27262068">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p>
              </w:tc>
              <w:tc>
                <w:tcPr>
                  <w:tcW w:w="351" w:type="pct"/>
                  <w:tcBorders>
                    <w:tl2br w:val="nil"/>
                    <w:tr2bl w:val="nil"/>
                  </w:tcBorders>
                  <w:noWrap w:val="0"/>
                  <w:vAlign w:val="center"/>
                </w:tcPr>
                <w:p w14:paraId="42132A24">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环境风险防控</w:t>
                  </w:r>
                </w:p>
              </w:tc>
              <w:tc>
                <w:tcPr>
                  <w:tcW w:w="2133" w:type="pct"/>
                  <w:tcBorders>
                    <w:tl2br w:val="nil"/>
                    <w:tr2bl w:val="nil"/>
                  </w:tcBorders>
                  <w:noWrap w:val="0"/>
                  <w:vAlign w:val="center"/>
                </w:tcPr>
                <w:p w14:paraId="5A566DDC">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SA"/>
                    </w:rPr>
                    <w:t>1.</w:t>
                  </w:r>
                  <w:r>
                    <w:rPr>
                      <w:rFonts w:hint="default" w:ascii="Times New Roman" w:hAnsi="Times New Roman" w:eastAsia="宋体" w:cs="Times New Roman"/>
                      <w:color w:val="auto"/>
                      <w:sz w:val="21"/>
                      <w:szCs w:val="21"/>
                      <w:lang w:val="en-US" w:eastAsia="zh-CN"/>
                    </w:rPr>
                    <w:t>产业园区需开展风险评估，完善应急体系；</w:t>
                  </w:r>
                </w:p>
                <w:p w14:paraId="7618137D">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SA"/>
                    </w:rPr>
                    <w:t>2.</w:t>
                  </w:r>
                  <w:r>
                    <w:rPr>
                      <w:rFonts w:hint="default" w:ascii="Times New Roman" w:hAnsi="Times New Roman" w:eastAsia="宋体" w:cs="Times New Roman"/>
                      <w:color w:val="auto"/>
                      <w:sz w:val="21"/>
                      <w:szCs w:val="21"/>
                      <w:lang w:val="en-US" w:eastAsia="zh-CN"/>
                    </w:rPr>
                    <w:t>涉及危险废物的项目需强化风险防控，落实防渗、应急措施；</w:t>
                  </w:r>
                </w:p>
                <w:p w14:paraId="092DB7C4">
                  <w:pPr>
                    <w:pStyle w:val="7"/>
                    <w:keepNext w:val="0"/>
                    <w:keepLines w:val="0"/>
                    <w:pageBreakBefore w:val="0"/>
                    <w:numPr>
                      <w:ilvl w:val="0"/>
                      <w:numId w:val="0"/>
                    </w:numPr>
                    <w:suppressLineNumbers w:val="0"/>
                    <w:kinsoku/>
                    <w:overflowPunct/>
                    <w:autoSpaceDE w:val="0"/>
                    <w:autoSpaceDN w:val="0"/>
                    <w:bidi w:val="0"/>
                    <w:snapToGrid w:val="0"/>
                    <w:spacing w:before="0" w:beforeAutospacing="0" w:after="0" w:afterLines="0" w:afterAutospacing="0"/>
                    <w:ind w:left="0" w:leftChars="0" w:right="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3.严格执行“三同时”制度，配套安全/环保设施。</w:t>
                  </w:r>
                </w:p>
              </w:tc>
              <w:tc>
                <w:tcPr>
                  <w:tcW w:w="1447" w:type="pct"/>
                  <w:tcBorders>
                    <w:tl2br w:val="nil"/>
                    <w:tr2bl w:val="nil"/>
                  </w:tcBorders>
                  <w:noWrap w:val="0"/>
                  <w:vAlign w:val="center"/>
                </w:tcPr>
                <w:p w14:paraId="1DA1FC96">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1.项目所在蒙西产业园区已完成环境风险评估，应急体系完善；</w:t>
                  </w:r>
                </w:p>
                <w:p w14:paraId="45E6ACA0">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2.项目原料/成品存储、生产区域已落实防渗措施，企业（危废处置单位）具备危险废物风险防控能力；</w:t>
                  </w:r>
                </w:p>
                <w:p w14:paraId="71F0DE9B">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3.项目严格执行“三同时”，配套废气/废水/固废治理设施及安全设施。</w:t>
                  </w:r>
                </w:p>
              </w:tc>
              <w:tc>
                <w:tcPr>
                  <w:tcW w:w="425" w:type="pct"/>
                  <w:tcBorders>
                    <w:tl2br w:val="nil"/>
                    <w:tr2bl w:val="nil"/>
                  </w:tcBorders>
                  <w:noWrap w:val="0"/>
                  <w:vAlign w:val="center"/>
                </w:tcPr>
                <w:p w14:paraId="1EF2DEF4">
                  <w:pPr>
                    <w:pStyle w:val="7"/>
                    <w:keepNext w:val="0"/>
                    <w:keepLines w:val="0"/>
                    <w:pageBreakBefore w:val="0"/>
                    <w:suppressLineNumbers w:val="0"/>
                    <w:kinsoku/>
                    <w:overflowPunct/>
                    <w:autoSpaceDE w:val="0"/>
                    <w:autoSpaceDN w:val="0"/>
                    <w:bidi w:val="0"/>
                    <w:snapToGrid w:val="0"/>
                    <w:spacing w:before="0" w:beforeAutospacing="0" w:after="0" w:afterLines="0" w:afterAutospacing="0"/>
                    <w:ind w:left="0" w:leftChars="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bookmarkEnd w:id="2"/>
          </w:tbl>
          <w:p w14:paraId="3A69A2A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综上所述，本项目符合</w:t>
            </w:r>
            <w:r>
              <w:rPr>
                <w:rFonts w:hint="eastAsia" w:ascii="Times New Roman" w:hAnsi="Times New Roman" w:eastAsia="宋体" w:cs="Times New Roman"/>
                <w:color w:val="auto"/>
                <w:kern w:val="0"/>
                <w:sz w:val="24"/>
                <w:szCs w:val="24"/>
                <w:lang w:val="en-US" w:eastAsia="zh-CN"/>
              </w:rPr>
              <w:t>生态环境分区管控</w:t>
            </w:r>
            <w:r>
              <w:rPr>
                <w:rFonts w:hint="default" w:ascii="Times New Roman" w:hAnsi="Times New Roman" w:eastAsia="宋体" w:cs="Times New Roman"/>
                <w:color w:val="auto"/>
                <w:kern w:val="0"/>
                <w:sz w:val="24"/>
                <w:szCs w:val="24"/>
                <w:lang w:val="en-US" w:eastAsia="zh-CN"/>
              </w:rPr>
              <w:t>的要求。</w:t>
            </w:r>
          </w:p>
          <w:p w14:paraId="5064302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4</w:t>
            </w:r>
            <w:r>
              <w:rPr>
                <w:rFonts w:hint="default" w:ascii="Times New Roman" w:hAnsi="Times New Roman" w:eastAsia="宋体" w:cs="Times New Roman"/>
                <w:b/>
                <w:bCs/>
                <w:color w:val="auto"/>
                <w:kern w:val="0"/>
                <w:sz w:val="24"/>
                <w:szCs w:val="24"/>
                <w:lang w:val="en-US" w:eastAsia="zh-CN"/>
              </w:rPr>
              <w:t>、</w:t>
            </w:r>
            <w:r>
              <w:rPr>
                <w:rFonts w:hint="eastAsia" w:cs="Times New Roman"/>
                <w:b/>
                <w:bCs/>
                <w:color w:val="auto"/>
                <w:kern w:val="0"/>
                <w:sz w:val="24"/>
                <w:szCs w:val="24"/>
                <w:lang w:val="en-US" w:eastAsia="zh-CN"/>
              </w:rPr>
              <w:t>本</w:t>
            </w:r>
            <w:r>
              <w:rPr>
                <w:rFonts w:hint="default" w:ascii="Times New Roman" w:hAnsi="Times New Roman" w:eastAsia="宋体" w:cs="Times New Roman"/>
                <w:b/>
                <w:bCs/>
                <w:color w:val="auto"/>
                <w:kern w:val="0"/>
                <w:sz w:val="24"/>
                <w:szCs w:val="24"/>
                <w:lang w:val="en-US" w:eastAsia="zh-CN"/>
              </w:rPr>
              <w:t>项目和相关环保政策相符性分析</w:t>
            </w:r>
          </w:p>
          <w:p w14:paraId="75503FC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①</w:t>
            </w:r>
            <w:r>
              <w:rPr>
                <w:rFonts w:hint="default" w:ascii="Times New Roman" w:hAnsi="Times New Roman" w:eastAsia="宋体" w:cs="Times New Roman"/>
                <w:color w:val="auto"/>
                <w:kern w:val="0"/>
                <w:sz w:val="24"/>
                <w:szCs w:val="24"/>
                <w:lang w:val="en-US" w:eastAsia="zh-CN"/>
              </w:rPr>
              <w:t>本项目与《重点行业挥发性有机物综合治理方案》</w:t>
            </w:r>
            <w:r>
              <w:rPr>
                <w:rFonts w:hint="eastAsia" w:ascii="Times New Roman" w:hAnsi="Times New Roman" w:eastAsia="宋体" w:cs="Times New Roman"/>
                <w:color w:val="auto"/>
                <w:kern w:val="0"/>
                <w:sz w:val="24"/>
                <w:szCs w:val="24"/>
                <w:lang w:val="en-US" w:eastAsia="zh-CN"/>
              </w:rPr>
              <w:t>通知</w:t>
            </w:r>
            <w:r>
              <w:rPr>
                <w:rFonts w:hint="default" w:ascii="Times New Roman" w:hAnsi="Times New Roman" w:eastAsia="宋体" w:cs="Times New Roman"/>
                <w:color w:val="auto"/>
                <w:kern w:val="0"/>
                <w:sz w:val="24"/>
                <w:szCs w:val="24"/>
                <w:lang w:val="en-US" w:eastAsia="zh-CN"/>
              </w:rPr>
              <w:t>符合性分析详见下表所示：</w:t>
            </w:r>
          </w:p>
          <w:p w14:paraId="26123D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表1-</w:t>
            </w:r>
            <w:r>
              <w:rPr>
                <w:rFonts w:hint="eastAsia" w:ascii="Times New Roman" w:hAnsi="Times New Roman" w:eastAsia="宋体" w:cs="Times New Roman"/>
                <w:b/>
                <w:bCs/>
                <w:color w:val="auto"/>
                <w:sz w:val="24"/>
                <w:lang w:val="en-US" w:eastAsia="zh-CN"/>
              </w:rPr>
              <w:t>4本项目与</w:t>
            </w:r>
            <w:r>
              <w:rPr>
                <w:rFonts w:hint="default" w:ascii="Times New Roman" w:hAnsi="Times New Roman" w:eastAsia="宋体" w:cs="Times New Roman"/>
                <w:b/>
                <w:bCs/>
                <w:color w:val="auto"/>
                <w:sz w:val="24"/>
                <w:lang w:val="en-US" w:eastAsia="zh-CN"/>
              </w:rPr>
              <w:t>《重点行业挥发性有机物综合治理方案》</w:t>
            </w:r>
            <w:r>
              <w:rPr>
                <w:rFonts w:hint="eastAsia" w:ascii="Times New Roman" w:hAnsi="Times New Roman" w:eastAsia="宋体" w:cs="Times New Roman"/>
                <w:b/>
                <w:bCs/>
                <w:color w:val="auto"/>
                <w:sz w:val="24"/>
                <w:lang w:val="en-US" w:eastAsia="zh-CN"/>
              </w:rPr>
              <w:t>通知</w:t>
            </w:r>
            <w:r>
              <w:rPr>
                <w:rFonts w:hint="default" w:ascii="Times New Roman" w:hAnsi="Times New Roman" w:eastAsia="宋体" w:cs="Times New Roman"/>
                <w:b/>
                <w:bCs/>
                <w:color w:val="auto"/>
                <w:sz w:val="24"/>
                <w:lang w:val="en-US" w:eastAsia="zh-CN"/>
              </w:rPr>
              <w:t>符合性分析</w:t>
            </w:r>
          </w:p>
          <w:tbl>
            <w:tblPr>
              <w:tblStyle w:val="25"/>
              <w:tblW w:w="77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2600"/>
              <w:gridCol w:w="3450"/>
              <w:gridCol w:w="992"/>
            </w:tblGrid>
            <w:tr w14:paraId="06EA2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1" w:hRule="atLeast"/>
                <w:jc w:val="center"/>
              </w:trPr>
              <w:tc>
                <w:tcPr>
                  <w:tcW w:w="730" w:type="dxa"/>
                  <w:tcBorders>
                    <w:tl2br w:val="nil"/>
                    <w:tr2bl w:val="nil"/>
                  </w:tcBorders>
                  <w:vAlign w:val="center"/>
                </w:tcPr>
                <w:p w14:paraId="199881B9">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序号</w:t>
                  </w:r>
                </w:p>
              </w:tc>
              <w:tc>
                <w:tcPr>
                  <w:tcW w:w="2600" w:type="dxa"/>
                  <w:tcBorders>
                    <w:tl2br w:val="nil"/>
                    <w:tr2bl w:val="nil"/>
                  </w:tcBorders>
                  <w:vAlign w:val="center"/>
                </w:tcPr>
                <w:p w14:paraId="6AD9EACC">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文件要求</w:t>
                  </w:r>
                </w:p>
              </w:tc>
              <w:tc>
                <w:tcPr>
                  <w:tcW w:w="3450" w:type="dxa"/>
                  <w:tcBorders>
                    <w:tl2br w:val="nil"/>
                    <w:tr2bl w:val="nil"/>
                  </w:tcBorders>
                  <w:vAlign w:val="center"/>
                </w:tcPr>
                <w:p w14:paraId="68920EE2">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w:t>
                  </w:r>
                </w:p>
              </w:tc>
              <w:tc>
                <w:tcPr>
                  <w:tcW w:w="992" w:type="dxa"/>
                  <w:tcBorders>
                    <w:tl2br w:val="nil"/>
                    <w:tr2bl w:val="nil"/>
                  </w:tcBorders>
                  <w:vAlign w:val="center"/>
                </w:tcPr>
                <w:p w14:paraId="3793B57D">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符合性</w:t>
                  </w:r>
                </w:p>
              </w:tc>
            </w:tr>
            <w:tr w14:paraId="08597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30" w:type="dxa"/>
                  <w:tcBorders>
                    <w:tl2br w:val="nil"/>
                    <w:tr2bl w:val="nil"/>
                  </w:tcBorders>
                  <w:vAlign w:val="center"/>
                </w:tcPr>
                <w:p w14:paraId="7545F048">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2600" w:type="dxa"/>
                  <w:tcBorders>
                    <w:tl2br w:val="nil"/>
                    <w:tr2bl w:val="nil"/>
                  </w:tcBorders>
                  <w:vAlign w:val="center"/>
                </w:tcPr>
                <w:p w14:paraId="3C9E1C42">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推广使用低VOCs原辅材料，限制高VOCs溶剂型涂料、油墨、胶粘剂使用</w:t>
                  </w:r>
                  <w:r>
                    <w:rPr>
                      <w:rFonts w:hint="eastAsia" w:ascii="Times New Roman" w:hAnsi="Times New Roman" w:eastAsia="宋体" w:cs="Times New Roman"/>
                      <w:color w:val="auto"/>
                      <w:sz w:val="21"/>
                      <w:szCs w:val="21"/>
                      <w:lang w:val="en-US" w:eastAsia="zh-CN"/>
                    </w:rPr>
                    <w:t>。</w:t>
                  </w:r>
                </w:p>
              </w:tc>
              <w:tc>
                <w:tcPr>
                  <w:tcW w:w="3450" w:type="dxa"/>
                  <w:tcBorders>
                    <w:tl2br w:val="nil"/>
                    <w:tr2bl w:val="nil"/>
                  </w:tcBorders>
                  <w:vAlign w:val="center"/>
                </w:tcPr>
                <w:p w14:paraId="70C61926">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项目使用HDPE颗粒、色母粒、抗老化助剂，均为固态低VOCs物料；金属框架采用成品热镀锌方管为原料，仅进行切割、弯管、少量焊接、局部打磨工序，VOCs产生量极低</w:t>
                  </w:r>
                  <w:r>
                    <w:rPr>
                      <w:rFonts w:hint="eastAsia" w:ascii="Times New Roman" w:hAnsi="Times New Roman" w:eastAsia="宋体" w:cs="Times New Roman"/>
                      <w:color w:val="auto"/>
                      <w:sz w:val="21"/>
                      <w:szCs w:val="21"/>
                      <w:lang w:val="en-US" w:eastAsia="zh-CN"/>
                    </w:rPr>
                    <w:t>。</w:t>
                  </w:r>
                </w:p>
              </w:tc>
              <w:tc>
                <w:tcPr>
                  <w:tcW w:w="992" w:type="dxa"/>
                  <w:tcBorders>
                    <w:tl2br w:val="nil"/>
                    <w:tr2bl w:val="nil"/>
                  </w:tcBorders>
                  <w:vAlign w:val="center"/>
                </w:tcPr>
                <w:p w14:paraId="7AEC0C87">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2166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30" w:type="dxa"/>
                  <w:tcBorders>
                    <w:tl2br w:val="nil"/>
                    <w:tr2bl w:val="nil"/>
                  </w:tcBorders>
                  <w:vAlign w:val="center"/>
                </w:tcPr>
                <w:p w14:paraId="0A28F7ED">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2600" w:type="dxa"/>
                  <w:tcBorders>
                    <w:tl2br w:val="nil"/>
                    <w:tr2bl w:val="nil"/>
                  </w:tcBorders>
                  <w:vAlign w:val="center"/>
                </w:tcPr>
                <w:p w14:paraId="0F96884A">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涉VOCs物料储存、输送、投料、生产全流程密闭，提高废气收集效率</w:t>
                  </w:r>
                  <w:r>
                    <w:rPr>
                      <w:rFonts w:hint="eastAsia" w:ascii="Times New Roman" w:hAnsi="Times New Roman" w:eastAsia="宋体" w:cs="Times New Roman"/>
                      <w:color w:val="auto"/>
                      <w:sz w:val="21"/>
                      <w:szCs w:val="21"/>
                      <w:lang w:val="en-US" w:eastAsia="zh-CN"/>
                    </w:rPr>
                    <w:t>。</w:t>
                  </w:r>
                </w:p>
              </w:tc>
              <w:tc>
                <w:tcPr>
                  <w:tcW w:w="3450" w:type="dxa"/>
                  <w:tcBorders>
                    <w:tl2br w:val="nil"/>
                    <w:tr2bl w:val="nil"/>
                  </w:tcBorders>
                  <w:vAlign w:val="center"/>
                </w:tcPr>
                <w:p w14:paraId="7351EA81">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混合、干燥、挤出、吹塑、修边等工序密闭化；产废气点设负压集气罩，收集效率≥9</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%；物料密闭储存输送</w:t>
                  </w:r>
                  <w:r>
                    <w:rPr>
                      <w:rFonts w:hint="eastAsia" w:ascii="Times New Roman" w:hAnsi="Times New Roman" w:eastAsia="宋体" w:cs="Times New Roman"/>
                      <w:color w:val="auto"/>
                      <w:sz w:val="21"/>
                      <w:szCs w:val="21"/>
                      <w:lang w:val="en-US" w:eastAsia="zh-CN"/>
                    </w:rPr>
                    <w:t>。</w:t>
                  </w:r>
                </w:p>
              </w:tc>
              <w:tc>
                <w:tcPr>
                  <w:tcW w:w="992" w:type="dxa"/>
                  <w:tcBorders>
                    <w:tl2br w:val="nil"/>
                    <w:tr2bl w:val="nil"/>
                  </w:tcBorders>
                  <w:vAlign w:val="center"/>
                </w:tcPr>
                <w:p w14:paraId="520E9248">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6C03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30" w:type="dxa"/>
                  <w:tcBorders>
                    <w:tl2br w:val="nil"/>
                    <w:tr2bl w:val="nil"/>
                  </w:tcBorders>
                  <w:vAlign w:val="center"/>
                </w:tcPr>
                <w:p w14:paraId="67B700E4">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2600" w:type="dxa"/>
                  <w:tcBorders>
                    <w:tl2br w:val="nil"/>
                    <w:tr2bl w:val="nil"/>
                  </w:tcBorders>
                  <w:vAlign w:val="center"/>
                </w:tcPr>
                <w:p w14:paraId="4E7DF8A3">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配套高效VOCs治理设施，鼓励组合工艺，确保稳定达标</w:t>
                  </w:r>
                  <w:r>
                    <w:rPr>
                      <w:rFonts w:hint="eastAsia" w:ascii="Times New Roman" w:hAnsi="Times New Roman" w:eastAsia="宋体" w:cs="Times New Roman"/>
                      <w:color w:val="auto"/>
                      <w:sz w:val="21"/>
                      <w:szCs w:val="21"/>
                      <w:lang w:val="en-US" w:eastAsia="zh-CN"/>
                    </w:rPr>
                    <w:t>。</w:t>
                  </w:r>
                </w:p>
              </w:tc>
              <w:tc>
                <w:tcPr>
                  <w:tcW w:w="3450" w:type="dxa"/>
                  <w:tcBorders>
                    <w:tl2br w:val="nil"/>
                    <w:tr2bl w:val="nil"/>
                  </w:tcBorders>
                  <w:vAlign w:val="center"/>
                </w:tcPr>
                <w:p w14:paraId="101BDA2F">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VOCs与粉尘采</w:t>
                  </w:r>
                  <w:r>
                    <w:rPr>
                      <w:rFonts w:hint="default" w:ascii="Times New Roman" w:hAnsi="Times New Roman" w:eastAsia="宋体" w:cs="Times New Roman"/>
                      <w:color w:val="auto"/>
                      <w:sz w:val="21"/>
                      <w:szCs w:val="21"/>
                      <w:highlight w:val="none"/>
                      <w:lang w:val="en-US" w:eastAsia="zh-CN"/>
                    </w:rPr>
                    <w:t>用</w:t>
                  </w:r>
                  <w:r>
                    <w:rPr>
                      <w:rFonts w:hint="eastAsia" w:ascii="Times New Roman" w:hAnsi="Times New Roman" w:eastAsia="宋体" w:cs="Times New Roman"/>
                      <w:color w:val="auto"/>
                      <w:sz w:val="21"/>
                      <w:szCs w:val="21"/>
                      <w:highlight w:val="none"/>
                      <w:lang w:val="en-US" w:eastAsia="zh-CN"/>
                    </w:rPr>
                    <w:t>袋式</w:t>
                  </w:r>
                  <w:r>
                    <w:rPr>
                      <w:rFonts w:hint="default" w:ascii="Times New Roman" w:hAnsi="Times New Roman" w:eastAsia="宋体" w:cs="Times New Roman"/>
                      <w:color w:val="auto"/>
                      <w:sz w:val="21"/>
                      <w:szCs w:val="21"/>
                      <w:highlight w:val="none"/>
                      <w:lang w:val="en-US" w:eastAsia="zh-CN"/>
                    </w:rPr>
                    <w:t>除尘</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光催化</w:t>
                  </w:r>
                  <w:r>
                    <w:rPr>
                      <w:rFonts w:hint="eastAsia" w:ascii="Times New Roman" w:hAnsi="Times New Roman" w:eastAsia="宋体" w:cs="Times New Roman"/>
                      <w:color w:val="auto"/>
                      <w:sz w:val="21"/>
                      <w:szCs w:val="21"/>
                      <w:highlight w:val="none"/>
                      <w:lang w:val="en-US" w:eastAsia="zh-CN"/>
                    </w:rPr>
                    <w:t>+二级</w:t>
                  </w:r>
                  <w:r>
                    <w:rPr>
                      <w:rFonts w:hint="default" w:ascii="Times New Roman" w:hAnsi="Times New Roman" w:eastAsia="宋体" w:cs="Times New Roman"/>
                      <w:color w:val="auto"/>
                      <w:sz w:val="21"/>
                      <w:szCs w:val="21"/>
                      <w:highlight w:val="none"/>
                      <w:lang w:val="en-US" w:eastAsia="zh-CN"/>
                    </w:rPr>
                    <w:t>活性炭吸附组合工艺，经15m排气</w:t>
                  </w:r>
                  <w:r>
                    <w:rPr>
                      <w:rFonts w:hint="default" w:ascii="Times New Roman" w:hAnsi="Times New Roman" w:eastAsia="宋体" w:cs="Times New Roman"/>
                      <w:color w:val="auto"/>
                      <w:sz w:val="21"/>
                      <w:szCs w:val="21"/>
                      <w:lang w:val="en-US" w:eastAsia="zh-CN"/>
                    </w:rPr>
                    <w:t>筒排放</w:t>
                  </w:r>
                  <w:r>
                    <w:rPr>
                      <w:rFonts w:hint="eastAsia" w:ascii="Times New Roman" w:hAnsi="Times New Roman" w:eastAsia="宋体" w:cs="Times New Roman"/>
                      <w:color w:val="auto"/>
                      <w:sz w:val="21"/>
                      <w:szCs w:val="21"/>
                      <w:lang w:val="en-US" w:eastAsia="zh-CN"/>
                    </w:rPr>
                    <w:t>。</w:t>
                  </w:r>
                </w:p>
              </w:tc>
              <w:tc>
                <w:tcPr>
                  <w:tcW w:w="992" w:type="dxa"/>
                  <w:tcBorders>
                    <w:tl2br w:val="nil"/>
                    <w:tr2bl w:val="nil"/>
                  </w:tcBorders>
                  <w:vAlign w:val="center"/>
                </w:tcPr>
                <w:p w14:paraId="50A7F978">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8EE9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30" w:type="dxa"/>
                  <w:tcBorders>
                    <w:tl2br w:val="nil"/>
                    <w:tr2bl w:val="nil"/>
                  </w:tcBorders>
                  <w:vAlign w:val="center"/>
                </w:tcPr>
                <w:p w14:paraId="042C9882">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2600" w:type="dxa"/>
                  <w:tcBorders>
                    <w:tl2br w:val="nil"/>
                    <w:tr2bl w:val="nil"/>
                  </w:tcBorders>
                  <w:vAlign w:val="center"/>
                </w:tcPr>
                <w:p w14:paraId="480DDCD7">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建立环保设施运行台账，落实自行监测，规范非正常工况管控</w:t>
                  </w:r>
                  <w:r>
                    <w:rPr>
                      <w:rFonts w:hint="eastAsia" w:ascii="Times New Roman" w:hAnsi="Times New Roman" w:eastAsia="宋体" w:cs="Times New Roman"/>
                      <w:color w:val="auto"/>
                      <w:sz w:val="21"/>
                      <w:szCs w:val="21"/>
                      <w:lang w:val="en-US" w:eastAsia="zh-CN"/>
                    </w:rPr>
                    <w:t>。</w:t>
                  </w:r>
                </w:p>
              </w:tc>
              <w:tc>
                <w:tcPr>
                  <w:tcW w:w="3450" w:type="dxa"/>
                  <w:tcBorders>
                    <w:tl2br w:val="nil"/>
                    <w:tr2bl w:val="nil"/>
                  </w:tcBorders>
                  <w:vAlign w:val="center"/>
                </w:tcPr>
                <w:p w14:paraId="7F92EBC4">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定期监测排气筒非甲烷总烃；建立活性炭更换、设施运维台账；治理设施故障时立即停产检修，严禁非正常排放。</w:t>
                  </w:r>
                </w:p>
              </w:tc>
              <w:tc>
                <w:tcPr>
                  <w:tcW w:w="992" w:type="dxa"/>
                  <w:tcBorders>
                    <w:tl2br w:val="nil"/>
                    <w:tr2bl w:val="nil"/>
                  </w:tcBorders>
                  <w:vAlign w:val="center"/>
                </w:tcPr>
                <w:p w14:paraId="4C6D333F">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bl>
          <w:p w14:paraId="755DA4D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②</w:t>
            </w:r>
            <w:r>
              <w:rPr>
                <w:rFonts w:hint="default" w:ascii="Times New Roman" w:hAnsi="Times New Roman" w:eastAsia="宋体" w:cs="Times New Roman"/>
                <w:color w:val="auto"/>
                <w:kern w:val="0"/>
                <w:sz w:val="24"/>
                <w:szCs w:val="24"/>
                <w:lang w:val="en-US" w:eastAsia="zh-CN"/>
              </w:rPr>
              <w:t>本项目与《</w:t>
            </w:r>
            <w:r>
              <w:rPr>
                <w:rFonts w:hint="eastAsia" w:ascii="Times New Roman" w:hAnsi="Times New Roman" w:eastAsia="宋体" w:cs="Times New Roman"/>
                <w:color w:val="auto"/>
                <w:kern w:val="0"/>
                <w:sz w:val="24"/>
                <w:szCs w:val="24"/>
                <w:lang w:val="en-US" w:eastAsia="zh-CN"/>
              </w:rPr>
              <w:t>鄂尔多斯市“十四五”生态环境保护规划</w:t>
            </w:r>
            <w:r>
              <w:rPr>
                <w:rFonts w:hint="default" w:ascii="Times New Roman" w:hAnsi="Times New Roman" w:eastAsia="宋体" w:cs="Times New Roman"/>
                <w:color w:val="auto"/>
                <w:kern w:val="0"/>
                <w:sz w:val="24"/>
                <w:szCs w:val="24"/>
                <w:lang w:val="en-US" w:eastAsia="zh-CN"/>
              </w:rPr>
              <w:t>》符合性分析详见下表所示：</w:t>
            </w:r>
          </w:p>
          <w:p w14:paraId="766659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表1-</w:t>
            </w:r>
            <w:r>
              <w:rPr>
                <w:rFonts w:hint="eastAsia" w:ascii="Times New Roman" w:hAnsi="Times New Roman" w:eastAsia="宋体" w:cs="Times New Roman"/>
                <w:b/>
                <w:bCs/>
                <w:color w:val="auto"/>
                <w:sz w:val="24"/>
                <w:lang w:val="en-US" w:eastAsia="zh-CN"/>
              </w:rPr>
              <w:t>5本项目与</w:t>
            </w:r>
            <w:r>
              <w:rPr>
                <w:rFonts w:hint="default" w:ascii="Times New Roman" w:hAnsi="Times New Roman" w:eastAsia="宋体" w:cs="Times New Roman"/>
                <w:b/>
                <w:bCs/>
                <w:color w:val="auto"/>
                <w:sz w:val="24"/>
                <w:lang w:val="en-US" w:eastAsia="zh-CN"/>
              </w:rPr>
              <w:t>《</w:t>
            </w:r>
            <w:r>
              <w:rPr>
                <w:rFonts w:hint="eastAsia" w:ascii="Times New Roman" w:hAnsi="Times New Roman" w:eastAsia="宋体" w:cs="Times New Roman"/>
                <w:b/>
                <w:bCs/>
                <w:color w:val="auto"/>
                <w:sz w:val="24"/>
                <w:lang w:val="en-US" w:eastAsia="zh-CN"/>
              </w:rPr>
              <w:t>鄂尔多斯市“十四五”生态环境保护规划</w:t>
            </w:r>
            <w:r>
              <w:rPr>
                <w:rFonts w:hint="default" w:ascii="Times New Roman" w:hAnsi="Times New Roman" w:eastAsia="宋体" w:cs="Times New Roman"/>
                <w:b/>
                <w:bCs/>
                <w:color w:val="auto"/>
                <w:sz w:val="24"/>
                <w:lang w:val="en-US" w:eastAsia="zh-CN"/>
              </w:rPr>
              <w:t>》</w:t>
            </w:r>
            <w:r>
              <w:rPr>
                <w:rFonts w:hint="eastAsia" w:ascii="Times New Roman" w:hAnsi="Times New Roman" w:eastAsia="宋体" w:cs="Times New Roman"/>
                <w:b/>
                <w:bCs/>
                <w:color w:val="auto"/>
                <w:sz w:val="24"/>
                <w:lang w:val="en-US" w:eastAsia="zh-CN"/>
              </w:rPr>
              <w:t>通知</w:t>
            </w:r>
            <w:r>
              <w:rPr>
                <w:rFonts w:hint="default" w:ascii="Times New Roman" w:hAnsi="Times New Roman" w:eastAsia="宋体" w:cs="Times New Roman"/>
                <w:b/>
                <w:bCs/>
                <w:color w:val="auto"/>
                <w:sz w:val="24"/>
                <w:lang w:val="en-US" w:eastAsia="zh-CN"/>
              </w:rPr>
              <w:t>符合性分析</w:t>
            </w:r>
          </w:p>
          <w:tbl>
            <w:tblPr>
              <w:tblStyle w:val="25"/>
              <w:tblW w:w="77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5"/>
              <w:gridCol w:w="2743"/>
              <w:gridCol w:w="3335"/>
              <w:gridCol w:w="979"/>
            </w:tblGrid>
            <w:tr w14:paraId="1136E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5" w:type="dxa"/>
                  <w:tcBorders>
                    <w:tl2br w:val="nil"/>
                    <w:tr2bl w:val="nil"/>
                  </w:tcBorders>
                  <w:vAlign w:val="center"/>
                </w:tcPr>
                <w:p w14:paraId="14FC6C34">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序号</w:t>
                  </w:r>
                </w:p>
              </w:tc>
              <w:tc>
                <w:tcPr>
                  <w:tcW w:w="2743" w:type="dxa"/>
                  <w:tcBorders>
                    <w:tl2br w:val="nil"/>
                    <w:tr2bl w:val="nil"/>
                  </w:tcBorders>
                  <w:vAlign w:val="center"/>
                </w:tcPr>
                <w:p w14:paraId="54C2F641">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规划要求</w:t>
                  </w:r>
                </w:p>
              </w:tc>
              <w:tc>
                <w:tcPr>
                  <w:tcW w:w="3335" w:type="dxa"/>
                  <w:tcBorders>
                    <w:tl2br w:val="nil"/>
                    <w:tr2bl w:val="nil"/>
                  </w:tcBorders>
                  <w:vAlign w:val="center"/>
                </w:tcPr>
                <w:p w14:paraId="59CB7DF0">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w:t>
                  </w:r>
                </w:p>
              </w:tc>
              <w:tc>
                <w:tcPr>
                  <w:tcW w:w="979" w:type="dxa"/>
                  <w:tcBorders>
                    <w:tl2br w:val="nil"/>
                    <w:tr2bl w:val="nil"/>
                  </w:tcBorders>
                  <w:vAlign w:val="center"/>
                </w:tcPr>
                <w:p w14:paraId="0EE39E55">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符合性</w:t>
                  </w:r>
                </w:p>
              </w:tc>
            </w:tr>
            <w:tr w14:paraId="18737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5" w:type="dxa"/>
                  <w:tcBorders>
                    <w:tl2br w:val="nil"/>
                    <w:tr2bl w:val="nil"/>
                  </w:tcBorders>
                  <w:vAlign w:val="center"/>
                </w:tcPr>
                <w:p w14:paraId="57CB3BE6">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2743" w:type="dxa"/>
                  <w:tcBorders>
                    <w:tl2br w:val="nil"/>
                    <w:tr2bl w:val="nil"/>
                  </w:tcBorders>
                  <w:vAlign w:val="center"/>
                </w:tcPr>
                <w:p w14:paraId="26CDCFB1">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优化产业布局，推动工业项目入园集聚发展，严控园区外新增工业用地</w:t>
                  </w:r>
                  <w:r>
                    <w:rPr>
                      <w:rFonts w:hint="eastAsia" w:ascii="Times New Roman" w:hAnsi="Times New Roman" w:eastAsia="宋体" w:cs="Times New Roman"/>
                      <w:color w:val="auto"/>
                      <w:sz w:val="21"/>
                      <w:szCs w:val="21"/>
                      <w:lang w:val="en-US" w:eastAsia="zh-CN"/>
                    </w:rPr>
                    <w:t>。</w:t>
                  </w:r>
                </w:p>
              </w:tc>
              <w:tc>
                <w:tcPr>
                  <w:tcW w:w="3335" w:type="dxa"/>
                  <w:tcBorders>
                    <w:tl2br w:val="nil"/>
                    <w:tr2bl w:val="nil"/>
                  </w:tcBorders>
                  <w:vAlign w:val="center"/>
                </w:tcPr>
                <w:p w14:paraId="2F876C1C">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项目位于鄂托克高新技术产业开发区蒙西产业园现有厂区内，不新增占地，符合园区工业布局要求</w:t>
                  </w:r>
                  <w:r>
                    <w:rPr>
                      <w:rFonts w:hint="eastAsia" w:ascii="Times New Roman" w:hAnsi="Times New Roman" w:eastAsia="宋体" w:cs="Times New Roman"/>
                      <w:color w:val="auto"/>
                      <w:sz w:val="21"/>
                      <w:szCs w:val="21"/>
                      <w:lang w:val="en-US" w:eastAsia="zh-CN"/>
                    </w:rPr>
                    <w:t>。</w:t>
                  </w:r>
                </w:p>
              </w:tc>
              <w:tc>
                <w:tcPr>
                  <w:tcW w:w="979" w:type="dxa"/>
                  <w:tcBorders>
                    <w:tl2br w:val="nil"/>
                    <w:tr2bl w:val="nil"/>
                  </w:tcBorders>
                  <w:vAlign w:val="center"/>
                </w:tcPr>
                <w:p w14:paraId="328CC032">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5314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5" w:type="dxa"/>
                  <w:tcBorders>
                    <w:tl2br w:val="nil"/>
                    <w:tr2bl w:val="nil"/>
                  </w:tcBorders>
                  <w:vAlign w:val="center"/>
                </w:tcPr>
                <w:p w14:paraId="45315E01">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2743" w:type="dxa"/>
                  <w:tcBorders>
                    <w:tl2br w:val="nil"/>
                    <w:tr2bl w:val="nil"/>
                  </w:tcBorders>
                  <w:vAlign w:val="center"/>
                </w:tcPr>
                <w:p w14:paraId="33820FDD">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持续改善大气环境，强化VOCs、颗粒物综合治理，推进废气收集与深度治理</w:t>
                  </w:r>
                  <w:r>
                    <w:rPr>
                      <w:rFonts w:hint="eastAsia" w:ascii="Times New Roman" w:hAnsi="Times New Roman" w:eastAsia="宋体" w:cs="Times New Roman"/>
                      <w:color w:val="auto"/>
                      <w:sz w:val="21"/>
                      <w:szCs w:val="21"/>
                      <w:lang w:val="en-US" w:eastAsia="zh-CN"/>
                    </w:rPr>
                    <w:t>。</w:t>
                  </w:r>
                </w:p>
              </w:tc>
              <w:tc>
                <w:tcPr>
                  <w:tcW w:w="3335" w:type="dxa"/>
                  <w:tcBorders>
                    <w:tl2br w:val="nil"/>
                    <w:tr2bl w:val="nil"/>
                  </w:tcBorders>
                  <w:vAlign w:val="center"/>
                </w:tcPr>
                <w:p w14:paraId="7FAB6A7C">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采用负压收集</w:t>
                  </w:r>
                  <w:r>
                    <w:rPr>
                      <w:rFonts w:hint="eastAsia" w:ascii="Times New Roman" w:hAnsi="Times New Roman" w:eastAsia="宋体" w:cs="Times New Roman"/>
                      <w:color w:val="auto"/>
                      <w:sz w:val="21"/>
                      <w:szCs w:val="21"/>
                      <w:lang w:val="en-US" w:eastAsia="zh-CN"/>
                    </w:rPr>
                    <w:t>+袋式</w:t>
                  </w:r>
                  <w:r>
                    <w:rPr>
                      <w:rFonts w:hint="default" w:ascii="Times New Roman" w:hAnsi="Times New Roman" w:eastAsia="宋体" w:cs="Times New Roman"/>
                      <w:color w:val="auto"/>
                      <w:sz w:val="21"/>
                      <w:szCs w:val="21"/>
                      <w:lang w:val="en-US" w:eastAsia="zh-CN"/>
                    </w:rPr>
                    <w:t>除尘</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光催化</w:t>
                  </w:r>
                  <w:r>
                    <w:rPr>
                      <w:rFonts w:hint="eastAsia" w:ascii="Times New Roman" w:hAnsi="Times New Roman" w:eastAsia="宋体" w:cs="Times New Roman"/>
                      <w:color w:val="auto"/>
                      <w:sz w:val="21"/>
                      <w:szCs w:val="21"/>
                      <w:lang w:val="en-US" w:eastAsia="zh-CN"/>
                    </w:rPr>
                    <w:t>+二级</w:t>
                  </w:r>
                  <w:r>
                    <w:rPr>
                      <w:rFonts w:hint="default" w:ascii="Times New Roman" w:hAnsi="Times New Roman" w:eastAsia="宋体" w:cs="Times New Roman"/>
                      <w:color w:val="auto"/>
                      <w:sz w:val="21"/>
                      <w:szCs w:val="21"/>
                      <w:lang w:val="en-US" w:eastAsia="zh-CN"/>
                    </w:rPr>
                    <w:t>活性炭吸附组合工艺，15m排气筒达标排放，VOCs与颗粒物去除效率高</w:t>
                  </w:r>
                  <w:r>
                    <w:rPr>
                      <w:rFonts w:hint="eastAsia" w:ascii="Times New Roman" w:hAnsi="Times New Roman" w:eastAsia="宋体" w:cs="Times New Roman"/>
                      <w:color w:val="auto"/>
                      <w:sz w:val="21"/>
                      <w:szCs w:val="21"/>
                      <w:lang w:val="en-US" w:eastAsia="zh-CN"/>
                    </w:rPr>
                    <w:t>。</w:t>
                  </w:r>
                </w:p>
              </w:tc>
              <w:tc>
                <w:tcPr>
                  <w:tcW w:w="979" w:type="dxa"/>
                  <w:tcBorders>
                    <w:tl2br w:val="nil"/>
                    <w:tr2bl w:val="nil"/>
                  </w:tcBorders>
                  <w:vAlign w:val="center"/>
                </w:tcPr>
                <w:p w14:paraId="642EE013">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BE57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5" w:type="dxa"/>
                  <w:tcBorders>
                    <w:tl2br w:val="nil"/>
                    <w:tr2bl w:val="nil"/>
                  </w:tcBorders>
                  <w:vAlign w:val="center"/>
                </w:tcPr>
                <w:p w14:paraId="695D603E">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2743" w:type="dxa"/>
                  <w:tcBorders>
                    <w:tl2br w:val="nil"/>
                    <w:tr2bl w:val="nil"/>
                  </w:tcBorders>
                  <w:vAlign w:val="center"/>
                </w:tcPr>
                <w:p w14:paraId="1B2C5579">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深化水资源节约与循环利用，推进工业废水资源化、零排放</w:t>
                  </w:r>
                  <w:r>
                    <w:rPr>
                      <w:rFonts w:hint="eastAsia" w:ascii="Times New Roman" w:hAnsi="Times New Roman" w:eastAsia="宋体" w:cs="Times New Roman"/>
                      <w:color w:val="auto"/>
                      <w:sz w:val="21"/>
                      <w:szCs w:val="21"/>
                      <w:lang w:val="en-US" w:eastAsia="zh-CN"/>
                    </w:rPr>
                    <w:t>。</w:t>
                  </w:r>
                </w:p>
              </w:tc>
              <w:tc>
                <w:tcPr>
                  <w:tcW w:w="3335" w:type="dxa"/>
                  <w:tcBorders>
                    <w:tl2br w:val="nil"/>
                    <w:tr2bl w:val="nil"/>
                  </w:tcBorders>
                  <w:vAlign w:val="center"/>
                </w:tcPr>
                <w:p w14:paraId="35367429">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无</w:t>
                  </w:r>
                  <w:r>
                    <w:rPr>
                      <w:rFonts w:hint="default" w:ascii="Times New Roman" w:hAnsi="Times New Roman" w:eastAsia="宋体" w:cs="Times New Roman"/>
                      <w:color w:val="auto"/>
                      <w:sz w:val="21"/>
                      <w:szCs w:val="21"/>
                      <w:lang w:val="en-US" w:eastAsia="zh-CN"/>
                    </w:rPr>
                    <w:t>生产废水</w:t>
                  </w:r>
                  <w:r>
                    <w:rPr>
                      <w:rFonts w:hint="eastAsia" w:ascii="Times New Roman" w:hAnsi="Times New Roman" w:eastAsia="宋体" w:cs="Times New Roman"/>
                      <w:color w:val="auto"/>
                      <w:sz w:val="21"/>
                      <w:szCs w:val="21"/>
                      <w:lang w:val="en-US" w:eastAsia="zh-CN"/>
                    </w:rPr>
                    <w:t>，仅</w:t>
                  </w:r>
                  <w:r>
                    <w:rPr>
                      <w:rFonts w:hint="default" w:ascii="Times New Roman" w:hAnsi="Times New Roman" w:eastAsia="宋体" w:cs="Times New Roman"/>
                      <w:color w:val="auto"/>
                      <w:sz w:val="21"/>
                      <w:szCs w:val="21"/>
                      <w:lang w:val="en-US" w:eastAsia="zh-CN"/>
                    </w:rPr>
                    <w:t>生活污水经厂区污水处理站处理后全部回用，生活污水不外排</w:t>
                  </w:r>
                  <w:r>
                    <w:rPr>
                      <w:rFonts w:hint="eastAsia" w:ascii="Times New Roman" w:hAnsi="Times New Roman" w:eastAsia="宋体" w:cs="Times New Roman"/>
                      <w:color w:val="auto"/>
                      <w:sz w:val="21"/>
                      <w:szCs w:val="21"/>
                      <w:lang w:val="en-US" w:eastAsia="zh-CN"/>
                    </w:rPr>
                    <w:t>。</w:t>
                  </w:r>
                </w:p>
              </w:tc>
              <w:tc>
                <w:tcPr>
                  <w:tcW w:w="979" w:type="dxa"/>
                  <w:tcBorders>
                    <w:tl2br w:val="nil"/>
                    <w:tr2bl w:val="nil"/>
                  </w:tcBorders>
                  <w:vAlign w:val="center"/>
                </w:tcPr>
                <w:p w14:paraId="27FA0123">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D8D5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5" w:type="dxa"/>
                  <w:tcBorders>
                    <w:tl2br w:val="nil"/>
                    <w:tr2bl w:val="nil"/>
                  </w:tcBorders>
                  <w:vAlign w:val="center"/>
                </w:tcPr>
                <w:p w14:paraId="37A24C46">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2743" w:type="dxa"/>
                  <w:tcBorders>
                    <w:tl2br w:val="nil"/>
                    <w:tr2bl w:val="nil"/>
                  </w:tcBorders>
                  <w:vAlign w:val="center"/>
                </w:tcPr>
                <w:p w14:paraId="4EF8B22D">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提升固废处置利用水平，推进一般工业固废综合利用，危险废物安全处置</w:t>
                  </w:r>
                  <w:r>
                    <w:rPr>
                      <w:rFonts w:hint="eastAsia" w:ascii="Times New Roman" w:hAnsi="Times New Roman" w:eastAsia="宋体" w:cs="Times New Roman"/>
                      <w:color w:val="auto"/>
                      <w:sz w:val="21"/>
                      <w:szCs w:val="21"/>
                      <w:lang w:val="en-US" w:eastAsia="zh-CN"/>
                    </w:rPr>
                    <w:t>。</w:t>
                  </w:r>
                </w:p>
              </w:tc>
              <w:tc>
                <w:tcPr>
                  <w:tcW w:w="3335" w:type="dxa"/>
                  <w:tcBorders>
                    <w:tl2br w:val="nil"/>
                    <w:tr2bl w:val="nil"/>
                  </w:tcBorders>
                  <w:vAlign w:val="center"/>
                </w:tcPr>
                <w:p w14:paraId="74E0A341">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塑料废料、钢材废料回收外售；废机油、废活性炭等危废依托自有危废处置资质安全处置，建立台账与转移联单</w:t>
                  </w:r>
                  <w:r>
                    <w:rPr>
                      <w:rFonts w:hint="eastAsia" w:ascii="Times New Roman" w:hAnsi="Times New Roman" w:eastAsia="宋体" w:cs="Times New Roman"/>
                      <w:color w:val="auto"/>
                      <w:sz w:val="21"/>
                      <w:szCs w:val="21"/>
                      <w:lang w:val="en-US" w:eastAsia="zh-CN"/>
                    </w:rPr>
                    <w:t>。</w:t>
                  </w:r>
                </w:p>
              </w:tc>
              <w:tc>
                <w:tcPr>
                  <w:tcW w:w="979" w:type="dxa"/>
                  <w:tcBorders>
                    <w:tl2br w:val="nil"/>
                    <w:tr2bl w:val="nil"/>
                  </w:tcBorders>
                  <w:vAlign w:val="center"/>
                </w:tcPr>
                <w:p w14:paraId="007CFB1F">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1B1DA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5" w:type="dxa"/>
                  <w:tcBorders>
                    <w:tl2br w:val="nil"/>
                    <w:tr2bl w:val="nil"/>
                  </w:tcBorders>
                  <w:vAlign w:val="center"/>
                </w:tcPr>
                <w:p w14:paraId="319183FB">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2743" w:type="dxa"/>
                  <w:tcBorders>
                    <w:tl2br w:val="nil"/>
                    <w:tr2bl w:val="nil"/>
                  </w:tcBorders>
                  <w:vAlign w:val="center"/>
                </w:tcPr>
                <w:p w14:paraId="4F219770">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严控生态保护红线，不占饮用水源、自然保护区等敏感区</w:t>
                  </w:r>
                  <w:r>
                    <w:rPr>
                      <w:rFonts w:hint="eastAsia" w:ascii="Times New Roman" w:hAnsi="Times New Roman" w:eastAsia="宋体" w:cs="Times New Roman"/>
                      <w:color w:val="auto"/>
                      <w:sz w:val="21"/>
                      <w:szCs w:val="21"/>
                      <w:lang w:val="en-US" w:eastAsia="zh-CN"/>
                    </w:rPr>
                    <w:t>。</w:t>
                  </w:r>
                </w:p>
              </w:tc>
              <w:tc>
                <w:tcPr>
                  <w:tcW w:w="3335" w:type="dxa"/>
                  <w:tcBorders>
                    <w:tl2br w:val="nil"/>
                    <w:tr2bl w:val="nil"/>
                  </w:tcBorders>
                  <w:vAlign w:val="center"/>
                </w:tcPr>
                <w:p w14:paraId="16432656">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项目用地为工业用地，不涉及生态保护红线、饮用水源保护区等环境敏感区</w:t>
                  </w:r>
                  <w:r>
                    <w:rPr>
                      <w:rFonts w:hint="eastAsia" w:ascii="Times New Roman" w:hAnsi="Times New Roman" w:eastAsia="宋体" w:cs="Times New Roman"/>
                      <w:color w:val="auto"/>
                      <w:sz w:val="21"/>
                      <w:szCs w:val="21"/>
                      <w:lang w:val="en-US" w:eastAsia="zh-CN"/>
                    </w:rPr>
                    <w:t>。</w:t>
                  </w:r>
                </w:p>
              </w:tc>
              <w:tc>
                <w:tcPr>
                  <w:tcW w:w="979" w:type="dxa"/>
                  <w:tcBorders>
                    <w:tl2br w:val="nil"/>
                    <w:tr2bl w:val="nil"/>
                  </w:tcBorders>
                  <w:vAlign w:val="center"/>
                </w:tcPr>
                <w:p w14:paraId="25DB9232">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B147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5" w:type="dxa"/>
                  <w:tcBorders>
                    <w:tl2br w:val="nil"/>
                    <w:tr2bl w:val="nil"/>
                  </w:tcBorders>
                  <w:vAlign w:val="center"/>
                </w:tcPr>
                <w:p w14:paraId="28D4F884">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2743" w:type="dxa"/>
                  <w:tcBorders>
                    <w:tl2br w:val="nil"/>
                    <w:tr2bl w:val="nil"/>
                  </w:tcBorders>
                  <w:vAlign w:val="center"/>
                </w:tcPr>
                <w:p w14:paraId="27BA6A8F">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推行清洁生产，降低能耗物耗，提高资源利用效率</w:t>
                  </w:r>
                  <w:r>
                    <w:rPr>
                      <w:rFonts w:hint="eastAsia" w:ascii="Times New Roman" w:hAnsi="Times New Roman" w:eastAsia="宋体" w:cs="Times New Roman"/>
                      <w:color w:val="auto"/>
                      <w:sz w:val="21"/>
                      <w:szCs w:val="21"/>
                      <w:lang w:val="en-US" w:eastAsia="zh-CN"/>
                    </w:rPr>
                    <w:t>。</w:t>
                  </w:r>
                </w:p>
              </w:tc>
              <w:tc>
                <w:tcPr>
                  <w:tcW w:w="3335" w:type="dxa"/>
                  <w:tcBorders>
                    <w:tl2br w:val="nil"/>
                    <w:tr2bl w:val="nil"/>
                  </w:tcBorders>
                  <w:vAlign w:val="center"/>
                </w:tcPr>
                <w:p w14:paraId="4608BE7C">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采用HDPE吹塑工艺，边角料闭环回用；水、电消耗较低，符合清洁生产要求</w:t>
                  </w:r>
                  <w:r>
                    <w:rPr>
                      <w:rFonts w:hint="eastAsia" w:ascii="Times New Roman" w:hAnsi="Times New Roman" w:eastAsia="宋体" w:cs="Times New Roman"/>
                      <w:color w:val="auto"/>
                      <w:sz w:val="21"/>
                      <w:szCs w:val="21"/>
                      <w:lang w:val="en-US" w:eastAsia="zh-CN"/>
                    </w:rPr>
                    <w:t>。</w:t>
                  </w:r>
                </w:p>
              </w:tc>
              <w:tc>
                <w:tcPr>
                  <w:tcW w:w="979" w:type="dxa"/>
                  <w:tcBorders>
                    <w:tl2br w:val="nil"/>
                    <w:tr2bl w:val="nil"/>
                  </w:tcBorders>
                  <w:vAlign w:val="center"/>
                </w:tcPr>
                <w:p w14:paraId="1AFD7D36">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bl>
          <w:p w14:paraId="4BD35C4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③</w:t>
            </w:r>
            <w:r>
              <w:rPr>
                <w:rFonts w:hint="default" w:ascii="Times New Roman" w:hAnsi="Times New Roman" w:eastAsia="宋体" w:cs="Times New Roman"/>
                <w:color w:val="auto"/>
                <w:kern w:val="0"/>
                <w:sz w:val="24"/>
                <w:szCs w:val="24"/>
                <w:lang w:val="en-US" w:eastAsia="zh-CN"/>
              </w:rPr>
              <w:t>本项目与《内蒙古自治区空气质量持续改善行动实施方案》符合性分析详见下表所示：</w:t>
            </w:r>
          </w:p>
          <w:p w14:paraId="1D1C02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表1-6</w:t>
            </w:r>
            <w:r>
              <w:rPr>
                <w:rFonts w:hint="default" w:ascii="Times New Roman" w:hAnsi="Times New Roman" w:eastAsia="宋体" w:cs="Times New Roman"/>
                <w:b/>
                <w:bCs/>
                <w:color w:val="auto"/>
                <w:sz w:val="24"/>
                <w:lang w:val="en-US" w:eastAsia="zh-CN"/>
              </w:rPr>
              <w:t>本项目与《内蒙古自治区空气质量持续改善行动实施方案》符合性分析</w:t>
            </w:r>
          </w:p>
          <w:tbl>
            <w:tblPr>
              <w:tblStyle w:val="25"/>
              <w:tblW w:w="77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4"/>
              <w:gridCol w:w="2735"/>
              <w:gridCol w:w="3346"/>
              <w:gridCol w:w="967"/>
            </w:tblGrid>
            <w:tr w14:paraId="18F40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4" w:type="dxa"/>
                  <w:tcBorders>
                    <w:tl2br w:val="nil"/>
                    <w:tr2bl w:val="nil"/>
                  </w:tcBorders>
                  <w:vAlign w:val="center"/>
                </w:tcPr>
                <w:p w14:paraId="6645CF0E">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序号</w:t>
                  </w:r>
                </w:p>
              </w:tc>
              <w:tc>
                <w:tcPr>
                  <w:tcW w:w="2735" w:type="dxa"/>
                  <w:tcBorders>
                    <w:tl2br w:val="nil"/>
                    <w:tr2bl w:val="nil"/>
                  </w:tcBorders>
                  <w:vAlign w:val="center"/>
                </w:tcPr>
                <w:p w14:paraId="695F0510">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规划要求</w:t>
                  </w:r>
                </w:p>
              </w:tc>
              <w:tc>
                <w:tcPr>
                  <w:tcW w:w="3346" w:type="dxa"/>
                  <w:tcBorders>
                    <w:tl2br w:val="nil"/>
                    <w:tr2bl w:val="nil"/>
                  </w:tcBorders>
                  <w:vAlign w:val="center"/>
                </w:tcPr>
                <w:p w14:paraId="4337CCF5">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w:t>
                  </w:r>
                </w:p>
              </w:tc>
              <w:tc>
                <w:tcPr>
                  <w:tcW w:w="967" w:type="dxa"/>
                  <w:tcBorders>
                    <w:tl2br w:val="nil"/>
                    <w:tr2bl w:val="nil"/>
                  </w:tcBorders>
                  <w:vAlign w:val="center"/>
                </w:tcPr>
                <w:p w14:paraId="4986E1FF">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符合性</w:t>
                  </w:r>
                </w:p>
              </w:tc>
            </w:tr>
            <w:tr w14:paraId="5E19B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4" w:type="dxa"/>
                  <w:tcBorders>
                    <w:tl2br w:val="nil"/>
                    <w:tr2bl w:val="nil"/>
                  </w:tcBorders>
                  <w:vAlign w:val="center"/>
                </w:tcPr>
                <w:p w14:paraId="00AAA792">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2735" w:type="dxa"/>
                  <w:tcBorders>
                    <w:tl2br w:val="nil"/>
                    <w:tr2bl w:val="nil"/>
                  </w:tcBorders>
                  <w:vAlign w:val="center"/>
                </w:tcPr>
                <w:p w14:paraId="64B2D1F1">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优化产业结构与布局，推动工业项目入园集聚发展，严控“两高”项目盲目发展</w:t>
                  </w:r>
                  <w:r>
                    <w:rPr>
                      <w:rFonts w:hint="eastAsia" w:ascii="Times New Roman" w:hAnsi="Times New Roman" w:eastAsia="宋体" w:cs="Times New Roman"/>
                      <w:color w:val="auto"/>
                      <w:sz w:val="21"/>
                      <w:szCs w:val="21"/>
                      <w:lang w:val="en-US" w:eastAsia="zh-CN"/>
                    </w:rPr>
                    <w:t>.</w:t>
                  </w:r>
                </w:p>
              </w:tc>
              <w:tc>
                <w:tcPr>
                  <w:tcW w:w="3346" w:type="dxa"/>
                  <w:tcBorders>
                    <w:tl2br w:val="nil"/>
                    <w:tr2bl w:val="nil"/>
                  </w:tcBorders>
                  <w:vAlign w:val="center"/>
                </w:tcPr>
                <w:p w14:paraId="6D867EE0">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项目位于鄂托克高新技术产业开发区蒙西产业园，属合规工业用地，为塑料制品制造（允许类），不属于高耗能、高排放项目，符合园区产业布局要求</w:t>
                  </w:r>
                </w:p>
              </w:tc>
              <w:tc>
                <w:tcPr>
                  <w:tcW w:w="967" w:type="dxa"/>
                  <w:tcBorders>
                    <w:tl2br w:val="nil"/>
                    <w:tr2bl w:val="nil"/>
                  </w:tcBorders>
                  <w:vAlign w:val="center"/>
                </w:tcPr>
                <w:p w14:paraId="0D681AFC">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3693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4" w:type="dxa"/>
                  <w:tcBorders>
                    <w:tl2br w:val="nil"/>
                    <w:tr2bl w:val="nil"/>
                  </w:tcBorders>
                  <w:vAlign w:val="center"/>
                </w:tcPr>
                <w:p w14:paraId="67FE642B">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2735" w:type="dxa"/>
                  <w:tcBorders>
                    <w:tl2br w:val="nil"/>
                    <w:tr2bl w:val="nil"/>
                  </w:tcBorders>
                  <w:vAlign w:val="center"/>
                </w:tcPr>
                <w:p w14:paraId="408779FA">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强化挥发性有机物（VOCs）全流程、全环节综合治理，推进低（无）VOCs原辅材料替代，提升废气收集率与治理效率</w:t>
                  </w:r>
                </w:p>
              </w:tc>
              <w:tc>
                <w:tcPr>
                  <w:tcW w:w="3346" w:type="dxa"/>
                  <w:tcBorders>
                    <w:tl2br w:val="nil"/>
                    <w:tr2bl w:val="nil"/>
                  </w:tcBorders>
                  <w:vAlign w:val="center"/>
                </w:tcPr>
                <w:p w14:paraId="1606ACD4">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采用低VOCs原辅材料，生产过程密闭化、管道化；废气采用负压收集</w:t>
                  </w:r>
                  <w:r>
                    <w:rPr>
                      <w:rFonts w:hint="eastAsia" w:ascii="Times New Roman" w:hAnsi="Times New Roman" w:eastAsia="宋体" w:cs="Times New Roman"/>
                      <w:color w:val="auto"/>
                      <w:sz w:val="21"/>
                      <w:szCs w:val="21"/>
                      <w:lang w:val="en-US" w:eastAsia="zh-CN"/>
                    </w:rPr>
                    <w:t>+袋式</w:t>
                  </w:r>
                  <w:r>
                    <w:rPr>
                      <w:rFonts w:hint="default" w:ascii="Times New Roman" w:hAnsi="Times New Roman" w:eastAsia="宋体" w:cs="Times New Roman"/>
                      <w:color w:val="auto"/>
                      <w:sz w:val="21"/>
                      <w:szCs w:val="21"/>
                      <w:lang w:val="en-US" w:eastAsia="zh-CN"/>
                    </w:rPr>
                    <w:t>除尘</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光催化</w:t>
                  </w:r>
                  <w:r>
                    <w:rPr>
                      <w:rFonts w:hint="eastAsia" w:ascii="Times New Roman" w:hAnsi="Times New Roman" w:eastAsia="宋体" w:cs="Times New Roman"/>
                      <w:color w:val="auto"/>
                      <w:sz w:val="21"/>
                      <w:szCs w:val="21"/>
                      <w:lang w:val="en-US" w:eastAsia="zh-CN"/>
                    </w:rPr>
                    <w:t>+二级</w:t>
                  </w:r>
                  <w:r>
                    <w:rPr>
                      <w:rFonts w:hint="default" w:ascii="Times New Roman" w:hAnsi="Times New Roman" w:eastAsia="宋体" w:cs="Times New Roman"/>
                      <w:color w:val="auto"/>
                      <w:sz w:val="21"/>
                      <w:szCs w:val="21"/>
                      <w:lang w:val="en-US" w:eastAsia="zh-CN"/>
                    </w:rPr>
                    <w:t>活性炭吸附组合工艺，废气收集率与治理效率</w:t>
                  </w:r>
                  <w:r>
                    <w:rPr>
                      <w:rFonts w:hint="eastAsia" w:ascii="Times New Roman" w:hAnsi="Times New Roman" w:eastAsia="宋体" w:cs="Times New Roman"/>
                      <w:color w:val="auto"/>
                      <w:sz w:val="21"/>
                      <w:szCs w:val="21"/>
                      <w:lang w:val="en-US" w:eastAsia="zh-CN"/>
                    </w:rPr>
                    <w:t>高</w:t>
                  </w:r>
                </w:p>
              </w:tc>
              <w:tc>
                <w:tcPr>
                  <w:tcW w:w="967" w:type="dxa"/>
                  <w:tcBorders>
                    <w:tl2br w:val="nil"/>
                    <w:tr2bl w:val="nil"/>
                  </w:tcBorders>
                  <w:vAlign w:val="center"/>
                </w:tcPr>
                <w:p w14:paraId="2ACE7F1C">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35F7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4" w:type="dxa"/>
                  <w:tcBorders>
                    <w:tl2br w:val="nil"/>
                    <w:tr2bl w:val="nil"/>
                  </w:tcBorders>
                  <w:vAlign w:val="center"/>
                </w:tcPr>
                <w:p w14:paraId="64E03DA9">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2735" w:type="dxa"/>
                  <w:tcBorders>
                    <w:tl2br w:val="nil"/>
                    <w:tr2bl w:val="nil"/>
                  </w:tcBorders>
                  <w:vAlign w:val="center"/>
                </w:tcPr>
                <w:p w14:paraId="1CF8057F">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深化颗粒物污染控制，加强工业粉尘、无组织排放管控，推进除尘设施升级改造</w:t>
                  </w:r>
                </w:p>
              </w:tc>
              <w:tc>
                <w:tcPr>
                  <w:tcW w:w="3346" w:type="dxa"/>
                  <w:tcBorders>
                    <w:tl2br w:val="nil"/>
                    <w:tr2bl w:val="nil"/>
                  </w:tcBorders>
                  <w:vAlign w:val="center"/>
                </w:tcPr>
                <w:p w14:paraId="7279158F">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混合、吹塑、修边、焊接、打磨等产尘点全密闭负压收集；配置高效除尘设施，颗粒物去除率9</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p>
              </w:tc>
              <w:tc>
                <w:tcPr>
                  <w:tcW w:w="967" w:type="dxa"/>
                  <w:tcBorders>
                    <w:tl2br w:val="nil"/>
                    <w:tr2bl w:val="nil"/>
                  </w:tcBorders>
                  <w:vAlign w:val="center"/>
                </w:tcPr>
                <w:p w14:paraId="43BFE430">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4140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4" w:type="dxa"/>
                  <w:tcBorders>
                    <w:tl2br w:val="nil"/>
                    <w:tr2bl w:val="nil"/>
                  </w:tcBorders>
                  <w:vAlign w:val="center"/>
                </w:tcPr>
                <w:p w14:paraId="65B28BFD">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2735" w:type="dxa"/>
                  <w:tcBorders>
                    <w:tl2br w:val="nil"/>
                    <w:tr2bl w:val="nil"/>
                  </w:tcBorders>
                  <w:vAlign w:val="center"/>
                </w:tcPr>
                <w:p w14:paraId="6AF52F19">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推动能源清洁高效利用，鼓励工业企业使用电能等清洁能源，减少化石燃料燃烧污染</w:t>
                  </w:r>
                </w:p>
              </w:tc>
              <w:tc>
                <w:tcPr>
                  <w:tcW w:w="3346" w:type="dxa"/>
                  <w:tcBorders>
                    <w:tl2br w:val="nil"/>
                    <w:tr2bl w:val="nil"/>
                  </w:tcBorders>
                  <w:vAlign w:val="center"/>
                </w:tcPr>
                <w:p w14:paraId="37C55995">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项目生产用能以电能为主，冬季采暖依托厂区焚烧余热锅炉，不新增燃煤、燃油等污染型能源消耗</w:t>
                  </w:r>
                </w:p>
              </w:tc>
              <w:tc>
                <w:tcPr>
                  <w:tcW w:w="967" w:type="dxa"/>
                  <w:tcBorders>
                    <w:tl2br w:val="nil"/>
                    <w:tr2bl w:val="nil"/>
                  </w:tcBorders>
                  <w:vAlign w:val="center"/>
                </w:tcPr>
                <w:p w14:paraId="1ED684E5">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6E16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4" w:type="dxa"/>
                  <w:tcBorders>
                    <w:tl2br w:val="nil"/>
                    <w:tr2bl w:val="nil"/>
                  </w:tcBorders>
                  <w:vAlign w:val="center"/>
                </w:tcPr>
                <w:p w14:paraId="24752CA7">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2735" w:type="dxa"/>
                  <w:tcBorders>
                    <w:tl2br w:val="nil"/>
                    <w:tr2bl w:val="nil"/>
                  </w:tcBorders>
                  <w:vAlign w:val="center"/>
                </w:tcPr>
                <w:p w14:paraId="2B3C60AF">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推进工业企业绿色生产，提升清洁生产水平，强化污染物排放全过程管控</w:t>
                  </w:r>
                </w:p>
              </w:tc>
              <w:tc>
                <w:tcPr>
                  <w:tcW w:w="3346" w:type="dxa"/>
                  <w:tcBorders>
                    <w:tl2br w:val="nil"/>
                    <w:tr2bl w:val="nil"/>
                  </w:tcBorders>
                  <w:vAlign w:val="center"/>
                </w:tcPr>
                <w:p w14:paraId="2068B3D1">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选用自动化、密闭化生产设备，边角料回收利用，</w:t>
                  </w:r>
                  <w:r>
                    <w:rPr>
                      <w:rFonts w:hint="eastAsia" w:ascii="Times New Roman" w:hAnsi="Times New Roman" w:eastAsia="宋体" w:cs="Times New Roman"/>
                      <w:color w:val="auto"/>
                      <w:sz w:val="21"/>
                      <w:szCs w:val="21"/>
                      <w:lang w:val="en-US" w:eastAsia="zh-CN"/>
                    </w:rPr>
                    <w:t>生活污水</w:t>
                  </w:r>
                  <w:r>
                    <w:rPr>
                      <w:rFonts w:hint="default" w:ascii="Times New Roman" w:hAnsi="Times New Roman" w:eastAsia="宋体" w:cs="Times New Roman"/>
                      <w:color w:val="auto"/>
                      <w:sz w:val="21"/>
                      <w:szCs w:val="21"/>
                      <w:lang w:val="en-US" w:eastAsia="zh-CN"/>
                    </w:rPr>
                    <w:t>全部回用不外排，实现清洁生产与污染物全过程控制</w:t>
                  </w:r>
                </w:p>
              </w:tc>
              <w:tc>
                <w:tcPr>
                  <w:tcW w:w="967" w:type="dxa"/>
                  <w:tcBorders>
                    <w:tl2br w:val="nil"/>
                    <w:tr2bl w:val="nil"/>
                  </w:tcBorders>
                  <w:vAlign w:val="center"/>
                </w:tcPr>
                <w:p w14:paraId="041AB884">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bl>
          <w:p w14:paraId="75ABAF57">
            <w:pPr>
              <w:keepNext w:val="0"/>
              <w:keepLines w:val="0"/>
              <w:pageBreakBefore w:val="0"/>
              <w:suppressLineNumbers w:val="0"/>
              <w:kinsoku/>
              <w:overflowPunct/>
              <w:autoSpaceDE w:val="0"/>
              <w:autoSpaceDN w:val="0"/>
              <w:bidi w:val="0"/>
              <w:snapToGrid w:val="0"/>
              <w:spacing w:before="0" w:beforeAutospacing="0" w:after="0" w:afterLines="0" w:afterAutospacing="0"/>
              <w:ind w:left="0" w:right="0"/>
              <w:textAlignment w:val="auto"/>
              <w:rPr>
                <w:rFonts w:hint="default" w:ascii="Times New Roman" w:hAnsi="Times New Roman" w:eastAsia="宋体"/>
                <w:color w:val="auto"/>
                <w:sz w:val="24"/>
                <w:szCs w:val="24"/>
              </w:rPr>
            </w:pPr>
          </w:p>
        </w:tc>
      </w:tr>
    </w:tbl>
    <w:p w14:paraId="749A3790">
      <w:pPr>
        <w:keepNext w:val="0"/>
        <w:keepLines w:val="0"/>
        <w:pageBreakBefore w:val="0"/>
        <w:kinsoku/>
        <w:overflowPunct/>
        <w:bidi w:val="0"/>
        <w:spacing w:beforeAutospacing="0" w:after="0" w:afterLines="0" w:afterAutospacing="0" w:line="360" w:lineRule="auto"/>
        <w:textAlignment w:val="auto"/>
        <w:outlineLvl w:val="9"/>
        <w:rPr>
          <w:rFonts w:hint="eastAsia" w:ascii="Times New Roman" w:hAnsi="Times New Roman" w:eastAsia="宋体"/>
          <w:color w:val="auto"/>
          <w:sz w:val="24"/>
          <w:szCs w:val="24"/>
          <w:lang w:eastAsia="zh-CN"/>
        </w:rPr>
        <w:sectPr>
          <w:pgSz w:w="11906" w:h="16838"/>
          <w:pgMar w:top="1417" w:right="1361" w:bottom="1417" w:left="136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6E420B8E">
      <w:pPr>
        <w:pStyle w:val="21"/>
        <w:keepNext w:val="0"/>
        <w:keepLines w:val="0"/>
        <w:pageBreakBefore w:val="0"/>
        <w:kinsoku/>
        <w:overflowPunct/>
        <w:bidi w:val="0"/>
        <w:spacing w:before="0" w:beforeAutospacing="0" w:after="0" w:afterLines="0" w:afterAutospacing="0"/>
        <w:jc w:val="center"/>
        <w:textAlignment w:val="auto"/>
        <w:outlineLvl w:val="0"/>
        <w:rPr>
          <w:rFonts w:ascii="Times New Roman" w:hAnsi="Times New Roman" w:eastAsia="宋体"/>
          <w:snapToGrid w:val="0"/>
          <w:color w:val="auto"/>
          <w:sz w:val="24"/>
          <w:szCs w:val="24"/>
        </w:rPr>
      </w:pPr>
      <w:r>
        <w:rPr>
          <w:rFonts w:ascii="Times New Roman" w:hAnsi="Times New Roman" w:eastAsia="宋体"/>
          <w:snapToGrid w:val="0"/>
          <w:color w:val="auto"/>
          <w:sz w:val="30"/>
          <w:szCs w:val="30"/>
        </w:rPr>
        <w:t>二、建设项目工程分析</w:t>
      </w:r>
    </w:p>
    <w:tbl>
      <w:tblPr>
        <w:tblStyle w:val="24"/>
        <w:tblW w:w="926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3"/>
        <w:gridCol w:w="8844"/>
      </w:tblGrid>
      <w:tr w14:paraId="46FF46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42" w:hRule="atLeast"/>
          <w:jc w:val="center"/>
        </w:trPr>
        <w:tc>
          <w:tcPr>
            <w:tcW w:w="423" w:type="dxa"/>
            <w:noWrap w:val="0"/>
            <w:vAlign w:val="center"/>
          </w:tcPr>
          <w:p w14:paraId="319FD232">
            <w:pPr>
              <w:pStyle w:val="21"/>
              <w:keepNext w:val="0"/>
              <w:keepLines w:val="0"/>
              <w:pageBreakBefore w:val="0"/>
              <w:suppressLineNumbers w:val="0"/>
              <w:kinsoku/>
              <w:wordWrap/>
              <w:overflowPunct/>
              <w:topLinePunct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建设内容</w:t>
            </w:r>
          </w:p>
        </w:tc>
        <w:tc>
          <w:tcPr>
            <w:tcW w:w="8844" w:type="dxa"/>
            <w:noWrap w:val="0"/>
            <w:vAlign w:val="top"/>
          </w:tcPr>
          <w:p w14:paraId="3F8BFEF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1、项目由来</w:t>
            </w:r>
          </w:p>
          <w:p w14:paraId="429202F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宋体"/>
                <w:color w:val="auto"/>
                <w:sz w:val="24"/>
                <w:szCs w:val="24"/>
              </w:rPr>
              <w:t>内蒙古美力坚清蓝危废处置有限公司（原内蒙古高能清蓝危废处置有限公司，2021年2月4日更名为内蒙古美力坚清蓝危废处置有限公司，本项目建设单位），成立于2017年，位于内蒙古自治区鄂尔多斯市鄂托克旗蒙西工业园区，是一家以从事生态保护和环境治理业为主的企业。主要经营项目包括危险废物收运、储存、焚烧、稳定固化、填埋、综合利用以及相关工程设施建设技术咨询服务。</w:t>
            </w:r>
            <w:r>
              <w:rPr>
                <w:rFonts w:hint="default" w:ascii="Times New Roman" w:hAnsi="Times New Roman" w:eastAsia="宋体" w:cs="Times New Roman"/>
                <w:color w:val="auto"/>
                <w:kern w:val="0"/>
                <w:sz w:val="24"/>
                <w:szCs w:val="24"/>
                <w:lang w:val="en-US" w:eastAsia="zh-CN"/>
              </w:rPr>
              <w:t>为降低美力坚公司包装物采购成本，保障核心业务供应链安全，</w:t>
            </w:r>
            <w:r>
              <w:rPr>
                <w:rFonts w:hint="eastAsia" w:ascii="Times New Roman" w:hAnsi="Times New Roman" w:eastAsia="宋体" w:cs="Times New Roman"/>
                <w:color w:val="auto"/>
                <w:kern w:val="0"/>
                <w:sz w:val="24"/>
                <w:szCs w:val="24"/>
                <w:lang w:val="en-US" w:eastAsia="zh-CN"/>
              </w:rPr>
              <w:t>本次拟</w:t>
            </w:r>
            <w:r>
              <w:rPr>
                <w:rFonts w:hint="default" w:ascii="Times New Roman" w:hAnsi="Times New Roman" w:eastAsia="宋体" w:cs="Times New Roman"/>
                <w:color w:val="auto"/>
                <w:kern w:val="0"/>
                <w:sz w:val="24"/>
                <w:szCs w:val="24"/>
                <w:lang w:val="en-US" w:eastAsia="zh-CN"/>
              </w:rPr>
              <w:t>规划</w:t>
            </w:r>
            <w:r>
              <w:rPr>
                <w:rFonts w:hint="eastAsia" w:ascii="Times New Roman" w:hAnsi="Times New Roman" w:eastAsia="宋体" w:cs="Times New Roman"/>
                <w:color w:val="auto"/>
                <w:kern w:val="0"/>
                <w:sz w:val="24"/>
                <w:szCs w:val="24"/>
                <w:lang w:val="en-US" w:eastAsia="zh-CN"/>
              </w:rPr>
              <w:t>建设</w:t>
            </w:r>
            <w:r>
              <w:rPr>
                <w:rFonts w:hint="default" w:ascii="Times New Roman" w:hAnsi="Times New Roman" w:eastAsia="宋体" w:cs="Times New Roman"/>
                <w:color w:val="auto"/>
                <w:kern w:val="0"/>
                <w:sz w:val="24"/>
                <w:szCs w:val="24"/>
                <w:lang w:val="en-US" w:eastAsia="zh-CN"/>
              </w:rPr>
              <w:t>包装容器</w:t>
            </w:r>
            <w:r>
              <w:rPr>
                <w:rFonts w:hint="eastAsia" w:ascii="Times New Roman" w:hAnsi="Times New Roman" w:eastAsia="宋体" w:cs="Times New Roman"/>
                <w:color w:val="auto"/>
                <w:kern w:val="0"/>
                <w:sz w:val="24"/>
                <w:szCs w:val="24"/>
                <w:lang w:val="en-US" w:eastAsia="zh-CN"/>
              </w:rPr>
              <w:t>生产项目</w:t>
            </w:r>
            <w:r>
              <w:rPr>
                <w:rFonts w:hint="default" w:ascii="Times New Roman" w:hAnsi="Times New Roman" w:eastAsia="宋体" w:cs="Times New Roman"/>
                <w:color w:val="auto"/>
                <w:kern w:val="0"/>
                <w:sz w:val="24"/>
                <w:szCs w:val="24"/>
                <w:lang w:val="en-US" w:eastAsia="zh-CN"/>
              </w:rPr>
              <w:t>，</w:t>
            </w:r>
            <w:r>
              <w:rPr>
                <w:rFonts w:hint="default" w:ascii="宋体" w:hAnsi="宋体" w:eastAsia="宋体" w:cs="宋体"/>
                <w:color w:val="auto"/>
                <w:sz w:val="24"/>
                <w:szCs w:val="24"/>
              </w:rPr>
              <w:t>产品为危废专用包装容器（IBC吨桶、HDPE</w:t>
            </w:r>
            <w:r>
              <w:rPr>
                <w:rFonts w:hint="eastAsia" w:ascii="宋体" w:hAnsi="宋体" w:eastAsia="宋体" w:cs="宋体"/>
                <w:color w:val="auto"/>
                <w:sz w:val="24"/>
                <w:szCs w:val="24"/>
                <w:lang w:val="en-US" w:eastAsia="zh-CN"/>
              </w:rPr>
              <w:t>200L</w:t>
            </w:r>
            <w:r>
              <w:rPr>
                <w:rFonts w:hint="default" w:ascii="宋体" w:hAnsi="宋体" w:eastAsia="宋体" w:cs="宋体"/>
                <w:color w:val="auto"/>
                <w:sz w:val="24"/>
                <w:szCs w:val="24"/>
              </w:rPr>
              <w:t>塑料桶），直接服务于企业自身危废收集、转运、暂存及处置全流程需求，同时可为园区内化工、冶金等企业提供合规的危废包装配套，属于危废处置产业链的上游配套环节</w:t>
            </w:r>
            <w:r>
              <w:rPr>
                <w:rFonts w:hint="eastAsia" w:ascii="宋体" w:hAnsi="宋体" w:cs="宋体"/>
                <w:color w:val="auto"/>
                <w:sz w:val="24"/>
                <w:szCs w:val="24"/>
                <w:lang w:eastAsia="zh-CN"/>
              </w:rPr>
              <w:t>，</w:t>
            </w:r>
            <w:r>
              <w:rPr>
                <w:rFonts w:hint="eastAsia" w:ascii="Times New Roman" w:hAnsi="Times New Roman" w:eastAsia="宋体" w:cs="Times New Roman"/>
                <w:color w:val="auto"/>
                <w:kern w:val="0"/>
                <w:sz w:val="24"/>
                <w:szCs w:val="24"/>
                <w:lang w:val="en-US" w:eastAsia="zh-CN"/>
              </w:rPr>
              <w:t>因此考虑到自身用量及周边市场销售准备实施本项目</w:t>
            </w:r>
            <w:r>
              <w:rPr>
                <w:rFonts w:hint="default" w:ascii="Times New Roman" w:hAnsi="Times New Roman" w:eastAsia="宋体" w:cs="Times New Roman"/>
                <w:color w:val="auto"/>
                <w:kern w:val="0"/>
                <w:sz w:val="24"/>
                <w:szCs w:val="24"/>
                <w:lang w:val="en-US" w:eastAsia="zh-CN"/>
              </w:rPr>
              <w:t>。</w:t>
            </w:r>
          </w:p>
          <w:p w14:paraId="1326B82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根据《建设项目环境影响评价分类管理名录（2021版）》（生态环境部令第16号），</w:t>
            </w:r>
            <w:r>
              <w:rPr>
                <w:rFonts w:hint="eastAsia" w:ascii="Times New Roman" w:hAnsi="Times New Roman" w:eastAsia="宋体" w:cs="Times New Roman"/>
                <w:color w:val="auto"/>
                <w:kern w:val="0"/>
                <w:sz w:val="24"/>
                <w:szCs w:val="24"/>
                <w:lang w:val="en-US" w:eastAsia="zh-CN"/>
              </w:rPr>
              <w:t>本项目</w:t>
            </w:r>
            <w:r>
              <w:rPr>
                <w:rFonts w:hint="default" w:ascii="Times New Roman" w:hAnsi="Times New Roman" w:eastAsia="宋体" w:cs="Times New Roman"/>
                <w:color w:val="auto"/>
                <w:kern w:val="0"/>
                <w:sz w:val="24"/>
                <w:szCs w:val="24"/>
                <w:lang w:val="en-US" w:eastAsia="zh-CN"/>
              </w:rPr>
              <w:t>属于“二十六、橡胶和塑料制品业—</w:t>
            </w:r>
            <w:r>
              <w:rPr>
                <w:rFonts w:hint="eastAsia" w:ascii="Times New Roman" w:hAnsi="Times New Roman" w:eastAsia="宋体" w:cs="Times New Roman"/>
                <w:color w:val="auto"/>
                <w:kern w:val="0"/>
                <w:sz w:val="24"/>
                <w:szCs w:val="24"/>
                <w:lang w:val="en-US" w:eastAsia="zh-CN"/>
              </w:rPr>
              <w:t>292</w:t>
            </w:r>
            <w:r>
              <w:rPr>
                <w:rFonts w:hint="default" w:ascii="Times New Roman" w:hAnsi="Times New Roman" w:eastAsia="宋体" w:cs="Times New Roman"/>
                <w:color w:val="auto"/>
                <w:kern w:val="0"/>
                <w:sz w:val="24"/>
                <w:szCs w:val="24"/>
                <w:lang w:val="en-US" w:eastAsia="zh-CN"/>
              </w:rPr>
              <w:t>塑料制品业—其他（年用非溶剂型低VOCs含量涂料10吨以下的除外）”，</w:t>
            </w:r>
            <w:r>
              <w:rPr>
                <w:rFonts w:hint="eastAsia" w:ascii="Times New Roman" w:hAnsi="Times New Roman" w:eastAsia="宋体" w:cs="Times New Roman"/>
                <w:color w:val="auto"/>
                <w:kern w:val="0"/>
                <w:sz w:val="24"/>
                <w:szCs w:val="24"/>
                <w:lang w:val="en-US" w:eastAsia="zh-CN"/>
              </w:rPr>
              <w:t>本项目</w:t>
            </w:r>
            <w:r>
              <w:rPr>
                <w:rFonts w:hint="default" w:ascii="Times New Roman" w:hAnsi="Times New Roman" w:eastAsia="宋体" w:cs="Times New Roman"/>
                <w:color w:val="auto"/>
                <w:kern w:val="0"/>
                <w:sz w:val="24"/>
                <w:szCs w:val="24"/>
                <w:lang w:val="en-US" w:eastAsia="zh-CN"/>
              </w:rPr>
              <w:t>需编制环境影响报告表。内蒙古美力坚清蓝危废处置有限公司计划在内蒙古美力坚清蓝危废处置有限公司处置区预留土地建设</w:t>
            </w:r>
            <w:r>
              <w:rPr>
                <w:rFonts w:hint="eastAsia" w:ascii="Times New Roman" w:hAnsi="Times New Roman" w:eastAsia="宋体" w:cs="Times New Roman"/>
                <w:color w:val="auto"/>
                <w:kern w:val="0"/>
                <w:sz w:val="24"/>
                <w:szCs w:val="24"/>
                <w:lang w:val="en-US" w:eastAsia="zh-CN"/>
              </w:rPr>
              <w:t>一座占地面积为</w:t>
            </w:r>
            <w:r>
              <w:rPr>
                <w:rFonts w:hint="default" w:ascii="Times New Roman" w:hAnsi="Times New Roman" w:eastAsia="宋体" w:cs="Times New Roman"/>
                <w:color w:val="auto"/>
                <w:kern w:val="0"/>
                <w:sz w:val="24"/>
                <w:szCs w:val="24"/>
                <w:lang w:val="en-US" w:eastAsia="zh-CN"/>
              </w:rPr>
              <w:t>5000m</w:t>
            </w:r>
            <w:r>
              <w:rPr>
                <w:rFonts w:hint="eastAsia" w:ascii="Times New Roman" w:hAnsi="Times New Roman" w:eastAsia="宋体" w:cs="Times New Roman"/>
                <w:color w:val="auto"/>
                <w:kern w:val="0"/>
                <w:sz w:val="24"/>
                <w:szCs w:val="24"/>
                <w:vertAlign w:val="superscript"/>
                <w:lang w:val="en-US" w:eastAsia="zh-CN"/>
              </w:rPr>
              <w:t>2</w:t>
            </w:r>
            <w:r>
              <w:rPr>
                <w:rFonts w:hint="eastAsia" w:ascii="Times New Roman" w:hAnsi="Times New Roman" w:eastAsia="宋体" w:cs="Times New Roman"/>
                <w:color w:val="auto"/>
                <w:kern w:val="0"/>
                <w:sz w:val="24"/>
                <w:szCs w:val="24"/>
                <w:lang w:val="en-US" w:eastAsia="zh-CN"/>
              </w:rPr>
              <w:t>的</w:t>
            </w:r>
            <w:r>
              <w:rPr>
                <w:rFonts w:hint="default" w:ascii="Times New Roman" w:hAnsi="Times New Roman" w:eastAsia="宋体" w:cs="Times New Roman"/>
                <w:color w:val="auto"/>
                <w:kern w:val="0"/>
                <w:sz w:val="24"/>
                <w:szCs w:val="24"/>
                <w:lang w:val="en-US" w:eastAsia="zh-CN"/>
              </w:rPr>
              <w:t>制桶车间，</w:t>
            </w:r>
            <w:r>
              <w:rPr>
                <w:rFonts w:hint="eastAsia" w:ascii="Times New Roman" w:hAnsi="Times New Roman" w:eastAsia="宋体" w:cs="Times New Roman"/>
                <w:color w:val="auto"/>
                <w:kern w:val="0"/>
                <w:sz w:val="24"/>
                <w:szCs w:val="24"/>
                <w:lang w:val="en-US" w:eastAsia="zh-CN"/>
              </w:rPr>
              <w:t>车间内建设两条生产线，一</w:t>
            </w:r>
            <w:r>
              <w:rPr>
                <w:rFonts w:hint="default" w:ascii="Times New Roman" w:hAnsi="Times New Roman" w:eastAsia="宋体" w:cs="Times New Roman"/>
                <w:color w:val="auto"/>
                <w:kern w:val="0"/>
                <w:sz w:val="24"/>
                <w:szCs w:val="24"/>
                <w:lang w:val="en-US" w:eastAsia="zh-CN"/>
              </w:rPr>
              <w:t>条生产线</w:t>
            </w:r>
            <w:r>
              <w:rPr>
                <w:rFonts w:hint="eastAsia" w:ascii="Times New Roman" w:hAnsi="Times New Roman" w:eastAsia="宋体" w:cs="Times New Roman"/>
                <w:color w:val="auto"/>
                <w:kern w:val="0"/>
                <w:sz w:val="24"/>
                <w:szCs w:val="24"/>
                <w:lang w:val="en-US" w:eastAsia="zh-CN"/>
              </w:rPr>
              <w:t>为8</w:t>
            </w:r>
            <w:r>
              <w:rPr>
                <w:rFonts w:hint="default" w:ascii="Times New Roman" w:hAnsi="Times New Roman" w:eastAsia="宋体" w:cs="Times New Roman"/>
                <w:color w:val="auto"/>
                <w:kern w:val="0"/>
                <w:sz w:val="24"/>
                <w:szCs w:val="24"/>
                <w:lang w:val="en-US" w:eastAsia="zh-CN"/>
              </w:rPr>
              <w:t>万只/年IBC吨桶</w:t>
            </w:r>
            <w:r>
              <w:rPr>
                <w:rFonts w:hint="eastAsia" w:ascii="Times New Roman" w:hAnsi="Times New Roman" w:eastAsia="宋体" w:cs="Times New Roman"/>
                <w:color w:val="auto"/>
                <w:kern w:val="0"/>
                <w:sz w:val="24"/>
                <w:szCs w:val="24"/>
                <w:lang w:val="en-US" w:eastAsia="zh-CN"/>
              </w:rPr>
              <w:t>生产线</w:t>
            </w:r>
            <w:r>
              <w:rPr>
                <w:rFonts w:hint="default" w:ascii="Times New Roman" w:hAnsi="Times New Roman" w:eastAsia="宋体"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另</w:t>
            </w:r>
            <w:r>
              <w:rPr>
                <w:rFonts w:hint="default" w:ascii="Times New Roman" w:hAnsi="Times New Roman" w:eastAsia="宋体" w:cs="Times New Roman"/>
                <w:color w:val="auto"/>
                <w:kern w:val="0"/>
                <w:sz w:val="24"/>
                <w:szCs w:val="24"/>
                <w:lang w:val="en-US" w:eastAsia="zh-CN"/>
              </w:rPr>
              <w:t>一条生产线</w:t>
            </w:r>
            <w:r>
              <w:rPr>
                <w:rFonts w:hint="eastAsia" w:ascii="Times New Roman" w:hAnsi="Times New Roman" w:eastAsia="宋体" w:cs="Times New Roman"/>
                <w:color w:val="auto"/>
                <w:kern w:val="0"/>
                <w:sz w:val="24"/>
                <w:szCs w:val="24"/>
                <w:lang w:val="en-US" w:eastAsia="zh-CN"/>
              </w:rPr>
              <w:t>为</w:t>
            </w:r>
            <w:r>
              <w:rPr>
                <w:rFonts w:hint="default" w:ascii="Times New Roman" w:hAnsi="Times New Roman" w:eastAsia="宋体" w:cs="Times New Roman"/>
                <w:color w:val="auto"/>
                <w:kern w:val="0"/>
                <w:sz w:val="24"/>
                <w:szCs w:val="24"/>
                <w:lang w:val="en-US" w:eastAsia="zh-CN"/>
              </w:rPr>
              <w:t>12万只/年HDPE200升塑料桶生产线。项目总投资300</w:t>
            </w:r>
            <w:r>
              <w:rPr>
                <w:rFonts w:hint="eastAsia" w:ascii="Times New Roman" w:hAnsi="Times New Roman" w:eastAsia="宋体" w:cs="Times New Roman"/>
                <w:color w:val="auto"/>
                <w:kern w:val="0"/>
                <w:sz w:val="24"/>
                <w:szCs w:val="24"/>
                <w:lang w:val="en-US" w:eastAsia="zh-CN"/>
              </w:rPr>
              <w:t>0</w:t>
            </w:r>
            <w:r>
              <w:rPr>
                <w:rFonts w:hint="default" w:ascii="Times New Roman" w:hAnsi="Times New Roman" w:eastAsia="宋体" w:cs="Times New Roman"/>
                <w:color w:val="auto"/>
                <w:kern w:val="0"/>
                <w:sz w:val="24"/>
                <w:szCs w:val="24"/>
                <w:lang w:val="en-US" w:eastAsia="zh-CN"/>
              </w:rPr>
              <w:t>万元，建成后可形成全厂年产</w:t>
            </w:r>
            <w:r>
              <w:rPr>
                <w:rFonts w:hint="eastAsia" w:ascii="Times New Roman" w:hAnsi="Times New Roman" w:eastAsia="宋体" w:cs="Times New Roman"/>
                <w:color w:val="auto"/>
                <w:kern w:val="0"/>
                <w:sz w:val="24"/>
                <w:szCs w:val="24"/>
                <w:lang w:val="en-US" w:eastAsia="zh-CN"/>
              </w:rPr>
              <w:t>8</w:t>
            </w:r>
            <w:r>
              <w:rPr>
                <w:rFonts w:hint="default" w:ascii="Times New Roman" w:hAnsi="Times New Roman" w:eastAsia="宋体" w:cs="Times New Roman"/>
                <w:color w:val="auto"/>
                <w:kern w:val="0"/>
                <w:sz w:val="24"/>
                <w:szCs w:val="24"/>
                <w:lang w:val="en-US" w:eastAsia="zh-CN"/>
              </w:rPr>
              <w:t>万只IBC吨桶</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12万只HDPE200升塑料桶的生产能力。</w:t>
            </w:r>
          </w:p>
          <w:p w14:paraId="102BBB2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2、项目概况</w:t>
            </w:r>
          </w:p>
          <w:p w14:paraId="670784F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项目名称：</w:t>
            </w:r>
            <w:r>
              <w:rPr>
                <w:rFonts w:hint="eastAsia" w:ascii="Times New Roman" w:hAnsi="Times New Roman" w:eastAsia="宋体" w:cs="Times New Roman"/>
                <w:color w:val="auto"/>
                <w:kern w:val="0"/>
                <w:sz w:val="24"/>
                <w:szCs w:val="24"/>
                <w:lang w:val="en-US" w:eastAsia="zh-CN"/>
              </w:rPr>
              <w:t>内蒙古美力坚清蓝危废处置有限公司20万只／年制桶项目</w:t>
            </w:r>
            <w:r>
              <w:rPr>
                <w:rFonts w:hint="default" w:ascii="Times New Roman" w:hAnsi="Times New Roman" w:eastAsia="宋体" w:cs="Times New Roman"/>
                <w:color w:val="auto"/>
                <w:kern w:val="0"/>
                <w:sz w:val="24"/>
                <w:szCs w:val="24"/>
                <w:lang w:val="en-US" w:eastAsia="zh-CN"/>
              </w:rPr>
              <w:t>；</w:t>
            </w:r>
          </w:p>
          <w:p w14:paraId="29756FE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建设单位：</w:t>
            </w:r>
            <w:r>
              <w:rPr>
                <w:rFonts w:hint="eastAsia" w:ascii="Times New Roman" w:hAnsi="Times New Roman" w:eastAsia="宋体" w:cs="Times New Roman"/>
                <w:color w:val="auto"/>
                <w:kern w:val="0"/>
                <w:sz w:val="24"/>
                <w:szCs w:val="24"/>
                <w:lang w:val="en-US" w:eastAsia="zh-CN"/>
              </w:rPr>
              <w:t>内蒙古美力坚清蓝危废处置有限公司</w:t>
            </w:r>
            <w:r>
              <w:rPr>
                <w:rFonts w:hint="default" w:ascii="Times New Roman" w:hAnsi="Times New Roman" w:eastAsia="宋体" w:cs="Times New Roman"/>
                <w:color w:val="auto"/>
                <w:kern w:val="0"/>
                <w:sz w:val="24"/>
                <w:szCs w:val="24"/>
                <w:lang w:val="en-US" w:eastAsia="zh-CN"/>
              </w:rPr>
              <w:t>；</w:t>
            </w:r>
          </w:p>
          <w:p w14:paraId="0FEC33F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建设地点：</w:t>
            </w:r>
            <w:r>
              <w:rPr>
                <w:rFonts w:hint="eastAsia" w:ascii="Times New Roman" w:hAnsi="Times New Roman" w:eastAsia="宋体" w:cs="Times New Roman"/>
                <w:color w:val="auto"/>
                <w:kern w:val="0"/>
                <w:sz w:val="24"/>
                <w:szCs w:val="24"/>
                <w:lang w:val="en-US" w:eastAsia="zh-CN"/>
              </w:rPr>
              <w:t>鄂托克高新技术产业开发区蒙西产业园内蒙古美力坚清蓝危废处置有限公司厂区内预留空地</w:t>
            </w:r>
            <w:r>
              <w:rPr>
                <w:rFonts w:hint="default" w:ascii="Times New Roman" w:hAnsi="Times New Roman" w:eastAsia="宋体" w:cs="Times New Roman"/>
                <w:color w:val="auto"/>
                <w:kern w:val="0"/>
                <w:sz w:val="24"/>
                <w:szCs w:val="24"/>
                <w:lang w:val="en-US" w:eastAsia="zh-CN"/>
              </w:rPr>
              <w:t>；</w:t>
            </w:r>
          </w:p>
          <w:p w14:paraId="066D9AC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建设性质：</w:t>
            </w:r>
            <w:r>
              <w:rPr>
                <w:rFonts w:hint="eastAsia" w:ascii="Times New Roman" w:hAnsi="Times New Roman" w:eastAsia="宋体" w:cs="Times New Roman"/>
                <w:color w:val="auto"/>
                <w:kern w:val="0"/>
                <w:sz w:val="24"/>
                <w:szCs w:val="24"/>
                <w:lang w:val="en-US" w:eastAsia="zh-CN"/>
              </w:rPr>
              <w:t>新建</w:t>
            </w:r>
            <w:r>
              <w:rPr>
                <w:rFonts w:hint="default" w:ascii="Times New Roman" w:hAnsi="Times New Roman" w:eastAsia="宋体" w:cs="Times New Roman"/>
                <w:color w:val="auto"/>
                <w:kern w:val="0"/>
                <w:sz w:val="24"/>
                <w:szCs w:val="24"/>
                <w:lang w:val="en-US" w:eastAsia="zh-CN"/>
              </w:rPr>
              <w:t>；</w:t>
            </w:r>
          </w:p>
          <w:p w14:paraId="5377300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项目投资：300</w:t>
            </w:r>
            <w:r>
              <w:rPr>
                <w:rFonts w:hint="eastAsia" w:ascii="Times New Roman" w:hAnsi="Times New Roman" w:eastAsia="宋体" w:cs="Times New Roman"/>
                <w:color w:val="auto"/>
                <w:kern w:val="0"/>
                <w:sz w:val="24"/>
                <w:szCs w:val="24"/>
                <w:lang w:val="en-US" w:eastAsia="zh-CN"/>
              </w:rPr>
              <w:t>0</w:t>
            </w:r>
            <w:r>
              <w:rPr>
                <w:rFonts w:hint="default" w:ascii="Times New Roman" w:hAnsi="Times New Roman" w:eastAsia="宋体" w:cs="Times New Roman"/>
                <w:color w:val="auto"/>
                <w:kern w:val="0"/>
                <w:sz w:val="24"/>
                <w:szCs w:val="24"/>
                <w:lang w:val="en-US" w:eastAsia="zh-CN"/>
              </w:rPr>
              <w:t>万元，其中环保投资</w:t>
            </w:r>
            <w:r>
              <w:rPr>
                <w:rFonts w:hint="eastAsia" w:ascii="Times New Roman" w:hAnsi="Times New Roman" w:eastAsia="宋体" w:cs="Times New Roman"/>
                <w:color w:val="auto"/>
                <w:kern w:val="0"/>
                <w:sz w:val="24"/>
                <w:szCs w:val="24"/>
                <w:lang w:val="en-US" w:eastAsia="zh-CN"/>
              </w:rPr>
              <w:t>150</w:t>
            </w:r>
            <w:r>
              <w:rPr>
                <w:rFonts w:hint="default" w:ascii="Times New Roman" w:hAnsi="Times New Roman" w:eastAsia="宋体" w:cs="Times New Roman"/>
                <w:color w:val="auto"/>
                <w:kern w:val="0"/>
                <w:sz w:val="24"/>
                <w:szCs w:val="24"/>
                <w:lang w:val="en-US" w:eastAsia="zh-CN"/>
              </w:rPr>
              <w:t>万元，占总投资的</w:t>
            </w:r>
            <w:r>
              <w:rPr>
                <w:rFonts w:hint="eastAsia" w:ascii="Times New Roman" w:hAnsi="Times New Roman" w:eastAsia="宋体" w:cs="Times New Roman"/>
                <w:color w:val="auto"/>
                <w:kern w:val="0"/>
                <w:sz w:val="24"/>
                <w:szCs w:val="24"/>
                <w:lang w:val="en-US" w:eastAsia="zh-CN"/>
              </w:rPr>
              <w:t>5</w:t>
            </w:r>
            <w:r>
              <w:rPr>
                <w:rFonts w:hint="default" w:ascii="Times New Roman" w:hAnsi="Times New Roman" w:eastAsia="宋体" w:cs="Times New Roman"/>
                <w:color w:val="auto"/>
                <w:kern w:val="0"/>
                <w:sz w:val="24"/>
                <w:szCs w:val="24"/>
                <w:lang w:val="en-US" w:eastAsia="zh-CN"/>
              </w:rPr>
              <w:t>%；</w:t>
            </w:r>
          </w:p>
          <w:p w14:paraId="13D1A14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建设规模及内容：项目位于</w:t>
            </w:r>
            <w:r>
              <w:rPr>
                <w:rFonts w:hint="eastAsia" w:ascii="Times New Roman" w:hAnsi="Times New Roman" w:eastAsia="宋体" w:cs="Times New Roman"/>
                <w:color w:val="auto"/>
                <w:kern w:val="0"/>
                <w:sz w:val="24"/>
                <w:szCs w:val="24"/>
                <w:lang w:val="en-US" w:eastAsia="zh-CN"/>
              </w:rPr>
              <w:t>鄂托克高新技术产业开发区蒙西产业园内蒙古美力坚清蓝危废处置有限公司厂区内</w:t>
            </w:r>
            <w:r>
              <w:rPr>
                <w:rFonts w:hint="default" w:ascii="Times New Roman" w:hAnsi="Times New Roman" w:eastAsia="宋体" w:cs="Times New Roman"/>
                <w:color w:val="auto"/>
                <w:kern w:val="0"/>
                <w:sz w:val="24"/>
                <w:szCs w:val="24"/>
                <w:lang w:val="en-US" w:eastAsia="zh-CN"/>
              </w:rPr>
              <w:t>，占地</w:t>
            </w:r>
            <w:r>
              <w:rPr>
                <w:rFonts w:hint="eastAsia" w:ascii="Times New Roman" w:hAnsi="Times New Roman" w:eastAsia="宋体" w:cs="Times New Roman"/>
                <w:color w:val="auto"/>
                <w:kern w:val="0"/>
                <w:sz w:val="24"/>
                <w:szCs w:val="24"/>
                <w:lang w:val="en-US" w:eastAsia="zh-CN"/>
              </w:rPr>
              <w:t>5000m</w:t>
            </w:r>
            <w:r>
              <w:rPr>
                <w:rFonts w:hint="eastAsia" w:ascii="Times New Roman" w:hAnsi="Times New Roman" w:eastAsia="宋体" w:cs="Times New Roman"/>
                <w:color w:val="auto"/>
                <w:kern w:val="0"/>
                <w:sz w:val="24"/>
                <w:szCs w:val="24"/>
                <w:vertAlign w:val="superscript"/>
                <w:lang w:val="en-US" w:eastAsia="zh-CN"/>
              </w:rPr>
              <w:t>2</w:t>
            </w:r>
            <w:r>
              <w:rPr>
                <w:rFonts w:hint="default" w:ascii="Times New Roman" w:hAnsi="Times New Roman" w:eastAsia="宋体" w:cs="Times New Roman"/>
                <w:color w:val="auto"/>
                <w:kern w:val="0"/>
                <w:sz w:val="24"/>
                <w:szCs w:val="24"/>
                <w:lang w:val="en-US" w:eastAsia="zh-CN"/>
              </w:rPr>
              <w:t>，新建</w:t>
            </w:r>
            <w:r>
              <w:rPr>
                <w:rFonts w:hint="eastAsia" w:ascii="Times New Roman" w:hAnsi="Times New Roman" w:eastAsia="宋体" w:cs="Times New Roman"/>
                <w:color w:val="auto"/>
                <w:kern w:val="0"/>
                <w:sz w:val="24"/>
                <w:szCs w:val="24"/>
                <w:lang w:val="en-US" w:eastAsia="zh-CN"/>
              </w:rPr>
              <w:t>生产车间一座（含原料间、生产间、成品间）</w:t>
            </w:r>
            <w:r>
              <w:rPr>
                <w:rFonts w:hint="default" w:ascii="Times New Roman" w:hAnsi="Times New Roman" w:eastAsia="宋体"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车间内建设两条生产线，一</w:t>
            </w:r>
            <w:r>
              <w:rPr>
                <w:rFonts w:hint="default" w:ascii="Times New Roman" w:hAnsi="Times New Roman" w:eastAsia="宋体" w:cs="Times New Roman"/>
                <w:color w:val="auto"/>
                <w:kern w:val="0"/>
                <w:sz w:val="24"/>
                <w:szCs w:val="24"/>
                <w:lang w:val="en-US" w:eastAsia="zh-CN"/>
              </w:rPr>
              <w:t>条生产线</w:t>
            </w:r>
            <w:r>
              <w:rPr>
                <w:rFonts w:hint="eastAsia" w:ascii="Times New Roman" w:hAnsi="Times New Roman" w:eastAsia="宋体" w:cs="Times New Roman"/>
                <w:color w:val="auto"/>
                <w:kern w:val="0"/>
                <w:sz w:val="24"/>
                <w:szCs w:val="24"/>
                <w:lang w:val="en-US" w:eastAsia="zh-CN"/>
              </w:rPr>
              <w:t>为8</w:t>
            </w:r>
            <w:r>
              <w:rPr>
                <w:rFonts w:hint="default" w:ascii="Times New Roman" w:hAnsi="Times New Roman" w:eastAsia="宋体" w:cs="Times New Roman"/>
                <w:color w:val="auto"/>
                <w:kern w:val="0"/>
                <w:sz w:val="24"/>
                <w:szCs w:val="24"/>
                <w:lang w:val="en-US" w:eastAsia="zh-CN"/>
              </w:rPr>
              <w:t>万只/年IBC吨桶</w:t>
            </w:r>
            <w:r>
              <w:rPr>
                <w:rFonts w:hint="eastAsia" w:ascii="Times New Roman" w:hAnsi="Times New Roman" w:eastAsia="宋体" w:cs="Times New Roman"/>
                <w:color w:val="auto"/>
                <w:kern w:val="0"/>
                <w:sz w:val="24"/>
                <w:szCs w:val="24"/>
                <w:lang w:val="en-US" w:eastAsia="zh-CN"/>
              </w:rPr>
              <w:t>生产线，另</w:t>
            </w:r>
            <w:r>
              <w:rPr>
                <w:rFonts w:hint="default" w:ascii="Times New Roman" w:hAnsi="Times New Roman" w:eastAsia="宋体" w:cs="Times New Roman"/>
                <w:color w:val="auto"/>
                <w:kern w:val="0"/>
                <w:sz w:val="24"/>
                <w:szCs w:val="24"/>
                <w:lang w:val="en-US" w:eastAsia="zh-CN"/>
              </w:rPr>
              <w:t>一条生产线</w:t>
            </w:r>
            <w:r>
              <w:rPr>
                <w:rFonts w:hint="eastAsia" w:ascii="Times New Roman" w:hAnsi="Times New Roman" w:eastAsia="宋体" w:cs="Times New Roman"/>
                <w:color w:val="auto"/>
                <w:kern w:val="0"/>
                <w:sz w:val="24"/>
                <w:szCs w:val="24"/>
                <w:lang w:val="en-US" w:eastAsia="zh-CN"/>
              </w:rPr>
              <w:t>为</w:t>
            </w:r>
            <w:r>
              <w:rPr>
                <w:rFonts w:hint="default" w:ascii="Times New Roman" w:hAnsi="Times New Roman" w:eastAsia="宋体" w:cs="Times New Roman"/>
                <w:color w:val="auto"/>
                <w:kern w:val="0"/>
                <w:sz w:val="24"/>
                <w:szCs w:val="24"/>
                <w:lang w:val="en-US" w:eastAsia="zh-CN"/>
              </w:rPr>
              <w:t>12万只/年HDPE200升塑料桶生产线。</w:t>
            </w:r>
          </w:p>
          <w:p w14:paraId="0CC6F4C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职工人数和工作制度：</w:t>
            </w:r>
            <w:r>
              <w:rPr>
                <w:rFonts w:hint="eastAsia" w:ascii="Times New Roman" w:hAnsi="Times New Roman" w:eastAsia="宋体" w:cs="Times New Roman"/>
                <w:color w:val="auto"/>
                <w:kern w:val="0"/>
                <w:sz w:val="24"/>
                <w:szCs w:val="24"/>
                <w:lang w:val="en-US" w:eastAsia="zh-CN"/>
              </w:rPr>
              <w:t>本项目新增劳动定员20人</w:t>
            </w:r>
            <w:r>
              <w:rPr>
                <w:rFonts w:hint="default" w:ascii="Times New Roman" w:hAnsi="Times New Roman" w:eastAsia="宋体" w:cs="Times New Roman"/>
                <w:color w:val="auto"/>
                <w:kern w:val="0"/>
                <w:sz w:val="24"/>
                <w:szCs w:val="24"/>
                <w:lang w:val="en-US" w:eastAsia="zh-CN"/>
              </w:rPr>
              <w:t>，两班制生产（部分工序三班），每班8小时，年工作300天</w:t>
            </w:r>
            <w:r>
              <w:rPr>
                <w:rFonts w:hint="eastAsia" w:ascii="Times New Roman" w:hAnsi="Times New Roman" w:eastAsia="宋体" w:cs="Times New Roman"/>
                <w:color w:val="auto"/>
                <w:kern w:val="0"/>
                <w:sz w:val="24"/>
                <w:szCs w:val="24"/>
                <w:lang w:val="en-US" w:eastAsia="zh-CN"/>
              </w:rPr>
              <w:t>（7200h）</w:t>
            </w:r>
            <w:r>
              <w:rPr>
                <w:rFonts w:hint="default" w:ascii="Times New Roman" w:hAnsi="Times New Roman" w:eastAsia="宋体" w:cs="Times New Roman"/>
                <w:color w:val="auto"/>
                <w:kern w:val="0"/>
                <w:sz w:val="24"/>
                <w:szCs w:val="24"/>
                <w:lang w:val="en-US" w:eastAsia="zh-CN"/>
              </w:rPr>
              <w:t>。</w:t>
            </w:r>
          </w:p>
          <w:p w14:paraId="31B197C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3、产品方案</w:t>
            </w:r>
          </w:p>
          <w:p w14:paraId="30B623F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项目组成表见表2-1，建成后</w:t>
            </w:r>
            <w:r>
              <w:rPr>
                <w:rFonts w:hint="eastAsia" w:ascii="Times New Roman" w:hAnsi="Times New Roman" w:eastAsia="宋体" w:cs="Times New Roman"/>
                <w:color w:val="auto"/>
                <w:kern w:val="0"/>
                <w:sz w:val="24"/>
                <w:szCs w:val="24"/>
                <w:lang w:val="en-US" w:eastAsia="zh-CN"/>
              </w:rPr>
              <w:t>本项目</w:t>
            </w:r>
            <w:r>
              <w:rPr>
                <w:rFonts w:hint="default" w:ascii="Times New Roman" w:hAnsi="Times New Roman" w:eastAsia="宋体" w:cs="Times New Roman"/>
                <w:color w:val="auto"/>
                <w:kern w:val="0"/>
                <w:sz w:val="24"/>
                <w:szCs w:val="24"/>
                <w:lang w:val="en-US" w:eastAsia="zh-CN"/>
              </w:rPr>
              <w:t>实现年产</w:t>
            </w:r>
            <w:r>
              <w:rPr>
                <w:rFonts w:hint="eastAsia" w:ascii="Times New Roman" w:hAnsi="Times New Roman" w:eastAsia="宋体" w:cs="Times New Roman"/>
                <w:color w:val="auto"/>
                <w:kern w:val="0"/>
                <w:sz w:val="24"/>
                <w:szCs w:val="24"/>
                <w:lang w:val="en-US" w:eastAsia="zh-CN"/>
              </w:rPr>
              <w:t>8</w:t>
            </w:r>
            <w:r>
              <w:rPr>
                <w:rFonts w:hint="default" w:ascii="Times New Roman" w:hAnsi="Times New Roman" w:eastAsia="宋体" w:cs="Times New Roman"/>
                <w:color w:val="auto"/>
                <w:kern w:val="0"/>
                <w:sz w:val="24"/>
                <w:szCs w:val="24"/>
                <w:lang w:val="en-US" w:eastAsia="zh-CN"/>
              </w:rPr>
              <w:t>万只IBC吨桶</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12万只HDPE200升塑料桶的生产能力。产品方案见表2-2。</w:t>
            </w:r>
          </w:p>
          <w:p w14:paraId="0E949B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表2-1项目组成表</w:t>
            </w:r>
          </w:p>
          <w:tbl>
            <w:tblPr>
              <w:tblStyle w:val="24"/>
              <w:tblW w:w="496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5"/>
              <w:gridCol w:w="527"/>
              <w:gridCol w:w="1052"/>
              <w:gridCol w:w="5994"/>
              <w:gridCol w:w="488"/>
            </w:tblGrid>
            <w:tr w14:paraId="5DF30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89" w:type="pct"/>
                  <w:noWrap w:val="0"/>
                  <w:vAlign w:val="center"/>
                </w:tcPr>
                <w:p w14:paraId="5A5822C7">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工程</w:t>
                  </w:r>
                </w:p>
                <w:p w14:paraId="6B9DE8C2">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类别</w:t>
                  </w:r>
                </w:p>
              </w:tc>
              <w:tc>
                <w:tcPr>
                  <w:tcW w:w="922" w:type="pct"/>
                  <w:gridSpan w:val="2"/>
                  <w:noWrap w:val="0"/>
                  <w:vAlign w:val="center"/>
                </w:tcPr>
                <w:p w14:paraId="5527FB3B">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工程名称</w:t>
                  </w:r>
                </w:p>
              </w:tc>
              <w:tc>
                <w:tcPr>
                  <w:tcW w:w="3502" w:type="pct"/>
                  <w:noWrap w:val="0"/>
                  <w:vAlign w:val="center"/>
                </w:tcPr>
                <w:p w14:paraId="747FE9C3">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工程主要建设内容</w:t>
                  </w:r>
                </w:p>
              </w:tc>
              <w:tc>
                <w:tcPr>
                  <w:tcW w:w="285" w:type="pct"/>
                  <w:noWrap w:val="0"/>
                  <w:vAlign w:val="center"/>
                </w:tcPr>
                <w:p w14:paraId="068B3410">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w:t>
                  </w:r>
                </w:p>
              </w:tc>
            </w:tr>
            <w:tr w14:paraId="58A73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8" w:hRule="atLeast"/>
                <w:jc w:val="center"/>
              </w:trPr>
              <w:tc>
                <w:tcPr>
                  <w:tcW w:w="289" w:type="pct"/>
                  <w:noWrap w:val="0"/>
                  <w:vAlign w:val="center"/>
                </w:tcPr>
                <w:p w14:paraId="743D07D7">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主体</w:t>
                  </w:r>
                </w:p>
                <w:p w14:paraId="44EC9460">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工程</w:t>
                  </w:r>
                </w:p>
              </w:tc>
              <w:tc>
                <w:tcPr>
                  <w:tcW w:w="922" w:type="pct"/>
                  <w:gridSpan w:val="2"/>
                  <w:noWrap w:val="0"/>
                  <w:vAlign w:val="center"/>
                </w:tcPr>
                <w:p w14:paraId="7E376F25">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生产车间</w:t>
                  </w:r>
                </w:p>
              </w:tc>
              <w:tc>
                <w:tcPr>
                  <w:tcW w:w="3502" w:type="pct"/>
                  <w:noWrap w:val="0"/>
                  <w:vAlign w:val="center"/>
                </w:tcPr>
                <w:p w14:paraId="53274B0D">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占地面积5000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（含原料库1、原料库2、辅料库、金属材料库、部件库、生产间、成品库），设置200L包装桶生产线1条，生产规模12万只/a；设置IBC吨桶生产线1条，生产规模8万只/a。</w:t>
                  </w:r>
                  <w:r>
                    <w:rPr>
                      <w:rFonts w:hint="default" w:ascii="Times New Roman" w:hAnsi="Times New Roman" w:eastAsia="宋体" w:cs="Times New Roman"/>
                      <w:color w:val="auto"/>
                      <w:sz w:val="21"/>
                      <w:szCs w:val="21"/>
                      <w:lang w:val="en-US" w:eastAsia="zh-CN"/>
                    </w:rPr>
                    <w:t>主要设备有中空吹塑机、</w:t>
                  </w:r>
                  <w:r>
                    <w:rPr>
                      <w:rFonts w:hint="eastAsia" w:ascii="Times New Roman" w:hAnsi="Times New Roman" w:eastAsia="宋体" w:cs="Times New Roman"/>
                      <w:color w:val="auto"/>
                      <w:sz w:val="21"/>
                      <w:szCs w:val="21"/>
                      <w:lang w:val="en-US" w:eastAsia="zh-CN"/>
                    </w:rPr>
                    <w:t>钢管</w:t>
                  </w:r>
                  <w:r>
                    <w:rPr>
                      <w:rFonts w:hint="default" w:ascii="Times New Roman" w:hAnsi="Times New Roman" w:eastAsia="宋体" w:cs="Times New Roman"/>
                      <w:color w:val="auto"/>
                      <w:sz w:val="21"/>
                      <w:szCs w:val="21"/>
                      <w:lang w:val="en-US" w:eastAsia="zh-CN"/>
                    </w:rPr>
                    <w:t>数控切割设备、破碎机</w:t>
                  </w:r>
                  <w:r>
                    <w:rPr>
                      <w:rFonts w:hint="eastAsia" w:ascii="Times New Roman" w:hAnsi="Times New Roman" w:eastAsia="宋体" w:cs="Times New Roman"/>
                      <w:color w:val="auto"/>
                      <w:sz w:val="21"/>
                      <w:szCs w:val="21"/>
                      <w:lang w:val="en-US" w:eastAsia="zh-CN"/>
                    </w:rPr>
                    <w:t>、上料机</w:t>
                  </w:r>
                  <w:r>
                    <w:rPr>
                      <w:rFonts w:hint="default" w:ascii="Times New Roman" w:hAnsi="Times New Roman" w:eastAsia="宋体" w:cs="Times New Roman"/>
                      <w:color w:val="auto"/>
                      <w:sz w:val="21"/>
                      <w:szCs w:val="21"/>
                      <w:lang w:val="en-US" w:eastAsia="zh-CN"/>
                    </w:rPr>
                    <w:t>等。</w:t>
                  </w:r>
                </w:p>
              </w:tc>
              <w:tc>
                <w:tcPr>
                  <w:tcW w:w="285" w:type="pct"/>
                  <w:noWrap w:val="0"/>
                  <w:vAlign w:val="center"/>
                </w:tcPr>
                <w:p w14:paraId="0CDD6AE8">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14:paraId="638EC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jc w:val="center"/>
              </w:trPr>
              <w:tc>
                <w:tcPr>
                  <w:tcW w:w="289" w:type="pct"/>
                  <w:vMerge w:val="restart"/>
                  <w:noWrap w:val="0"/>
                  <w:vAlign w:val="center"/>
                </w:tcPr>
                <w:p w14:paraId="2C74EA9F">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储运</w:t>
                  </w:r>
                </w:p>
                <w:p w14:paraId="11B827D5">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工程</w:t>
                  </w:r>
                </w:p>
              </w:tc>
              <w:tc>
                <w:tcPr>
                  <w:tcW w:w="308" w:type="pct"/>
                  <w:vMerge w:val="restart"/>
                  <w:noWrap w:val="0"/>
                  <w:vAlign w:val="center"/>
                </w:tcPr>
                <w:p w14:paraId="315CBC57">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原料库</w:t>
                  </w:r>
                </w:p>
              </w:tc>
              <w:tc>
                <w:tcPr>
                  <w:tcW w:w="614" w:type="pct"/>
                  <w:noWrap w:val="0"/>
                  <w:vAlign w:val="center"/>
                </w:tcPr>
                <w:p w14:paraId="4B2F71EA">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原料库1</w:t>
                  </w:r>
                </w:p>
              </w:tc>
              <w:tc>
                <w:tcPr>
                  <w:tcW w:w="3502" w:type="pct"/>
                  <w:noWrap w:val="0"/>
                  <w:vAlign w:val="center"/>
                </w:tcPr>
                <w:p w14:paraId="1535B03C">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位于新建生产车间内</w:t>
                  </w:r>
                  <w:r>
                    <w:rPr>
                      <w:rFonts w:hint="eastAsia" w:ascii="Times New Roman" w:hAnsi="Times New Roman" w:eastAsia="宋体" w:cs="Times New Roman"/>
                      <w:color w:val="auto"/>
                      <w:sz w:val="21"/>
                      <w:szCs w:val="21"/>
                      <w:lang w:val="en-US" w:eastAsia="zh-CN"/>
                    </w:rPr>
                    <w:t>，面积400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，主要储存</w:t>
                  </w:r>
                  <w:r>
                    <w:rPr>
                      <w:rFonts w:hint="default" w:ascii="Times New Roman" w:hAnsi="Times New Roman" w:eastAsia="宋体" w:cs="Times New Roman"/>
                      <w:color w:val="auto"/>
                      <w:sz w:val="21"/>
                      <w:szCs w:val="21"/>
                      <w:lang w:val="en-US" w:eastAsia="zh-CN"/>
                    </w:rPr>
                    <w:t>HDPE</w:t>
                  </w:r>
                  <w:r>
                    <w:rPr>
                      <w:rFonts w:hint="eastAsia" w:ascii="Times New Roman" w:hAnsi="Times New Roman" w:eastAsia="宋体" w:cs="Times New Roman"/>
                      <w:color w:val="auto"/>
                      <w:sz w:val="21"/>
                      <w:szCs w:val="21"/>
                      <w:lang w:val="en-US" w:eastAsia="zh-CN"/>
                    </w:rPr>
                    <w:t>原料。</w:t>
                  </w:r>
                </w:p>
              </w:tc>
              <w:tc>
                <w:tcPr>
                  <w:tcW w:w="285" w:type="pct"/>
                  <w:vMerge w:val="restart"/>
                  <w:noWrap w:val="0"/>
                  <w:vAlign w:val="center"/>
                </w:tcPr>
                <w:p w14:paraId="15CC8381">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14:paraId="575CB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289" w:type="pct"/>
                  <w:vMerge w:val="continue"/>
                  <w:noWrap w:val="0"/>
                  <w:vAlign w:val="center"/>
                </w:tcPr>
                <w:p w14:paraId="321EC567">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lang w:val="en-US" w:eastAsia="zh-CN"/>
                    </w:rPr>
                  </w:pPr>
                </w:p>
              </w:tc>
              <w:tc>
                <w:tcPr>
                  <w:tcW w:w="308" w:type="pct"/>
                  <w:vMerge w:val="continue"/>
                  <w:noWrap w:val="0"/>
                  <w:vAlign w:val="center"/>
                </w:tcPr>
                <w:p w14:paraId="61916AA5">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lang w:val="en-US" w:eastAsia="zh-CN"/>
                    </w:rPr>
                  </w:pPr>
                </w:p>
              </w:tc>
              <w:tc>
                <w:tcPr>
                  <w:tcW w:w="614" w:type="pct"/>
                  <w:noWrap w:val="0"/>
                  <w:vAlign w:val="center"/>
                </w:tcPr>
                <w:p w14:paraId="379A0710">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原料库2</w:t>
                  </w:r>
                </w:p>
              </w:tc>
              <w:tc>
                <w:tcPr>
                  <w:tcW w:w="3502" w:type="pct"/>
                  <w:noWrap w:val="0"/>
                  <w:vAlign w:val="center"/>
                </w:tcPr>
                <w:p w14:paraId="795E13D8">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位于新建生产车间内</w:t>
                  </w:r>
                  <w:r>
                    <w:rPr>
                      <w:rFonts w:hint="eastAsia" w:ascii="Times New Roman" w:hAnsi="Times New Roman" w:eastAsia="宋体" w:cs="Times New Roman"/>
                      <w:color w:val="auto"/>
                      <w:sz w:val="21"/>
                      <w:szCs w:val="21"/>
                      <w:lang w:val="en-US" w:eastAsia="zh-CN"/>
                    </w:rPr>
                    <w:t>，面积200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，主要储存</w:t>
                  </w:r>
                  <w:r>
                    <w:rPr>
                      <w:rFonts w:hint="default" w:ascii="Times New Roman" w:hAnsi="Times New Roman" w:eastAsia="宋体" w:cs="Times New Roman"/>
                      <w:color w:val="auto"/>
                      <w:sz w:val="21"/>
                      <w:szCs w:val="21"/>
                      <w:lang w:val="en-US" w:eastAsia="zh-CN"/>
                    </w:rPr>
                    <w:t>破碎料、回料、色母粒</w:t>
                  </w:r>
                  <w:r>
                    <w:rPr>
                      <w:rFonts w:hint="eastAsia" w:ascii="Times New Roman" w:hAnsi="Times New Roman" w:eastAsia="宋体" w:cs="Times New Roman"/>
                      <w:color w:val="auto"/>
                      <w:sz w:val="21"/>
                      <w:szCs w:val="21"/>
                      <w:lang w:val="en-US" w:eastAsia="zh-CN"/>
                    </w:rPr>
                    <w:t>、助剂等。</w:t>
                  </w:r>
                </w:p>
              </w:tc>
              <w:tc>
                <w:tcPr>
                  <w:tcW w:w="285" w:type="pct"/>
                  <w:vMerge w:val="continue"/>
                  <w:noWrap w:val="0"/>
                  <w:vAlign w:val="center"/>
                </w:tcPr>
                <w:p w14:paraId="255D4E30">
                  <w:pPr>
                    <w:pStyle w:val="7"/>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lang w:val="en-US" w:eastAsia="zh-CN"/>
                    </w:rPr>
                  </w:pPr>
                </w:p>
              </w:tc>
            </w:tr>
            <w:tr w14:paraId="18BF4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289" w:type="pct"/>
                  <w:vMerge w:val="continue"/>
                  <w:noWrap w:val="0"/>
                  <w:vAlign w:val="center"/>
                </w:tcPr>
                <w:p w14:paraId="330CFA89">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5687C98A">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辅料库</w:t>
                  </w:r>
                </w:p>
              </w:tc>
              <w:tc>
                <w:tcPr>
                  <w:tcW w:w="3502" w:type="pct"/>
                  <w:noWrap w:val="0"/>
                  <w:vAlign w:val="center"/>
                </w:tcPr>
                <w:p w14:paraId="55D50E62">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位于新建生产车间内</w:t>
                  </w:r>
                  <w:r>
                    <w:rPr>
                      <w:rFonts w:hint="eastAsia" w:ascii="Times New Roman" w:hAnsi="Times New Roman" w:eastAsia="宋体" w:cs="Times New Roman"/>
                      <w:color w:val="auto"/>
                      <w:sz w:val="21"/>
                      <w:szCs w:val="21"/>
                      <w:lang w:val="en-US" w:eastAsia="zh-CN"/>
                    </w:rPr>
                    <w:t>，面积80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，主要储存</w:t>
                  </w:r>
                  <w:r>
                    <w:rPr>
                      <w:rFonts w:hint="default" w:ascii="Times New Roman" w:hAnsi="Times New Roman" w:eastAsia="宋体" w:cs="Times New Roman"/>
                      <w:color w:val="auto"/>
                      <w:sz w:val="21"/>
                      <w:szCs w:val="21"/>
                      <w:lang w:val="en-US" w:eastAsia="zh-CN"/>
                    </w:rPr>
                    <w:t>润滑油、打包带、缠绕膜、标签、合格证等</w:t>
                  </w:r>
                  <w:r>
                    <w:rPr>
                      <w:rFonts w:hint="eastAsia" w:ascii="Times New Roman" w:hAnsi="Times New Roman" w:eastAsia="宋体" w:cs="Times New Roman"/>
                      <w:color w:val="auto"/>
                      <w:sz w:val="21"/>
                      <w:szCs w:val="21"/>
                      <w:lang w:val="en-US" w:eastAsia="zh-CN"/>
                    </w:rPr>
                    <w:t>。</w:t>
                  </w:r>
                </w:p>
              </w:tc>
              <w:tc>
                <w:tcPr>
                  <w:tcW w:w="285" w:type="pct"/>
                  <w:noWrap w:val="0"/>
                  <w:vAlign w:val="center"/>
                </w:tcPr>
                <w:p w14:paraId="0B805DD5">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14:paraId="73B2F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289" w:type="pct"/>
                  <w:vMerge w:val="continue"/>
                  <w:noWrap w:val="0"/>
                  <w:vAlign w:val="center"/>
                </w:tcPr>
                <w:p w14:paraId="06344677">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4DC9449F">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金属材料库</w:t>
                  </w:r>
                </w:p>
              </w:tc>
              <w:tc>
                <w:tcPr>
                  <w:tcW w:w="3502" w:type="pct"/>
                  <w:noWrap w:val="0"/>
                  <w:vAlign w:val="center"/>
                </w:tcPr>
                <w:p w14:paraId="77F9B92B">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位于新建生产车间内</w:t>
                  </w:r>
                  <w:r>
                    <w:rPr>
                      <w:rFonts w:hint="eastAsia" w:ascii="Times New Roman" w:hAnsi="Times New Roman" w:eastAsia="宋体" w:cs="Times New Roman"/>
                      <w:color w:val="auto"/>
                      <w:sz w:val="21"/>
                      <w:szCs w:val="21"/>
                      <w:lang w:val="en-US" w:eastAsia="zh-CN"/>
                    </w:rPr>
                    <w:t>，面积800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，主要储存</w:t>
                  </w:r>
                  <w:r>
                    <w:rPr>
                      <w:rFonts w:hint="default" w:ascii="Times New Roman" w:hAnsi="Times New Roman" w:eastAsia="宋体" w:cs="Times New Roman"/>
                      <w:color w:val="auto"/>
                      <w:sz w:val="21"/>
                      <w:szCs w:val="21"/>
                      <w:lang w:val="en-US" w:eastAsia="zh-CN"/>
                    </w:rPr>
                    <w:t>把手铁丝、提手、螺丝、</w:t>
                  </w:r>
                  <w:r>
                    <w:rPr>
                      <w:rFonts w:hint="eastAsia" w:ascii="Times New Roman" w:hAnsi="Times New Roman" w:eastAsia="宋体" w:cs="Times New Roman"/>
                      <w:color w:val="auto"/>
                      <w:sz w:val="21"/>
                      <w:szCs w:val="21"/>
                      <w:lang w:val="en-US" w:eastAsia="zh-CN"/>
                    </w:rPr>
                    <w:t>钢材</w:t>
                  </w:r>
                  <w:r>
                    <w:rPr>
                      <w:rFonts w:hint="default" w:ascii="Times New Roman" w:hAnsi="Times New Roman" w:eastAsia="宋体" w:cs="Times New Roman"/>
                      <w:color w:val="auto"/>
                      <w:sz w:val="21"/>
                      <w:szCs w:val="21"/>
                      <w:lang w:val="en-US" w:eastAsia="zh-CN"/>
                    </w:rPr>
                    <w:t>等</w:t>
                  </w:r>
                  <w:r>
                    <w:rPr>
                      <w:rFonts w:hint="eastAsia" w:ascii="Times New Roman" w:hAnsi="Times New Roman" w:eastAsia="宋体" w:cs="Times New Roman"/>
                      <w:color w:val="auto"/>
                      <w:sz w:val="21"/>
                      <w:szCs w:val="21"/>
                      <w:lang w:val="en-US" w:eastAsia="zh-CN"/>
                    </w:rPr>
                    <w:t>。</w:t>
                  </w:r>
                </w:p>
              </w:tc>
              <w:tc>
                <w:tcPr>
                  <w:tcW w:w="285" w:type="pct"/>
                  <w:noWrap w:val="0"/>
                  <w:vAlign w:val="center"/>
                </w:tcPr>
                <w:p w14:paraId="2DC39053">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14:paraId="4FBD1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289" w:type="pct"/>
                  <w:vMerge w:val="continue"/>
                  <w:noWrap w:val="0"/>
                  <w:vAlign w:val="center"/>
                </w:tcPr>
                <w:p w14:paraId="1A0465FD">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62AC89EE">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部件库</w:t>
                  </w:r>
                </w:p>
              </w:tc>
              <w:tc>
                <w:tcPr>
                  <w:tcW w:w="3502" w:type="pct"/>
                  <w:noWrap w:val="0"/>
                  <w:vAlign w:val="center"/>
                </w:tcPr>
                <w:p w14:paraId="7B76CA40">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位于新建生产车间内</w:t>
                  </w:r>
                  <w:r>
                    <w:rPr>
                      <w:rFonts w:hint="eastAsia" w:ascii="Times New Roman" w:hAnsi="Times New Roman" w:eastAsia="宋体" w:cs="Times New Roman"/>
                      <w:color w:val="auto"/>
                      <w:sz w:val="21"/>
                      <w:szCs w:val="21"/>
                      <w:lang w:val="en-US" w:eastAsia="zh-CN"/>
                    </w:rPr>
                    <w:t>，面积300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，主要储存</w:t>
                  </w:r>
                  <w:r>
                    <w:rPr>
                      <w:rFonts w:hint="default" w:ascii="Times New Roman" w:hAnsi="Times New Roman" w:eastAsia="宋体" w:cs="Times New Roman"/>
                      <w:color w:val="auto"/>
                      <w:sz w:val="21"/>
                      <w:szCs w:val="21"/>
                      <w:lang w:val="en-US" w:eastAsia="zh-CN"/>
                    </w:rPr>
                    <w:t>桶盖（成品件）、密封圈（成品件）、提手（成品件）、阀门（成品件）</w:t>
                  </w:r>
                  <w:r>
                    <w:rPr>
                      <w:rFonts w:hint="eastAsia" w:ascii="Times New Roman" w:hAnsi="Times New Roman" w:eastAsia="宋体" w:cs="Times New Roman"/>
                      <w:color w:val="auto"/>
                      <w:sz w:val="21"/>
                      <w:szCs w:val="21"/>
                      <w:lang w:val="en-US" w:eastAsia="zh-CN"/>
                    </w:rPr>
                    <w:t>。</w:t>
                  </w:r>
                </w:p>
              </w:tc>
              <w:tc>
                <w:tcPr>
                  <w:tcW w:w="285" w:type="pct"/>
                  <w:noWrap w:val="0"/>
                  <w:vAlign w:val="center"/>
                </w:tcPr>
                <w:p w14:paraId="54A32B3D">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14:paraId="24A47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289" w:type="pct"/>
                  <w:vMerge w:val="continue"/>
                  <w:noWrap w:val="0"/>
                  <w:vAlign w:val="center"/>
                </w:tcPr>
                <w:p w14:paraId="54ACB227">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shd w:val="clear" w:color="auto" w:fill="auto"/>
                  <w:noWrap w:val="0"/>
                  <w:vAlign w:val="center"/>
                </w:tcPr>
                <w:p w14:paraId="1206094E">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成品库</w:t>
                  </w:r>
                </w:p>
              </w:tc>
              <w:tc>
                <w:tcPr>
                  <w:tcW w:w="3502" w:type="pct"/>
                  <w:shd w:val="clear" w:color="auto" w:fill="auto"/>
                  <w:noWrap w:val="0"/>
                  <w:vAlign w:val="center"/>
                </w:tcPr>
                <w:p w14:paraId="2EEA813A">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位于新建生产车间内</w:t>
                  </w:r>
                  <w:r>
                    <w:rPr>
                      <w:rFonts w:hint="eastAsia" w:ascii="Times New Roman" w:hAnsi="Times New Roman" w:eastAsia="宋体" w:cs="Times New Roman"/>
                      <w:color w:val="auto"/>
                      <w:sz w:val="21"/>
                      <w:szCs w:val="21"/>
                      <w:lang w:val="en-US" w:eastAsia="zh-CN"/>
                    </w:rPr>
                    <w:t>，面积约1500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，用于储存</w:t>
                  </w:r>
                  <w:r>
                    <w:rPr>
                      <w:rFonts w:hint="default" w:ascii="Times New Roman" w:hAnsi="Times New Roman" w:eastAsia="宋体" w:cs="Times New Roman"/>
                      <w:color w:val="auto"/>
                      <w:sz w:val="21"/>
                      <w:szCs w:val="21"/>
                      <w:lang w:val="en-US" w:eastAsia="zh-CN"/>
                    </w:rPr>
                    <w:t>IBC桶、200L桶</w:t>
                  </w:r>
                  <w:r>
                    <w:rPr>
                      <w:rFonts w:hint="eastAsia" w:ascii="Times New Roman" w:hAnsi="Times New Roman" w:eastAsia="宋体" w:cs="Times New Roman"/>
                      <w:color w:val="auto"/>
                      <w:sz w:val="21"/>
                      <w:szCs w:val="21"/>
                      <w:lang w:val="en-US" w:eastAsia="zh-CN"/>
                    </w:rPr>
                    <w:t>。</w:t>
                  </w:r>
                </w:p>
              </w:tc>
              <w:tc>
                <w:tcPr>
                  <w:tcW w:w="285" w:type="pct"/>
                  <w:noWrap w:val="0"/>
                  <w:vAlign w:val="center"/>
                </w:tcPr>
                <w:p w14:paraId="5801DCBD">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14:paraId="29C8C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jc w:val="center"/>
              </w:trPr>
              <w:tc>
                <w:tcPr>
                  <w:tcW w:w="289" w:type="pct"/>
                  <w:vMerge w:val="restart"/>
                  <w:noWrap w:val="0"/>
                  <w:vAlign w:val="center"/>
                </w:tcPr>
                <w:p w14:paraId="45C2E319">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公用</w:t>
                  </w:r>
                </w:p>
                <w:p w14:paraId="5638CCF1">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工程</w:t>
                  </w:r>
                </w:p>
              </w:tc>
              <w:tc>
                <w:tcPr>
                  <w:tcW w:w="922" w:type="pct"/>
                  <w:gridSpan w:val="2"/>
                  <w:shd w:val="clear" w:color="auto" w:fill="auto"/>
                  <w:noWrap w:val="0"/>
                  <w:vAlign w:val="center"/>
                </w:tcPr>
                <w:p w14:paraId="23AC1617">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办公楼</w:t>
                  </w:r>
                </w:p>
              </w:tc>
              <w:tc>
                <w:tcPr>
                  <w:tcW w:w="3502" w:type="pct"/>
                  <w:shd w:val="clear" w:color="auto" w:fill="auto"/>
                  <w:noWrap w:val="0"/>
                  <w:vAlign w:val="center"/>
                </w:tcPr>
                <w:p w14:paraId="0C920426">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办公楼位于场区南侧，占地面积583.44m</w:t>
                  </w:r>
                  <w:r>
                    <w:rPr>
                      <w:rFonts w:hint="default" w:ascii="Times New Roman" w:hAnsi="Times New Roman" w:eastAsia="宋体" w:cs="Times New Roman"/>
                      <w:color w:val="auto"/>
                      <w:kern w:val="0"/>
                      <w:sz w:val="21"/>
                      <w:szCs w:val="21"/>
                      <w:vertAlign w:val="superscript"/>
                      <w:lang w:val="en-US" w:eastAsia="zh-CN"/>
                    </w:rPr>
                    <w:t>2</w:t>
                  </w:r>
                  <w:r>
                    <w:rPr>
                      <w:rFonts w:hint="default" w:ascii="Times New Roman" w:hAnsi="Times New Roman" w:eastAsia="宋体" w:cs="Times New Roman"/>
                      <w:color w:val="auto"/>
                      <w:kern w:val="0"/>
                      <w:sz w:val="21"/>
                      <w:szCs w:val="21"/>
                      <w:lang w:val="en-US" w:eastAsia="zh-CN"/>
                    </w:rPr>
                    <w:t>，2层，钢筋混凝土结构，主要包括办公室、会议室、中控室、展厅、接待室、档案室、食堂等。</w:t>
                  </w:r>
                </w:p>
              </w:tc>
              <w:tc>
                <w:tcPr>
                  <w:tcW w:w="285" w:type="pct"/>
                  <w:shd w:val="clear" w:color="auto" w:fill="auto"/>
                  <w:noWrap w:val="0"/>
                  <w:vAlign w:val="center"/>
                </w:tcPr>
                <w:p w14:paraId="68B702F1">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依托</w:t>
                  </w:r>
                </w:p>
              </w:tc>
            </w:tr>
            <w:tr w14:paraId="78148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jc w:val="center"/>
              </w:trPr>
              <w:tc>
                <w:tcPr>
                  <w:tcW w:w="289" w:type="pct"/>
                  <w:vMerge w:val="continue"/>
                  <w:noWrap w:val="0"/>
                  <w:vAlign w:val="center"/>
                </w:tcPr>
                <w:p w14:paraId="374BDC4B">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308" w:type="pct"/>
                  <w:vMerge w:val="restart"/>
                  <w:noWrap w:val="0"/>
                  <w:vAlign w:val="center"/>
                </w:tcPr>
                <w:p w14:paraId="1DB1004F">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供水工程</w:t>
                  </w:r>
                </w:p>
              </w:tc>
              <w:tc>
                <w:tcPr>
                  <w:tcW w:w="614" w:type="pct"/>
                  <w:noWrap w:val="0"/>
                  <w:vAlign w:val="center"/>
                </w:tcPr>
                <w:p w14:paraId="1CF41A2F">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水源及用水量</w:t>
                  </w:r>
                </w:p>
              </w:tc>
              <w:tc>
                <w:tcPr>
                  <w:tcW w:w="3502" w:type="pct"/>
                  <w:noWrap w:val="0"/>
                  <w:vAlign w:val="center"/>
                </w:tcPr>
                <w:p w14:paraId="63D019A2">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依托园区供水管网</w:t>
                  </w:r>
                  <w:r>
                    <w:rPr>
                      <w:rFonts w:hint="eastAsia" w:ascii="Times New Roman" w:hAnsi="Times New Roman" w:eastAsia="宋体" w:cs="Times New Roman"/>
                      <w:color w:val="auto"/>
                      <w:sz w:val="21"/>
                      <w:szCs w:val="21"/>
                      <w:lang w:val="en-US" w:eastAsia="zh-CN"/>
                    </w:rPr>
                    <w:t>，新鲜水总用水量为</w:t>
                  </w:r>
                  <w:r>
                    <w:rPr>
                      <w:rFonts w:hint="eastAsia" w:ascii="Times New Roman" w:hAnsi="Times New Roman" w:eastAsia="宋体" w:cs="Times New Roman"/>
                      <w:color w:val="auto"/>
                      <w:sz w:val="21"/>
                      <w:szCs w:val="21"/>
                      <w:lang w:val="en-US" w:eastAsia="zh-CN"/>
                    </w:rPr>
                    <w:t>2.</w:t>
                  </w:r>
                  <w:r>
                    <w:rPr>
                      <w:rFonts w:hint="eastAsia" w:ascii="Times New Roman" w:hAnsi="Times New Roman" w:cs="Times New Roman"/>
                      <w:color w:val="auto"/>
                      <w:sz w:val="21"/>
                      <w:szCs w:val="21"/>
                      <w:lang w:val="en-US" w:eastAsia="zh-CN"/>
                    </w:rPr>
                    <w:t>7</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kern w:val="0"/>
                      <w:sz w:val="21"/>
                      <w:szCs w:val="21"/>
                      <w:lang w:val="en-US" w:eastAsia="zh-CN"/>
                    </w:rPr>
                    <w:t>/d</w:t>
                  </w:r>
                  <w:r>
                    <w:rPr>
                      <w:rFonts w:hint="eastAsia" w:ascii="Times New Roman" w:hAnsi="Times New Roman" w:eastAsia="宋体" w:cs="Times New Roman"/>
                      <w:color w:val="auto"/>
                      <w:kern w:val="0"/>
                      <w:sz w:val="21"/>
                      <w:szCs w:val="21"/>
                      <w:lang w:val="en-US" w:eastAsia="zh-CN"/>
                    </w:rPr>
                    <w:t>。</w:t>
                  </w:r>
                </w:p>
              </w:tc>
              <w:tc>
                <w:tcPr>
                  <w:tcW w:w="285" w:type="pct"/>
                  <w:vMerge w:val="restart"/>
                  <w:noWrap w:val="0"/>
                  <w:vAlign w:val="center"/>
                </w:tcPr>
                <w:p w14:paraId="69FD29D7">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依托</w:t>
                  </w:r>
                </w:p>
              </w:tc>
            </w:tr>
            <w:tr w14:paraId="3366F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89" w:type="pct"/>
                  <w:vMerge w:val="continue"/>
                  <w:noWrap w:val="0"/>
                  <w:vAlign w:val="center"/>
                </w:tcPr>
                <w:p w14:paraId="58063E05">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308" w:type="pct"/>
                  <w:vMerge w:val="continue"/>
                  <w:noWrap w:val="0"/>
                  <w:vAlign w:val="center"/>
                </w:tcPr>
                <w:p w14:paraId="554621E4">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614" w:type="pct"/>
                  <w:noWrap w:val="0"/>
                  <w:vAlign w:val="center"/>
                </w:tcPr>
                <w:p w14:paraId="6DFF0906">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生活用水</w:t>
                  </w:r>
                </w:p>
              </w:tc>
              <w:tc>
                <w:tcPr>
                  <w:tcW w:w="3502" w:type="pct"/>
                  <w:noWrap w:val="0"/>
                  <w:vAlign w:val="center"/>
                </w:tcPr>
                <w:p w14:paraId="376C12AB">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依托园区供水管网</w:t>
                  </w:r>
                  <w:r>
                    <w:rPr>
                      <w:rFonts w:hint="eastAsia" w:ascii="Times New Roman" w:hAnsi="Times New Roman" w:eastAsia="宋体" w:cs="Times New Roman"/>
                      <w:color w:val="auto"/>
                      <w:sz w:val="21"/>
                      <w:szCs w:val="21"/>
                      <w:lang w:val="en-US" w:eastAsia="zh-CN"/>
                    </w:rPr>
                    <w:t>，生活用水量为</w:t>
                  </w:r>
                  <w:r>
                    <w:rPr>
                      <w:rFonts w:hint="eastAsia" w:ascii="Times New Roman" w:hAnsi="Times New Roman" w:eastAsia="宋体" w:cs="Times New Roman"/>
                      <w:color w:val="auto"/>
                      <w:sz w:val="21"/>
                      <w:szCs w:val="21"/>
                      <w:lang w:val="en-US" w:eastAsia="zh-CN"/>
                    </w:rPr>
                    <w:t>1.</w:t>
                  </w:r>
                  <w:r>
                    <w:rPr>
                      <w:rFonts w:hint="eastAsia" w:ascii="Times New Roman" w:hAnsi="Times New Roman"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kern w:val="0"/>
                      <w:sz w:val="21"/>
                      <w:szCs w:val="21"/>
                      <w:lang w:val="en-US" w:eastAsia="zh-CN"/>
                    </w:rPr>
                    <w:t>/d</w:t>
                  </w:r>
                  <w:r>
                    <w:rPr>
                      <w:rFonts w:hint="eastAsia" w:ascii="Times New Roman" w:hAnsi="Times New Roman" w:eastAsia="宋体" w:cs="Times New Roman"/>
                      <w:color w:val="auto"/>
                      <w:kern w:val="0"/>
                      <w:sz w:val="21"/>
                      <w:szCs w:val="21"/>
                      <w:lang w:val="en-US" w:eastAsia="zh-CN"/>
                    </w:rPr>
                    <w:t>。</w:t>
                  </w:r>
                </w:p>
              </w:tc>
              <w:tc>
                <w:tcPr>
                  <w:tcW w:w="285" w:type="pct"/>
                  <w:vMerge w:val="continue"/>
                  <w:noWrap w:val="0"/>
                  <w:vAlign w:val="center"/>
                </w:tcPr>
                <w:p w14:paraId="18213B8F">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rPr>
                  </w:pPr>
                </w:p>
              </w:tc>
            </w:tr>
            <w:tr w14:paraId="7E566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289" w:type="pct"/>
                  <w:vMerge w:val="continue"/>
                  <w:noWrap w:val="0"/>
                  <w:vAlign w:val="center"/>
                </w:tcPr>
                <w:p w14:paraId="0F55B30C">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308" w:type="pct"/>
                  <w:vMerge w:val="continue"/>
                  <w:noWrap w:val="0"/>
                  <w:vAlign w:val="center"/>
                </w:tcPr>
                <w:p w14:paraId="5C70E517">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614" w:type="pct"/>
                  <w:noWrap w:val="0"/>
                  <w:vAlign w:val="center"/>
                </w:tcPr>
                <w:p w14:paraId="1EA40480">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循环补水</w:t>
                  </w:r>
                </w:p>
              </w:tc>
              <w:tc>
                <w:tcPr>
                  <w:tcW w:w="3502" w:type="pct"/>
                  <w:noWrap w:val="0"/>
                  <w:vAlign w:val="center"/>
                </w:tcPr>
                <w:p w14:paraId="04D94A6C">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依托园区供水管网</w:t>
                  </w:r>
                  <w:r>
                    <w:rPr>
                      <w:rFonts w:hint="eastAsia" w:ascii="Times New Roman" w:hAnsi="Times New Roman" w:eastAsia="宋体" w:cs="Times New Roman"/>
                      <w:color w:val="auto"/>
                      <w:sz w:val="21"/>
                      <w:szCs w:val="21"/>
                      <w:lang w:val="en-US" w:eastAsia="zh-CN"/>
                    </w:rPr>
                    <w:t>，循环冷却补水量为1.18</w:t>
                  </w:r>
                  <w:r>
                    <w:rPr>
                      <w:rFonts w:hint="default"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kern w:val="0"/>
                      <w:sz w:val="21"/>
                      <w:szCs w:val="21"/>
                      <w:lang w:val="en-US" w:eastAsia="zh-CN"/>
                    </w:rPr>
                    <w:t>/d</w:t>
                  </w:r>
                  <w:r>
                    <w:rPr>
                      <w:rFonts w:hint="eastAsia" w:ascii="Times New Roman" w:hAnsi="Times New Roman" w:eastAsia="宋体" w:cs="Times New Roman"/>
                      <w:color w:val="auto"/>
                      <w:sz w:val="21"/>
                      <w:szCs w:val="21"/>
                      <w:lang w:val="en-US" w:eastAsia="zh-CN"/>
                    </w:rPr>
                    <w:t>。</w:t>
                  </w:r>
                </w:p>
              </w:tc>
              <w:tc>
                <w:tcPr>
                  <w:tcW w:w="285" w:type="pct"/>
                  <w:vMerge w:val="continue"/>
                  <w:noWrap w:val="0"/>
                  <w:vAlign w:val="center"/>
                </w:tcPr>
                <w:p w14:paraId="27684D6E">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rPr>
                  </w:pPr>
                </w:p>
              </w:tc>
            </w:tr>
            <w:tr w14:paraId="2B4FD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jc w:val="center"/>
              </w:trPr>
              <w:tc>
                <w:tcPr>
                  <w:tcW w:w="289" w:type="pct"/>
                  <w:vMerge w:val="continue"/>
                  <w:noWrap w:val="0"/>
                  <w:vAlign w:val="center"/>
                </w:tcPr>
                <w:p w14:paraId="6A9CFF4F">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7381E52A">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排水工程</w:t>
                  </w:r>
                </w:p>
              </w:tc>
              <w:tc>
                <w:tcPr>
                  <w:tcW w:w="3502" w:type="pct"/>
                  <w:noWrap w:val="0"/>
                  <w:vAlign w:val="center"/>
                </w:tcPr>
                <w:p w14:paraId="75AF5636">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依托现有厂区污水处理站，设计</w:t>
                  </w:r>
                  <w:r>
                    <w:rPr>
                      <w:rFonts w:hint="default" w:ascii="Times New Roman" w:hAnsi="Times New Roman" w:eastAsia="宋体"/>
                      <w:color w:val="auto"/>
                      <w:sz w:val="21"/>
                      <w:szCs w:val="21"/>
                      <w:highlight w:val="none"/>
                    </w:rPr>
                    <w:t>处理规模</w:t>
                  </w:r>
                  <w:r>
                    <w:rPr>
                      <w:rFonts w:hint="default" w:ascii="Times New Roman" w:hAnsi="Times New Roman" w:eastAsia="宋体" w:cs="Times New Roman"/>
                      <w:color w:val="auto"/>
                      <w:sz w:val="21"/>
                      <w:szCs w:val="21"/>
                      <w:lang w:val="en-US" w:eastAsia="zh-CN"/>
                    </w:rPr>
                    <w:t>为</w:t>
                  </w:r>
                  <w:r>
                    <w:rPr>
                      <w:rFonts w:hint="eastAsia" w:ascii="Times New Roman" w:hAnsi="Times New Roman" w:eastAsia="宋体" w:cs="Times New Roman"/>
                      <w:color w:val="auto"/>
                      <w:sz w:val="21"/>
                      <w:szCs w:val="21"/>
                      <w:lang w:val="en-US" w:eastAsia="zh-CN"/>
                    </w:rPr>
                    <w:t>200</w:t>
                  </w:r>
                  <w:r>
                    <w:rPr>
                      <w:rFonts w:hint="default"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sz w:val="21"/>
                      <w:szCs w:val="21"/>
                      <w:lang w:val="en-US" w:eastAsia="zh-CN"/>
                    </w:rPr>
                    <w:t>d</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lang w:val="en-US" w:eastAsia="zh-CN" w:bidi="ar-SA"/>
                    </w:rPr>
                    <w:t>厂区建有一座有效容积为1000</w:t>
                  </w:r>
                  <w:r>
                    <w:rPr>
                      <w:rFonts w:hint="default"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kern w:val="0"/>
                      <w:sz w:val="21"/>
                      <w:szCs w:val="21"/>
                      <w:lang w:val="en-US" w:eastAsia="zh-CN" w:bidi="ar-SA"/>
                    </w:rPr>
                    <w:t>的事故水池兼做消防废水收集池。</w:t>
                  </w:r>
                </w:p>
              </w:tc>
              <w:tc>
                <w:tcPr>
                  <w:tcW w:w="285" w:type="pct"/>
                  <w:noWrap w:val="0"/>
                  <w:vAlign w:val="center"/>
                </w:tcPr>
                <w:p w14:paraId="014CFF15">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依托</w:t>
                  </w:r>
                </w:p>
              </w:tc>
            </w:tr>
            <w:tr w14:paraId="0ED1D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289" w:type="pct"/>
                  <w:vMerge w:val="continue"/>
                  <w:noWrap w:val="0"/>
                  <w:vAlign w:val="center"/>
                </w:tcPr>
                <w:p w14:paraId="19270EB7">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4A98B691">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供电工程</w:t>
                  </w:r>
                </w:p>
              </w:tc>
              <w:tc>
                <w:tcPr>
                  <w:tcW w:w="3502" w:type="pct"/>
                  <w:noWrap w:val="0"/>
                  <w:vAlign w:val="center"/>
                </w:tcPr>
                <w:p w14:paraId="3876189E">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依托园区供电管网</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kern w:val="0"/>
                      <w:sz w:val="21"/>
                      <w:szCs w:val="21"/>
                      <w:lang w:val="en-US" w:eastAsia="zh-CN"/>
                    </w:rPr>
                    <w:t>年用电量为</w:t>
                  </w:r>
                  <w:r>
                    <w:rPr>
                      <w:rFonts w:hint="eastAsia" w:ascii="Times New Roman" w:hAnsi="Times New Roman" w:eastAsia="宋体" w:cs="Times New Roman"/>
                      <w:color w:val="auto"/>
                      <w:kern w:val="0"/>
                      <w:sz w:val="21"/>
                      <w:szCs w:val="21"/>
                      <w:lang w:val="en-US" w:eastAsia="zh-CN"/>
                    </w:rPr>
                    <w:t>320</w:t>
                  </w:r>
                  <w:r>
                    <w:rPr>
                      <w:rFonts w:hint="default" w:ascii="Times New Roman" w:hAnsi="Times New Roman" w:eastAsia="宋体" w:cs="Times New Roman"/>
                      <w:color w:val="auto"/>
                      <w:kern w:val="0"/>
                      <w:sz w:val="21"/>
                      <w:szCs w:val="21"/>
                      <w:lang w:val="en-US" w:eastAsia="zh-CN"/>
                    </w:rPr>
                    <w:t>万kWh</w:t>
                  </w:r>
                  <w:r>
                    <w:rPr>
                      <w:rFonts w:hint="eastAsia" w:ascii="Times New Roman" w:hAnsi="Times New Roman" w:eastAsia="宋体" w:cs="Times New Roman"/>
                      <w:color w:val="auto"/>
                      <w:kern w:val="0"/>
                      <w:sz w:val="21"/>
                      <w:szCs w:val="21"/>
                      <w:lang w:val="en-US" w:eastAsia="zh-CN"/>
                    </w:rPr>
                    <w:t>。</w:t>
                  </w:r>
                </w:p>
              </w:tc>
              <w:tc>
                <w:tcPr>
                  <w:tcW w:w="285" w:type="pct"/>
                  <w:noWrap w:val="0"/>
                  <w:vAlign w:val="center"/>
                </w:tcPr>
                <w:p w14:paraId="0EF8E921">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依托</w:t>
                  </w:r>
                </w:p>
              </w:tc>
            </w:tr>
            <w:tr w14:paraId="5CC8B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jc w:val="center"/>
              </w:trPr>
              <w:tc>
                <w:tcPr>
                  <w:tcW w:w="289" w:type="pct"/>
                  <w:vMerge w:val="continue"/>
                  <w:noWrap w:val="0"/>
                  <w:vAlign w:val="center"/>
                </w:tcPr>
                <w:p w14:paraId="7F0852FA">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4591327A">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供暖工程</w:t>
                  </w:r>
                </w:p>
              </w:tc>
              <w:tc>
                <w:tcPr>
                  <w:tcW w:w="3502" w:type="pct"/>
                  <w:noWrap w:val="0"/>
                  <w:vAlign w:val="center"/>
                </w:tcPr>
                <w:p w14:paraId="2ACC3916">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rPr>
                    <w:t>本项目冬季采暖热媒由</w:t>
                  </w:r>
                  <w:r>
                    <w:rPr>
                      <w:rFonts w:hint="eastAsia" w:ascii="Times New Roman" w:hAnsi="Times New Roman" w:eastAsia="宋体" w:cs="Times New Roman"/>
                      <w:color w:val="auto"/>
                      <w:kern w:val="0"/>
                      <w:sz w:val="21"/>
                      <w:szCs w:val="21"/>
                      <w:lang w:val="en-US" w:eastAsia="zh-CN"/>
                    </w:rPr>
                    <w:t>厂区现有</w:t>
                  </w:r>
                  <w:r>
                    <w:rPr>
                      <w:rFonts w:hint="default" w:ascii="Times New Roman" w:hAnsi="Times New Roman" w:eastAsia="宋体" w:cs="Times New Roman"/>
                      <w:color w:val="auto"/>
                      <w:kern w:val="0"/>
                      <w:sz w:val="21"/>
                      <w:szCs w:val="21"/>
                      <w:lang w:val="en-US" w:eastAsia="zh-CN"/>
                    </w:rPr>
                    <w:t>焚烧余热锅炉汽水换热器</w:t>
                  </w:r>
                  <w:r>
                    <w:rPr>
                      <w:rFonts w:hint="eastAsia" w:ascii="Times New Roman" w:hAnsi="Times New Roman" w:eastAsia="宋体" w:cs="Times New Roman"/>
                      <w:color w:val="auto"/>
                      <w:kern w:val="0"/>
                      <w:sz w:val="21"/>
                      <w:szCs w:val="21"/>
                      <w:lang w:val="en-US" w:eastAsia="zh-CN"/>
                    </w:rPr>
                    <w:t>产生</w:t>
                  </w:r>
                  <w:r>
                    <w:rPr>
                      <w:rFonts w:hint="default" w:ascii="Times New Roman" w:hAnsi="Times New Roman" w:eastAsia="宋体" w:cs="Times New Roman"/>
                      <w:color w:val="auto"/>
                      <w:kern w:val="0"/>
                      <w:sz w:val="21"/>
                      <w:szCs w:val="21"/>
                      <w:lang w:val="en-US" w:eastAsia="zh-CN"/>
                    </w:rPr>
                    <w:t>的热水</w:t>
                  </w:r>
                  <w:r>
                    <w:rPr>
                      <w:rFonts w:hint="eastAsia" w:ascii="Times New Roman" w:hAnsi="Times New Roman" w:eastAsia="宋体" w:cs="Times New Roman"/>
                      <w:color w:val="auto"/>
                      <w:kern w:val="0"/>
                      <w:sz w:val="21"/>
                      <w:szCs w:val="21"/>
                      <w:lang w:val="en-US" w:eastAsia="zh-CN"/>
                    </w:rPr>
                    <w:t>供给。</w:t>
                  </w:r>
                </w:p>
              </w:tc>
              <w:tc>
                <w:tcPr>
                  <w:tcW w:w="285" w:type="pct"/>
                  <w:noWrap w:val="0"/>
                  <w:vAlign w:val="center"/>
                </w:tcPr>
                <w:p w14:paraId="7E513379">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依托</w:t>
                  </w:r>
                </w:p>
              </w:tc>
            </w:tr>
            <w:tr w14:paraId="6F13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289" w:type="pct"/>
                  <w:vMerge w:val="continue"/>
                  <w:noWrap w:val="0"/>
                  <w:vAlign w:val="center"/>
                </w:tcPr>
                <w:p w14:paraId="5566C9C3">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2F1A5806">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highlight w:val="none"/>
                      <w:lang w:val="en-US" w:eastAsia="zh-CN"/>
                    </w:rPr>
                    <w:t>循环冷却系统</w:t>
                  </w:r>
                </w:p>
              </w:tc>
              <w:tc>
                <w:tcPr>
                  <w:tcW w:w="3502" w:type="pct"/>
                  <w:noWrap w:val="0"/>
                  <w:vAlign w:val="center"/>
                </w:tcPr>
                <w:p w14:paraId="14061CA9">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循环冷却系统依托厂区现有系统，设计总循环水量为200m</w:t>
                  </w:r>
                  <w:r>
                    <w:rPr>
                      <w:rFonts w:hint="eastAsia" w:ascii="Times New Roman" w:hAnsi="Times New Roman" w:eastAsia="宋体" w:cs="Times New Roman"/>
                      <w:color w:val="auto"/>
                      <w:kern w:val="0"/>
                      <w:sz w:val="21"/>
                      <w:szCs w:val="21"/>
                      <w:vertAlign w:val="superscript"/>
                      <w:lang w:val="en-US" w:eastAsia="zh-CN"/>
                    </w:rPr>
                    <w:t>3</w:t>
                  </w:r>
                  <w:r>
                    <w:rPr>
                      <w:rFonts w:hint="eastAsia" w:ascii="Times New Roman" w:hAnsi="Times New Roman" w:eastAsia="宋体" w:cs="Times New Roman"/>
                      <w:color w:val="auto"/>
                      <w:kern w:val="0"/>
                      <w:sz w:val="21"/>
                      <w:szCs w:val="21"/>
                      <w:lang w:val="en-US" w:eastAsia="zh-CN"/>
                    </w:rPr>
                    <w:t>/d。</w:t>
                  </w:r>
                </w:p>
              </w:tc>
              <w:tc>
                <w:tcPr>
                  <w:tcW w:w="285" w:type="pct"/>
                  <w:noWrap w:val="0"/>
                  <w:vAlign w:val="center"/>
                </w:tcPr>
                <w:p w14:paraId="6A089EF9">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依托</w:t>
                  </w:r>
                </w:p>
              </w:tc>
            </w:tr>
            <w:tr w14:paraId="61C47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289" w:type="pct"/>
                  <w:vMerge w:val="continue"/>
                  <w:noWrap w:val="0"/>
                  <w:vAlign w:val="center"/>
                </w:tcPr>
                <w:p w14:paraId="360FA30E">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0D2C85D3">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危废库</w:t>
                  </w:r>
                </w:p>
              </w:tc>
              <w:tc>
                <w:tcPr>
                  <w:tcW w:w="3502" w:type="pct"/>
                  <w:noWrap w:val="0"/>
                  <w:vAlign w:val="center"/>
                </w:tcPr>
                <w:p w14:paraId="262D9F62">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color w:val="auto"/>
                      <w:sz w:val="21"/>
                      <w:szCs w:val="21"/>
                      <w:lang w:val="en-US" w:eastAsia="zh-CN"/>
                    </w:rPr>
                    <w:t>厂区现建有</w:t>
                  </w:r>
                  <w:r>
                    <w:rPr>
                      <w:rFonts w:hint="eastAsia" w:ascii="Times New Roman" w:hAnsi="Times New Roman" w:eastAsia="宋体"/>
                      <w:color w:val="auto"/>
                      <w:sz w:val="21"/>
                      <w:szCs w:val="21"/>
                      <w:lang w:val="en-US" w:eastAsia="zh-CN"/>
                    </w:rPr>
                    <w:t>2座1407.6</w:t>
                  </w:r>
                  <w:r>
                    <w:rPr>
                      <w:rFonts w:hint="default" w:ascii="Times New Roman" w:hAnsi="Times New Roman" w:eastAsia="宋体"/>
                      <w:color w:val="auto"/>
                      <w:sz w:val="21"/>
                      <w:szCs w:val="21"/>
                      <w:highlight w:val="none"/>
                    </w:rPr>
                    <w:t>m</w:t>
                  </w:r>
                  <w:r>
                    <w:rPr>
                      <w:rFonts w:hint="default" w:ascii="Times New Roman" w:hAnsi="Times New Roman" w:eastAsia="宋体"/>
                      <w:color w:val="auto"/>
                      <w:sz w:val="21"/>
                      <w:szCs w:val="21"/>
                      <w:highlight w:val="none"/>
                      <w:vertAlign w:val="superscript"/>
                    </w:rPr>
                    <w:t>2</w:t>
                  </w:r>
                  <w:r>
                    <w:rPr>
                      <w:rFonts w:hint="eastAsia" w:ascii="Times New Roman" w:hAnsi="Times New Roman" w:eastAsia="宋体" w:cs="Times New Roman"/>
                      <w:b w:val="0"/>
                      <w:bCs w:val="0"/>
                      <w:color w:val="auto"/>
                      <w:sz w:val="21"/>
                      <w:szCs w:val="21"/>
                      <w:lang w:val="en-US" w:eastAsia="zh-CN"/>
                    </w:rPr>
                    <w:t>、</w:t>
                  </w:r>
                  <w:r>
                    <w:rPr>
                      <w:rFonts w:hint="eastAsia" w:ascii="Times New Roman" w:hAnsi="Times New Roman" w:eastAsia="宋体"/>
                      <w:color w:val="auto"/>
                      <w:sz w:val="21"/>
                      <w:szCs w:val="21"/>
                      <w:lang w:val="en-US" w:eastAsia="zh-CN"/>
                    </w:rPr>
                    <w:t>2座</w:t>
                  </w:r>
                  <w:r>
                    <w:rPr>
                      <w:rFonts w:hint="default" w:ascii="Times New Roman" w:hAnsi="Times New Roman" w:eastAsia="宋体"/>
                      <w:color w:val="auto"/>
                      <w:sz w:val="21"/>
                      <w:szCs w:val="21"/>
                      <w:highlight w:val="none"/>
                    </w:rPr>
                    <w:t>245.7m</w:t>
                  </w:r>
                  <w:r>
                    <w:rPr>
                      <w:rFonts w:hint="default" w:ascii="Times New Roman" w:hAnsi="Times New Roman" w:eastAsia="宋体"/>
                      <w:color w:val="auto"/>
                      <w:sz w:val="21"/>
                      <w:szCs w:val="21"/>
                      <w:highlight w:val="none"/>
                      <w:vertAlign w:val="superscript"/>
                    </w:rPr>
                    <w:t>2</w:t>
                  </w:r>
                  <w:r>
                    <w:rPr>
                      <w:rFonts w:hint="eastAsia" w:ascii="Times New Roman" w:hAnsi="Times New Roman" w:eastAsia="宋体" w:cs="Times New Roman"/>
                      <w:b w:val="0"/>
                      <w:bCs w:val="0"/>
                      <w:color w:val="auto"/>
                      <w:sz w:val="21"/>
                      <w:szCs w:val="21"/>
                      <w:lang w:val="en-US" w:eastAsia="zh-CN"/>
                    </w:rPr>
                    <w:t>、</w:t>
                  </w:r>
                  <w:r>
                    <w:rPr>
                      <w:rFonts w:hint="eastAsia" w:ascii="Times New Roman" w:hAnsi="Times New Roman" w:eastAsia="宋体"/>
                      <w:color w:val="auto"/>
                      <w:sz w:val="21"/>
                      <w:szCs w:val="21"/>
                      <w:highlight w:val="none"/>
                      <w:vertAlign w:val="baseline"/>
                      <w:lang w:val="en-US" w:eastAsia="zh-CN"/>
                    </w:rPr>
                    <w:t>1</w:t>
                  </w:r>
                  <w:r>
                    <w:rPr>
                      <w:rFonts w:hint="eastAsia" w:ascii="Times New Roman" w:hAnsi="Times New Roman" w:eastAsia="宋体"/>
                      <w:color w:val="auto"/>
                      <w:sz w:val="21"/>
                      <w:szCs w:val="21"/>
                      <w:lang w:val="en-US" w:eastAsia="zh-CN"/>
                    </w:rPr>
                    <w:t>座1190</w:t>
                  </w:r>
                  <w:r>
                    <w:rPr>
                      <w:rFonts w:hint="default" w:ascii="Times New Roman" w:hAnsi="Times New Roman" w:eastAsia="宋体"/>
                      <w:color w:val="auto"/>
                      <w:sz w:val="21"/>
                      <w:szCs w:val="21"/>
                      <w:highlight w:val="none"/>
                    </w:rPr>
                    <w:t>m</w:t>
                  </w:r>
                  <w:r>
                    <w:rPr>
                      <w:rFonts w:hint="default" w:ascii="Times New Roman" w:hAnsi="Times New Roman" w:eastAsia="宋体"/>
                      <w:color w:val="auto"/>
                      <w:sz w:val="21"/>
                      <w:szCs w:val="21"/>
                      <w:highlight w:val="none"/>
                      <w:vertAlign w:val="superscript"/>
                    </w:rPr>
                    <w:t>2</w:t>
                  </w:r>
                  <w:r>
                    <w:rPr>
                      <w:rFonts w:hint="eastAsia" w:ascii="Times New Roman" w:hAnsi="Times New Roman" w:eastAsia="宋体" w:cs="Times New Roman"/>
                      <w:b w:val="0"/>
                      <w:bCs w:val="0"/>
                      <w:color w:val="auto"/>
                      <w:sz w:val="21"/>
                      <w:szCs w:val="21"/>
                      <w:lang w:val="en-US" w:eastAsia="zh-CN"/>
                    </w:rPr>
                    <w:t>的</w:t>
                  </w:r>
                  <w:r>
                    <w:rPr>
                      <w:rFonts w:hint="eastAsia" w:ascii="Times New Roman" w:hAnsi="Times New Roman" w:eastAsia="宋体" w:cs="Times New Roman"/>
                      <w:b w:val="0"/>
                      <w:bCs w:val="0"/>
                      <w:color w:val="auto"/>
                      <w:sz w:val="21"/>
                      <w:szCs w:val="21"/>
                      <w:vertAlign w:val="baseline"/>
                      <w:lang w:val="en-US" w:eastAsia="zh-CN"/>
                    </w:rPr>
                    <w:t>危废暂存库。</w:t>
                  </w:r>
                </w:p>
              </w:tc>
              <w:tc>
                <w:tcPr>
                  <w:tcW w:w="285" w:type="pct"/>
                  <w:noWrap w:val="0"/>
                  <w:vAlign w:val="center"/>
                </w:tcPr>
                <w:p w14:paraId="48D1A132">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依托</w:t>
                  </w:r>
                </w:p>
              </w:tc>
            </w:tr>
            <w:tr w14:paraId="1EA85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3" w:hRule="atLeast"/>
                <w:jc w:val="center"/>
              </w:trPr>
              <w:tc>
                <w:tcPr>
                  <w:tcW w:w="289" w:type="pct"/>
                  <w:vMerge w:val="restart"/>
                  <w:noWrap w:val="0"/>
                  <w:vAlign w:val="center"/>
                </w:tcPr>
                <w:p w14:paraId="2B3C3A53">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环保工程</w:t>
                  </w:r>
                </w:p>
              </w:tc>
              <w:tc>
                <w:tcPr>
                  <w:tcW w:w="922" w:type="pct"/>
                  <w:gridSpan w:val="2"/>
                  <w:noWrap w:val="0"/>
                  <w:vAlign w:val="center"/>
                </w:tcPr>
                <w:p w14:paraId="584F27C4">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w:t>
                  </w:r>
                </w:p>
              </w:tc>
              <w:tc>
                <w:tcPr>
                  <w:tcW w:w="3502" w:type="pct"/>
                  <w:noWrap w:val="0"/>
                  <w:vAlign w:val="center"/>
                </w:tcPr>
                <w:p w14:paraId="573DCF77">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color w:val="auto"/>
                      <w:kern w:val="0"/>
                      <w:sz w:val="21"/>
                      <w:szCs w:val="21"/>
                      <w:highlight w:val="none"/>
                      <w:lang w:val="en-US" w:eastAsia="zh-CN" w:bidi="ar-SA"/>
                    </w:rPr>
                    <w:t>本项目产生的废气主要有原料混合干燥废气、吹塑废气、修边粉碎废气、焊接打磨废气，</w:t>
                  </w:r>
                  <w:r>
                    <w:rPr>
                      <w:rFonts w:hint="default" w:ascii="Times New Roman" w:hAnsi="Times New Roman" w:eastAsia="宋体" w:cs="Times New Roman"/>
                      <w:color w:val="auto"/>
                      <w:kern w:val="0"/>
                      <w:sz w:val="21"/>
                      <w:szCs w:val="21"/>
                      <w:lang w:val="en-US" w:eastAsia="zh-CN" w:bidi="ar-SA"/>
                    </w:rPr>
                    <w:t>主要污染物有</w:t>
                  </w:r>
                  <w:r>
                    <w:rPr>
                      <w:rFonts w:hint="eastAsia" w:ascii="Times New Roman" w:hAnsi="Times New Roman" w:eastAsia="宋体" w:cs="Times New Roman"/>
                      <w:color w:val="auto"/>
                      <w:kern w:val="0"/>
                      <w:sz w:val="21"/>
                      <w:szCs w:val="21"/>
                      <w:lang w:val="en-US" w:eastAsia="zh-CN" w:bidi="ar-SA"/>
                    </w:rPr>
                    <w:t>粉尘和</w:t>
                  </w:r>
                  <w:r>
                    <w:rPr>
                      <w:rFonts w:hint="default" w:ascii="Times New Roman" w:hAnsi="Times New Roman" w:eastAsia="宋体" w:cs="Times New Roman"/>
                      <w:color w:val="auto"/>
                      <w:kern w:val="0"/>
                      <w:sz w:val="21"/>
                      <w:szCs w:val="21"/>
                      <w:lang w:val="en-US" w:eastAsia="zh-CN" w:bidi="ar-SA"/>
                    </w:rPr>
                    <w:t>非甲烷总烃。</w:t>
                  </w:r>
                  <w:r>
                    <w:rPr>
                      <w:rFonts w:hint="eastAsia" w:ascii="Times New Roman" w:hAnsi="Times New Roman" w:eastAsia="宋体" w:cs="Times New Roman"/>
                      <w:color w:val="auto"/>
                      <w:kern w:val="0"/>
                      <w:sz w:val="21"/>
                      <w:szCs w:val="21"/>
                      <w:lang w:val="en-US" w:eastAsia="zh-CN" w:bidi="ar-SA"/>
                    </w:rPr>
                    <w:t>每条生产线配置一套废气处理装置，采用“</w:t>
                  </w:r>
                  <w:r>
                    <w:rPr>
                      <w:rFonts w:hint="eastAsia" w:ascii="Times New Roman" w:hAnsi="Times New Roman" w:eastAsia="宋体" w:cs="Times New Roman"/>
                      <w:color w:val="auto"/>
                      <w:kern w:val="0"/>
                      <w:sz w:val="21"/>
                      <w:szCs w:val="21"/>
                      <w:lang w:val="en-US" w:eastAsia="zh-CN"/>
                    </w:rPr>
                    <w:t>袋式</w:t>
                  </w:r>
                  <w:r>
                    <w:rPr>
                      <w:rFonts w:hint="eastAsia" w:ascii="Times New Roman" w:hAnsi="Times New Roman" w:eastAsia="宋体" w:cs="Times New Roman"/>
                      <w:color w:val="auto"/>
                      <w:kern w:val="0"/>
                      <w:sz w:val="21"/>
                      <w:szCs w:val="21"/>
                      <w:lang w:val="en-US" w:eastAsia="zh-CN" w:bidi="ar-SA"/>
                    </w:rPr>
                    <w:t>除尘</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lang w:val="en-US" w:eastAsia="zh-CN" w:bidi="ar-SA"/>
                    </w:rPr>
                    <w:t>光催化</w:t>
                  </w:r>
                  <w:r>
                    <w:rPr>
                      <w:rFonts w:hint="eastAsia" w:ascii="Times New Roman" w:hAnsi="Times New Roman" w:eastAsia="宋体" w:cs="Times New Roman"/>
                      <w:color w:val="auto"/>
                      <w:sz w:val="21"/>
                      <w:szCs w:val="21"/>
                      <w:lang w:val="en-US" w:eastAsia="zh-CN"/>
                    </w:rPr>
                    <w:t>+二级</w:t>
                  </w:r>
                  <w:r>
                    <w:rPr>
                      <w:rFonts w:hint="eastAsia" w:ascii="Times New Roman" w:hAnsi="Times New Roman" w:eastAsia="宋体" w:cs="Times New Roman"/>
                      <w:color w:val="auto"/>
                      <w:kern w:val="0"/>
                      <w:sz w:val="21"/>
                      <w:szCs w:val="21"/>
                      <w:lang w:val="en-US" w:eastAsia="zh-CN" w:bidi="ar-SA"/>
                    </w:rPr>
                    <w:t>活性炭吸附装置”处理后由15m高排气筒（DA001）排放。根据《排污许可证申请与核发技术规范橡胶和塑料制品工业》（HJ1122-2020）第二部分塑料制品工业表2中，本项目排气筒为一般排口。</w:t>
                  </w:r>
                </w:p>
              </w:tc>
              <w:tc>
                <w:tcPr>
                  <w:tcW w:w="285" w:type="pct"/>
                  <w:noWrap w:val="0"/>
                  <w:vAlign w:val="center"/>
                </w:tcPr>
                <w:p w14:paraId="548F86AC">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新建</w:t>
                  </w:r>
                </w:p>
              </w:tc>
            </w:tr>
            <w:tr w14:paraId="18309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5" w:hRule="atLeast"/>
                <w:jc w:val="center"/>
              </w:trPr>
              <w:tc>
                <w:tcPr>
                  <w:tcW w:w="289" w:type="pct"/>
                  <w:vMerge w:val="continue"/>
                  <w:noWrap w:val="0"/>
                  <w:vAlign w:val="center"/>
                </w:tcPr>
                <w:p w14:paraId="0E562A75">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5E7F7C14">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w:t>
                  </w:r>
                </w:p>
              </w:tc>
              <w:tc>
                <w:tcPr>
                  <w:tcW w:w="3502" w:type="pct"/>
                  <w:noWrap w:val="0"/>
                  <w:vAlign w:val="center"/>
                </w:tcPr>
                <w:p w14:paraId="528EBA7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color w:val="auto"/>
                      <w:kern w:val="0"/>
                      <w:sz w:val="21"/>
                      <w:szCs w:val="21"/>
                      <w:highlight w:val="none"/>
                      <w:lang w:val="en-US" w:eastAsia="zh-CN" w:bidi="ar-SA"/>
                    </w:rPr>
                    <w:t>本项目无生产废水产生，仅生活污水，</w:t>
                  </w:r>
                  <w:r>
                    <w:rPr>
                      <w:rFonts w:hint="default" w:ascii="Times New Roman" w:hAnsi="Times New Roman" w:eastAsia="宋体" w:cs="Times New Roman"/>
                      <w:color w:val="auto"/>
                      <w:kern w:val="0"/>
                      <w:sz w:val="21"/>
                      <w:szCs w:val="21"/>
                      <w:highlight w:val="none"/>
                      <w:lang w:val="en-US" w:eastAsia="zh-CN" w:bidi="ar-SA"/>
                    </w:rPr>
                    <w:t>依托现有厂区</w:t>
                  </w:r>
                  <w:r>
                    <w:rPr>
                      <w:rFonts w:hint="eastAsia" w:ascii="Times New Roman" w:hAnsi="Times New Roman" w:eastAsia="宋体" w:cs="Times New Roman"/>
                      <w:color w:val="auto"/>
                      <w:kern w:val="0"/>
                      <w:sz w:val="21"/>
                      <w:szCs w:val="21"/>
                      <w:highlight w:val="none"/>
                      <w:lang w:val="en-US" w:eastAsia="zh-CN" w:bidi="ar-SA"/>
                    </w:rPr>
                    <w:t>已建的</w:t>
                  </w:r>
                  <w:r>
                    <w:rPr>
                      <w:rFonts w:hint="default" w:ascii="Times New Roman" w:hAnsi="Times New Roman" w:eastAsia="宋体" w:cs="Times New Roman"/>
                      <w:color w:val="auto"/>
                      <w:kern w:val="0"/>
                      <w:sz w:val="21"/>
                      <w:szCs w:val="21"/>
                      <w:highlight w:val="none"/>
                      <w:lang w:val="en-US" w:eastAsia="zh-CN" w:bidi="ar-SA"/>
                    </w:rPr>
                    <w:t>200</w:t>
                  </w:r>
                  <w:r>
                    <w:rPr>
                      <w:rFonts w:hint="default" w:ascii="Times New Roman" w:hAnsi="Times New Roman" w:eastAsia="宋体"/>
                      <w:color w:val="auto"/>
                      <w:sz w:val="21"/>
                      <w:szCs w:val="21"/>
                      <w:lang w:val="en-US" w:eastAsia="zh-CN"/>
                    </w:rPr>
                    <w:t>m</w:t>
                  </w:r>
                  <w:r>
                    <w:rPr>
                      <w:rFonts w:hint="default" w:ascii="Times New Roman" w:hAnsi="Times New Roman" w:eastAsia="宋体"/>
                      <w:color w:val="auto"/>
                      <w:sz w:val="21"/>
                      <w:szCs w:val="21"/>
                      <w:vertAlign w:val="superscript"/>
                      <w:lang w:val="en-US" w:eastAsia="zh-CN"/>
                    </w:rPr>
                    <w:t>3</w:t>
                  </w:r>
                  <w:r>
                    <w:rPr>
                      <w:rFonts w:hint="default" w:ascii="Times New Roman" w:hAnsi="Times New Roman" w:eastAsia="宋体" w:cs="Times New Roman"/>
                      <w:color w:val="auto"/>
                      <w:kern w:val="0"/>
                      <w:sz w:val="21"/>
                      <w:szCs w:val="21"/>
                      <w:highlight w:val="none"/>
                      <w:lang w:val="en-US" w:eastAsia="zh-CN" w:bidi="ar-SA"/>
                    </w:rPr>
                    <w:t>/d污水处理站</w:t>
                  </w:r>
                  <w:r>
                    <w:rPr>
                      <w:rFonts w:hint="eastAsia" w:ascii="Times New Roman" w:hAnsi="Times New Roman" w:eastAsia="宋体" w:cs="Times New Roman"/>
                      <w:color w:val="auto"/>
                      <w:kern w:val="0"/>
                      <w:sz w:val="21"/>
                      <w:szCs w:val="21"/>
                      <w:highlight w:val="none"/>
                      <w:lang w:val="en-US" w:eastAsia="zh-CN" w:bidi="ar-SA"/>
                    </w:rPr>
                    <w:t>处理，污水处理站采用“调节池</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highlight w:val="none"/>
                      <w:lang w:val="en-US" w:eastAsia="zh-CN" w:bidi="ar-SA"/>
                    </w:rPr>
                    <w:t>气浮池</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highlight w:val="none"/>
                      <w:lang w:val="en-US" w:eastAsia="zh-CN" w:bidi="ar-SA"/>
                    </w:rPr>
                    <w:t>还原反应槽</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highlight w:val="none"/>
                      <w:lang w:val="en-US" w:eastAsia="zh-CN" w:bidi="ar-SA"/>
                    </w:rPr>
                    <w:t>中和反应槽</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highlight w:val="none"/>
                      <w:lang w:val="en-US" w:eastAsia="zh-CN" w:bidi="ar-SA"/>
                    </w:rPr>
                    <w:t>絮凝沉淀池</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highlight w:val="none"/>
                      <w:lang w:val="en-US" w:eastAsia="zh-CN" w:bidi="ar-SA"/>
                    </w:rPr>
                    <w:t>中间水池</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kern w:val="0"/>
                      <w:sz w:val="21"/>
                      <w:szCs w:val="21"/>
                      <w:lang w:val="en-US" w:eastAsia="zh-CN" w:bidi="ar-SA"/>
                    </w:rPr>
                    <w:t>MBR</w:t>
                  </w:r>
                  <w:r>
                    <w:rPr>
                      <w:rFonts w:hint="eastAsia" w:ascii="Times New Roman" w:hAnsi="Times New Roman" w:eastAsia="宋体" w:cs="Times New Roman"/>
                      <w:color w:val="auto"/>
                      <w:kern w:val="0"/>
                      <w:sz w:val="21"/>
                      <w:szCs w:val="21"/>
                      <w:lang w:val="en-US" w:eastAsia="zh-CN" w:bidi="ar-SA"/>
                    </w:rPr>
                    <w:t>反应池</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lang w:val="en-US" w:eastAsia="zh-CN" w:bidi="ar-SA"/>
                    </w:rPr>
                    <w:t>纳滤系统，</w:t>
                  </w:r>
                  <w:r>
                    <w:rPr>
                      <w:rFonts w:hint="default" w:ascii="Times New Roman" w:hAnsi="Times New Roman" w:eastAsia="宋体" w:cs="Times New Roman"/>
                      <w:color w:val="auto"/>
                      <w:kern w:val="0"/>
                      <w:sz w:val="21"/>
                      <w:szCs w:val="21"/>
                      <w:lang w:val="en-US" w:eastAsia="zh-CN" w:bidi="ar-SA"/>
                    </w:rPr>
                    <w:t>处理</w:t>
                  </w:r>
                  <w:r>
                    <w:rPr>
                      <w:rFonts w:hint="eastAsia" w:ascii="Times New Roman" w:hAnsi="Times New Roman" w:eastAsia="宋体" w:cs="Times New Roman"/>
                      <w:color w:val="auto"/>
                      <w:kern w:val="0"/>
                      <w:sz w:val="21"/>
                      <w:szCs w:val="21"/>
                      <w:lang w:val="en-US" w:eastAsia="zh-CN" w:bidi="ar-SA"/>
                    </w:rPr>
                    <w:t>后的废水达到</w:t>
                  </w:r>
                  <w:r>
                    <w:rPr>
                      <w:rFonts w:hint="default" w:ascii="Times New Roman" w:hAnsi="Times New Roman" w:eastAsia="宋体" w:cs="Times New Roman"/>
                      <w:color w:val="auto"/>
                      <w:kern w:val="0"/>
                      <w:sz w:val="21"/>
                      <w:szCs w:val="21"/>
                      <w:lang w:val="en-US" w:eastAsia="zh-CN" w:bidi="ar-SA"/>
                    </w:rPr>
                    <w:t>《城市污水再生利用工业用水水质》（GB/T19923-20</w:t>
                  </w:r>
                  <w:r>
                    <w:rPr>
                      <w:rFonts w:hint="eastAsia" w:ascii="Times New Roman" w:hAnsi="Times New Roman" w:eastAsia="宋体" w:cs="Times New Roman"/>
                      <w:color w:val="auto"/>
                      <w:kern w:val="0"/>
                      <w:sz w:val="21"/>
                      <w:szCs w:val="21"/>
                      <w:lang w:val="en-US" w:eastAsia="zh-CN" w:bidi="ar-SA"/>
                    </w:rPr>
                    <w:t>24</w:t>
                  </w:r>
                  <w:r>
                    <w:rPr>
                      <w:rFonts w:hint="default" w:ascii="Times New Roman" w:hAnsi="Times New Roman" w:eastAsia="宋体" w:cs="Times New Roman"/>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标准</w:t>
                  </w:r>
                  <w:r>
                    <w:rPr>
                      <w:rFonts w:hint="default" w:ascii="Times New Roman" w:hAnsi="Times New Roman" w:eastAsia="宋体" w:cs="Times New Roman"/>
                      <w:color w:val="auto"/>
                      <w:kern w:val="0"/>
                      <w:sz w:val="21"/>
                      <w:szCs w:val="21"/>
                      <w:lang w:val="en-US" w:eastAsia="zh-CN" w:bidi="ar-SA"/>
                    </w:rPr>
                    <w:t>后全部回用于</w:t>
                  </w:r>
                  <w:r>
                    <w:rPr>
                      <w:rFonts w:hint="eastAsia" w:ascii="Times New Roman" w:hAnsi="Times New Roman" w:eastAsia="宋体" w:cs="Times New Roman"/>
                      <w:color w:val="auto"/>
                      <w:kern w:val="0"/>
                      <w:sz w:val="21"/>
                      <w:szCs w:val="21"/>
                      <w:lang w:val="en-US" w:eastAsia="zh-CN" w:bidi="ar-SA"/>
                    </w:rPr>
                    <w:t>，不外排。厂区建有一座有效容积为1000</w:t>
                  </w:r>
                  <w:r>
                    <w:rPr>
                      <w:rFonts w:hint="default"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kern w:val="0"/>
                      <w:sz w:val="21"/>
                      <w:szCs w:val="21"/>
                      <w:lang w:val="en-US" w:eastAsia="zh-CN" w:bidi="ar-SA"/>
                    </w:rPr>
                    <w:t>的事故水池兼做消防废水收集池。</w:t>
                  </w:r>
                </w:p>
              </w:tc>
              <w:tc>
                <w:tcPr>
                  <w:tcW w:w="285" w:type="pct"/>
                  <w:noWrap w:val="0"/>
                  <w:vAlign w:val="center"/>
                </w:tcPr>
                <w:p w14:paraId="5EE5208A">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依托</w:t>
                  </w:r>
                </w:p>
              </w:tc>
            </w:tr>
            <w:tr w14:paraId="0B213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289" w:type="pct"/>
                  <w:vMerge w:val="continue"/>
                  <w:noWrap w:val="0"/>
                  <w:vAlign w:val="center"/>
                </w:tcPr>
                <w:p w14:paraId="63FC6F3A">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1EEC9AE3">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w:t>
                  </w:r>
                </w:p>
              </w:tc>
              <w:tc>
                <w:tcPr>
                  <w:tcW w:w="3502" w:type="pct"/>
                  <w:noWrap w:val="0"/>
                  <w:vAlign w:val="center"/>
                </w:tcPr>
                <w:p w14:paraId="4EC7A3F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kern w:val="0"/>
                      <w:sz w:val="21"/>
                      <w:szCs w:val="21"/>
                      <w:lang w:val="en-US" w:eastAsia="zh-CN" w:bidi="ar-SA"/>
                    </w:rPr>
                    <w:t>对高噪音设备采取减震、降噪等措施，利用</w:t>
                  </w:r>
                  <w:r>
                    <w:rPr>
                      <w:rFonts w:hint="eastAsia" w:ascii="Times New Roman" w:hAnsi="Times New Roman" w:eastAsia="宋体" w:cs="Times New Roman"/>
                      <w:color w:val="auto"/>
                      <w:kern w:val="0"/>
                      <w:sz w:val="21"/>
                      <w:szCs w:val="21"/>
                      <w:lang w:val="en-US" w:eastAsia="zh-CN" w:bidi="ar-SA"/>
                    </w:rPr>
                    <w:t>车间</w:t>
                  </w:r>
                  <w:r>
                    <w:rPr>
                      <w:rFonts w:hint="default" w:ascii="Times New Roman" w:hAnsi="Times New Roman" w:eastAsia="宋体" w:cs="Times New Roman"/>
                      <w:color w:val="auto"/>
                      <w:kern w:val="0"/>
                      <w:sz w:val="21"/>
                      <w:szCs w:val="21"/>
                      <w:lang w:val="en-US" w:eastAsia="zh-CN" w:bidi="ar-SA"/>
                    </w:rPr>
                    <w:t>墙体阻隔衰减，确保厂界噪声达标</w:t>
                  </w:r>
                  <w:r>
                    <w:rPr>
                      <w:rFonts w:hint="eastAsia" w:ascii="Times New Roman" w:hAnsi="Times New Roman" w:eastAsia="宋体" w:cs="Times New Roman"/>
                      <w:color w:val="auto"/>
                      <w:kern w:val="0"/>
                      <w:sz w:val="21"/>
                      <w:szCs w:val="21"/>
                      <w:lang w:val="en-US" w:eastAsia="zh-CN" w:bidi="ar-SA"/>
                    </w:rPr>
                    <w:t>。</w:t>
                  </w:r>
                </w:p>
              </w:tc>
              <w:tc>
                <w:tcPr>
                  <w:tcW w:w="285" w:type="pct"/>
                  <w:noWrap w:val="0"/>
                  <w:vAlign w:val="center"/>
                </w:tcPr>
                <w:p w14:paraId="78503DF4">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rPr>
                  </w:pPr>
                  <w:r>
                    <w:rPr>
                      <w:rFonts w:hint="eastAsia" w:ascii="Times New Roman" w:hAnsi="Times New Roman" w:eastAsia="宋体" w:cs="Times New Roman"/>
                      <w:b w:val="0"/>
                      <w:bCs w:val="0"/>
                      <w:color w:val="auto"/>
                      <w:sz w:val="21"/>
                      <w:szCs w:val="21"/>
                      <w:lang w:val="en-US" w:eastAsia="zh-CN"/>
                    </w:rPr>
                    <w:t>新建</w:t>
                  </w:r>
                </w:p>
              </w:tc>
            </w:tr>
            <w:tr w14:paraId="22013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1" w:hRule="atLeast"/>
                <w:jc w:val="center"/>
              </w:trPr>
              <w:tc>
                <w:tcPr>
                  <w:tcW w:w="289" w:type="pct"/>
                  <w:vMerge w:val="continue"/>
                  <w:noWrap w:val="0"/>
                  <w:vAlign w:val="center"/>
                </w:tcPr>
                <w:p w14:paraId="01998148">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922" w:type="pct"/>
                  <w:gridSpan w:val="2"/>
                  <w:noWrap w:val="0"/>
                  <w:vAlign w:val="center"/>
                </w:tcPr>
                <w:p w14:paraId="23A22EA8">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固体废物</w:t>
                  </w:r>
                </w:p>
              </w:tc>
              <w:tc>
                <w:tcPr>
                  <w:tcW w:w="3502" w:type="pct"/>
                  <w:noWrap w:val="0"/>
                  <w:vAlign w:val="center"/>
                </w:tcPr>
                <w:p w14:paraId="5B1DBE2D">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本项目产生的一般固废主要有：</w:t>
                  </w:r>
                  <w:r>
                    <w:rPr>
                      <w:rFonts w:hint="default" w:ascii="Times New Roman" w:hAnsi="Times New Roman" w:eastAsia="宋体" w:cs="Times New Roman"/>
                      <w:b w:val="0"/>
                      <w:bCs w:val="0"/>
                      <w:color w:val="auto"/>
                      <w:sz w:val="21"/>
                      <w:szCs w:val="21"/>
                      <w:highlight w:val="none"/>
                      <w:lang w:val="en-US" w:eastAsia="zh-CN"/>
                    </w:rPr>
                    <w:t>塑料生产废料</w:t>
                  </w:r>
                  <w:r>
                    <w:rPr>
                      <w:rFonts w:hint="eastAsia" w:ascii="Times New Roman" w:hAnsi="Times New Roman" w:eastAsia="宋体" w:cs="Times New Roman"/>
                      <w:b w:val="0"/>
                      <w:bCs w:val="0"/>
                      <w:color w:val="auto"/>
                      <w:sz w:val="21"/>
                      <w:szCs w:val="21"/>
                      <w:highlight w:val="none"/>
                      <w:lang w:val="en-US" w:eastAsia="zh-CN"/>
                    </w:rPr>
                    <w:t>（回用）、</w:t>
                  </w:r>
                  <w:r>
                    <w:rPr>
                      <w:rFonts w:hint="default" w:ascii="Times New Roman" w:hAnsi="Times New Roman" w:eastAsia="宋体" w:cs="Times New Roman"/>
                      <w:b w:val="0"/>
                      <w:bCs w:val="0"/>
                      <w:color w:val="auto"/>
                      <w:sz w:val="21"/>
                      <w:szCs w:val="21"/>
                      <w:highlight w:val="none"/>
                      <w:lang w:val="en-US" w:eastAsia="zh-CN"/>
                    </w:rPr>
                    <w:t>钢材切割废料</w:t>
                  </w:r>
                  <w:r>
                    <w:rPr>
                      <w:rFonts w:hint="eastAsia" w:ascii="Times New Roman" w:hAnsi="Times New Roman" w:eastAsia="宋体" w:cs="Times New Roman"/>
                      <w:b w:val="0"/>
                      <w:bCs w:val="0"/>
                      <w:color w:val="auto"/>
                      <w:sz w:val="21"/>
                      <w:szCs w:val="21"/>
                      <w:highlight w:val="none"/>
                      <w:lang w:val="en-US" w:eastAsia="zh-CN"/>
                    </w:rPr>
                    <w:t>（外售）、</w:t>
                  </w:r>
                  <w:r>
                    <w:rPr>
                      <w:rFonts w:hint="default" w:ascii="Times New Roman" w:hAnsi="Times New Roman" w:eastAsia="宋体" w:cs="Times New Roman"/>
                      <w:b w:val="0"/>
                      <w:bCs w:val="0"/>
                      <w:color w:val="auto"/>
                      <w:sz w:val="21"/>
                      <w:szCs w:val="21"/>
                      <w:highlight w:val="none"/>
                      <w:lang w:val="en-US" w:eastAsia="zh-CN"/>
                    </w:rPr>
                    <w:t>除尘器收集粉尘</w:t>
                  </w:r>
                  <w:r>
                    <w:rPr>
                      <w:rFonts w:hint="eastAsia" w:ascii="Times New Roman" w:hAnsi="Times New Roman" w:eastAsia="宋体" w:cs="Times New Roman"/>
                      <w:b w:val="0"/>
                      <w:bCs w:val="0"/>
                      <w:color w:val="auto"/>
                      <w:sz w:val="21"/>
                      <w:szCs w:val="21"/>
                      <w:highlight w:val="none"/>
                      <w:lang w:val="en-US" w:eastAsia="zh-CN"/>
                    </w:rPr>
                    <w:t>（外售），一般固废在车间指定区域内分类存放，定期外售；</w:t>
                  </w:r>
                </w:p>
                <w:p w14:paraId="3FE30251">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highlight w:val="none"/>
                      <w:lang w:val="en-US" w:eastAsia="zh-CN"/>
                    </w:rPr>
                    <w:t>本项目产生的危险废物主要有：</w:t>
                  </w:r>
                  <w:r>
                    <w:rPr>
                      <w:rFonts w:hint="default" w:ascii="Times New Roman" w:hAnsi="Times New Roman" w:eastAsia="宋体" w:cs="Times New Roman"/>
                      <w:b w:val="0"/>
                      <w:bCs w:val="0"/>
                      <w:color w:val="auto"/>
                      <w:sz w:val="21"/>
                      <w:szCs w:val="21"/>
                      <w:highlight w:val="none"/>
                      <w:lang w:val="en-US" w:eastAsia="zh-CN"/>
                    </w:rPr>
                    <w:t>废机油、废润滑油</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废活性炭</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废模具清洗</w:t>
                  </w:r>
                  <w:r>
                    <w:rPr>
                      <w:rFonts w:hint="eastAsia" w:cs="Times New Roman"/>
                      <w:b w:val="0"/>
                      <w:bCs w:val="0"/>
                      <w:color w:val="auto"/>
                      <w:sz w:val="21"/>
                      <w:szCs w:val="21"/>
                      <w:highlight w:val="none"/>
                      <w:lang w:val="en-US" w:eastAsia="zh-CN"/>
                    </w:rPr>
                    <w:t>液、UV光催化废灯管</w:t>
                  </w:r>
                  <w:r>
                    <w:rPr>
                      <w:rFonts w:hint="eastAsia" w:ascii="Times New Roman" w:hAnsi="Times New Roman" w:eastAsia="宋体"/>
                      <w:color w:val="auto"/>
                      <w:sz w:val="21"/>
                      <w:szCs w:val="21"/>
                      <w:lang w:val="en-US" w:eastAsia="zh-CN"/>
                    </w:rPr>
                    <w:t>，</w:t>
                  </w:r>
                  <w:r>
                    <w:rPr>
                      <w:rFonts w:hint="eastAsia" w:ascii="Times New Roman" w:hAnsi="Times New Roman" w:eastAsia="宋体" w:cs="Times New Roman"/>
                      <w:b w:val="0"/>
                      <w:bCs w:val="0"/>
                      <w:color w:val="auto"/>
                      <w:sz w:val="21"/>
                      <w:szCs w:val="21"/>
                      <w:highlight w:val="none"/>
                      <w:lang w:val="en-US" w:eastAsia="zh-CN"/>
                    </w:rPr>
                    <w:t>依托</w:t>
                  </w:r>
                  <w:r>
                    <w:rPr>
                      <w:rFonts w:hint="eastAsia" w:ascii="Times New Roman" w:hAnsi="Times New Roman" w:eastAsia="宋体" w:cs="Times New Roman"/>
                      <w:b w:val="0"/>
                      <w:bCs w:val="0"/>
                      <w:color w:val="auto"/>
                      <w:sz w:val="21"/>
                      <w:szCs w:val="21"/>
                      <w:lang w:val="en-US" w:eastAsia="zh-CN"/>
                    </w:rPr>
                    <w:t>厂区内现有危废暂存库暂存，厂区现建有</w:t>
                  </w:r>
                  <w:r>
                    <w:rPr>
                      <w:rFonts w:hint="eastAsia" w:ascii="Times New Roman" w:hAnsi="Times New Roman" w:eastAsia="宋体"/>
                      <w:color w:val="auto"/>
                      <w:sz w:val="21"/>
                      <w:szCs w:val="21"/>
                      <w:lang w:val="en-US" w:eastAsia="zh-CN"/>
                    </w:rPr>
                    <w:t>2座1407.6</w:t>
                  </w:r>
                  <w:r>
                    <w:rPr>
                      <w:rFonts w:hint="default" w:ascii="Times New Roman" w:hAnsi="Times New Roman" w:eastAsia="宋体"/>
                      <w:color w:val="auto"/>
                      <w:sz w:val="21"/>
                      <w:szCs w:val="21"/>
                      <w:highlight w:val="none"/>
                    </w:rPr>
                    <w:t>m</w:t>
                  </w:r>
                  <w:r>
                    <w:rPr>
                      <w:rFonts w:hint="default" w:ascii="Times New Roman" w:hAnsi="Times New Roman" w:eastAsia="宋体"/>
                      <w:color w:val="auto"/>
                      <w:sz w:val="21"/>
                      <w:szCs w:val="21"/>
                      <w:highlight w:val="none"/>
                      <w:vertAlign w:val="superscript"/>
                    </w:rPr>
                    <w:t>2</w:t>
                  </w:r>
                  <w:r>
                    <w:rPr>
                      <w:rFonts w:hint="eastAsia" w:ascii="Times New Roman" w:hAnsi="Times New Roman" w:eastAsia="宋体" w:cs="Times New Roman"/>
                      <w:b w:val="0"/>
                      <w:bCs w:val="0"/>
                      <w:color w:val="auto"/>
                      <w:sz w:val="21"/>
                      <w:szCs w:val="21"/>
                      <w:lang w:val="en-US" w:eastAsia="zh-CN"/>
                    </w:rPr>
                    <w:t>、</w:t>
                  </w:r>
                  <w:r>
                    <w:rPr>
                      <w:rFonts w:hint="eastAsia" w:ascii="Times New Roman" w:hAnsi="Times New Roman" w:eastAsia="宋体"/>
                      <w:color w:val="auto"/>
                      <w:sz w:val="21"/>
                      <w:szCs w:val="21"/>
                      <w:lang w:val="en-US" w:eastAsia="zh-CN"/>
                    </w:rPr>
                    <w:t>2座</w:t>
                  </w:r>
                  <w:r>
                    <w:rPr>
                      <w:rFonts w:hint="default" w:ascii="Times New Roman" w:hAnsi="Times New Roman" w:eastAsia="宋体"/>
                      <w:color w:val="auto"/>
                      <w:sz w:val="21"/>
                      <w:szCs w:val="21"/>
                      <w:highlight w:val="none"/>
                    </w:rPr>
                    <w:t>245.7m</w:t>
                  </w:r>
                  <w:r>
                    <w:rPr>
                      <w:rFonts w:hint="default" w:ascii="Times New Roman" w:hAnsi="Times New Roman" w:eastAsia="宋体"/>
                      <w:color w:val="auto"/>
                      <w:sz w:val="21"/>
                      <w:szCs w:val="21"/>
                      <w:highlight w:val="none"/>
                      <w:vertAlign w:val="superscript"/>
                    </w:rPr>
                    <w:t>2</w:t>
                  </w:r>
                  <w:r>
                    <w:rPr>
                      <w:rFonts w:hint="eastAsia" w:ascii="Times New Roman" w:hAnsi="Times New Roman" w:eastAsia="宋体" w:cs="Times New Roman"/>
                      <w:b w:val="0"/>
                      <w:bCs w:val="0"/>
                      <w:color w:val="auto"/>
                      <w:sz w:val="21"/>
                      <w:szCs w:val="21"/>
                      <w:lang w:val="en-US" w:eastAsia="zh-CN"/>
                    </w:rPr>
                    <w:t>、</w:t>
                  </w:r>
                  <w:r>
                    <w:rPr>
                      <w:rFonts w:hint="eastAsia" w:ascii="Times New Roman" w:hAnsi="Times New Roman" w:eastAsia="宋体"/>
                      <w:color w:val="auto"/>
                      <w:sz w:val="21"/>
                      <w:szCs w:val="21"/>
                      <w:highlight w:val="none"/>
                      <w:vertAlign w:val="baseline"/>
                      <w:lang w:val="en-US" w:eastAsia="zh-CN"/>
                    </w:rPr>
                    <w:t>1</w:t>
                  </w:r>
                  <w:r>
                    <w:rPr>
                      <w:rFonts w:hint="eastAsia" w:ascii="Times New Roman" w:hAnsi="Times New Roman" w:eastAsia="宋体"/>
                      <w:color w:val="auto"/>
                      <w:sz w:val="21"/>
                      <w:szCs w:val="21"/>
                      <w:lang w:val="en-US" w:eastAsia="zh-CN"/>
                    </w:rPr>
                    <w:t>座1190</w:t>
                  </w:r>
                  <w:r>
                    <w:rPr>
                      <w:rFonts w:hint="default" w:ascii="Times New Roman" w:hAnsi="Times New Roman" w:eastAsia="宋体"/>
                      <w:color w:val="auto"/>
                      <w:sz w:val="21"/>
                      <w:szCs w:val="21"/>
                      <w:highlight w:val="none"/>
                    </w:rPr>
                    <w:t>m</w:t>
                  </w:r>
                  <w:r>
                    <w:rPr>
                      <w:rFonts w:hint="default" w:ascii="Times New Roman" w:hAnsi="Times New Roman" w:eastAsia="宋体"/>
                      <w:color w:val="auto"/>
                      <w:sz w:val="21"/>
                      <w:szCs w:val="21"/>
                      <w:highlight w:val="none"/>
                      <w:vertAlign w:val="superscript"/>
                    </w:rPr>
                    <w:t>2</w:t>
                  </w:r>
                  <w:r>
                    <w:rPr>
                      <w:rFonts w:hint="eastAsia" w:ascii="Times New Roman" w:hAnsi="Times New Roman" w:eastAsia="宋体" w:cs="Times New Roman"/>
                      <w:b w:val="0"/>
                      <w:bCs w:val="0"/>
                      <w:color w:val="auto"/>
                      <w:sz w:val="21"/>
                      <w:szCs w:val="21"/>
                      <w:lang w:val="en-US" w:eastAsia="zh-CN"/>
                    </w:rPr>
                    <w:t>的</w:t>
                  </w:r>
                  <w:r>
                    <w:rPr>
                      <w:rFonts w:hint="eastAsia" w:ascii="Times New Roman" w:hAnsi="Times New Roman" w:eastAsia="宋体" w:cs="Times New Roman"/>
                      <w:b w:val="0"/>
                      <w:bCs w:val="0"/>
                      <w:color w:val="auto"/>
                      <w:sz w:val="21"/>
                      <w:szCs w:val="21"/>
                      <w:vertAlign w:val="baseline"/>
                      <w:lang w:val="en-US" w:eastAsia="zh-CN"/>
                    </w:rPr>
                    <w:t>危废暂存库</w:t>
                  </w:r>
                  <w:r>
                    <w:rPr>
                      <w:rFonts w:hint="eastAsia" w:ascii="Times New Roman" w:hAnsi="Times New Roman" w:eastAsia="宋体" w:cs="Times New Roman"/>
                      <w:b w:val="0"/>
                      <w:bCs w:val="0"/>
                      <w:color w:val="auto"/>
                      <w:sz w:val="21"/>
                      <w:szCs w:val="21"/>
                      <w:lang w:val="en-US" w:eastAsia="zh-CN"/>
                    </w:rPr>
                    <w:t>，</w:t>
                  </w:r>
                  <w:r>
                    <w:rPr>
                      <w:rFonts w:hint="eastAsia" w:cs="Times New Roman"/>
                      <w:b w:val="0"/>
                      <w:bCs w:val="0"/>
                      <w:color w:val="auto"/>
                      <w:sz w:val="21"/>
                      <w:szCs w:val="21"/>
                      <w:lang w:val="en-US" w:eastAsia="zh-CN"/>
                    </w:rPr>
                    <w:t>本公司为危废处置单位，本项目产生的危险废物属于</w:t>
                  </w:r>
                  <w:r>
                    <w:rPr>
                      <w:rFonts w:hint="eastAsia"/>
                      <w:color w:val="auto"/>
                      <w:sz w:val="21"/>
                      <w:szCs w:val="21"/>
                      <w:lang w:val="en-US" w:eastAsia="zh-CN"/>
                    </w:rPr>
                    <w:t>本公司许可处置危废范围，直接由</w:t>
                  </w:r>
                  <w:r>
                    <w:rPr>
                      <w:rFonts w:hint="eastAsia" w:cs="Times New Roman"/>
                      <w:color w:val="auto"/>
                      <w:kern w:val="2"/>
                      <w:sz w:val="21"/>
                      <w:szCs w:val="21"/>
                      <w:lang w:val="en-US" w:eastAsia="zh-CN"/>
                    </w:rPr>
                    <w:t>本</w:t>
                  </w:r>
                  <w:r>
                    <w:rPr>
                      <w:rFonts w:hint="eastAsia" w:ascii="Times New Roman" w:hAnsi="Times New Roman" w:eastAsia="宋体" w:cs="Times New Roman"/>
                      <w:color w:val="auto"/>
                      <w:kern w:val="2"/>
                      <w:sz w:val="21"/>
                      <w:szCs w:val="21"/>
                      <w:lang w:val="en-US" w:eastAsia="zh-CN"/>
                    </w:rPr>
                    <w:t>公司处</w:t>
                  </w:r>
                  <w:r>
                    <w:rPr>
                      <w:rFonts w:hint="eastAsia" w:ascii="Times New Roman" w:hAnsi="Times New Roman" w:eastAsia="宋体" w:cs="Times New Roman"/>
                      <w:b w:val="0"/>
                      <w:bCs w:val="0"/>
                      <w:color w:val="auto"/>
                      <w:sz w:val="21"/>
                      <w:szCs w:val="21"/>
                      <w:highlight w:val="none"/>
                      <w:lang w:val="en-US" w:eastAsia="zh-CN"/>
                    </w:rPr>
                    <w:t>置，执行《危险废物贮存污染控制标准》（GB18597-2023）的要求进行管理、贮存和处置。</w:t>
                  </w:r>
                </w:p>
                <w:p w14:paraId="79766CE6">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color w:val="auto"/>
                      <w:sz w:val="21"/>
                      <w:szCs w:val="21"/>
                      <w:lang w:val="en-US" w:eastAsia="zh-CN"/>
                    </w:rPr>
                    <w:t>本项产生的</w:t>
                  </w:r>
                  <w:r>
                    <w:rPr>
                      <w:rFonts w:hint="default" w:ascii="Times New Roman" w:hAnsi="Times New Roman" w:eastAsia="宋体" w:cs="Times New Roman"/>
                      <w:color w:val="auto"/>
                      <w:sz w:val="21"/>
                      <w:szCs w:val="21"/>
                      <w:lang w:val="en-US" w:eastAsia="zh-CN"/>
                    </w:rPr>
                    <w:t>生活垃圾由环卫部门统一清运，日产日清</w:t>
                  </w:r>
                  <w:r>
                    <w:rPr>
                      <w:rFonts w:hint="eastAsia" w:ascii="Times New Roman" w:hAnsi="Times New Roman" w:eastAsia="宋体" w:cs="Times New Roman"/>
                      <w:color w:val="auto"/>
                      <w:sz w:val="21"/>
                      <w:szCs w:val="21"/>
                      <w:lang w:val="en-US" w:eastAsia="zh-CN"/>
                    </w:rPr>
                    <w:t>。</w:t>
                  </w:r>
                </w:p>
              </w:tc>
              <w:tc>
                <w:tcPr>
                  <w:tcW w:w="285" w:type="pct"/>
                  <w:noWrap w:val="0"/>
                  <w:vAlign w:val="center"/>
                </w:tcPr>
                <w:p w14:paraId="131B5A9C">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rPr>
                  </w:pPr>
                  <w:r>
                    <w:rPr>
                      <w:rFonts w:hint="eastAsia" w:ascii="Times New Roman" w:hAnsi="Times New Roman" w:eastAsia="宋体" w:cs="Times New Roman"/>
                      <w:b w:val="0"/>
                      <w:bCs w:val="0"/>
                      <w:color w:val="auto"/>
                      <w:sz w:val="21"/>
                      <w:szCs w:val="21"/>
                      <w:lang w:val="en-US" w:eastAsia="zh-CN"/>
                    </w:rPr>
                    <w:t>依托</w:t>
                  </w:r>
                </w:p>
              </w:tc>
            </w:tr>
            <w:tr w14:paraId="19CC1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3" w:hRule="atLeast"/>
                <w:jc w:val="center"/>
              </w:trPr>
              <w:tc>
                <w:tcPr>
                  <w:tcW w:w="289" w:type="pct"/>
                  <w:noWrap w:val="0"/>
                  <w:vAlign w:val="center"/>
                </w:tcPr>
                <w:p w14:paraId="4EF55952">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防渗</w:t>
                  </w:r>
                </w:p>
              </w:tc>
              <w:tc>
                <w:tcPr>
                  <w:tcW w:w="922" w:type="pct"/>
                  <w:gridSpan w:val="2"/>
                  <w:noWrap w:val="0"/>
                  <w:vAlign w:val="center"/>
                </w:tcPr>
                <w:p w14:paraId="52EBE8E4">
                  <w:pPr>
                    <w:pStyle w:val="7"/>
                    <w:keepNext w:val="0"/>
                    <w:keepLines w:val="0"/>
                    <w:pageBreakBefore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生产车间</w:t>
                  </w:r>
                </w:p>
                <w:p w14:paraId="3822E77A">
                  <w:pPr>
                    <w:keepNext w:val="0"/>
                    <w:keepLines w:val="0"/>
                    <w:pageBreakBefore w:val="0"/>
                    <w:suppressLineNumbers w:val="0"/>
                    <w:kinsoku/>
                    <w:overflowPunct/>
                    <w:bidi w:val="0"/>
                    <w:spacing w:before="0" w:beforeAutospacing="0" w:after="0" w:afterLines="0" w:afterAutospacing="0"/>
                    <w:ind w:left="0" w:right="0"/>
                    <w:rPr>
                      <w:rFonts w:hint="default" w:ascii="Times New Roman" w:hAnsi="Times New Roman" w:eastAsia="宋体"/>
                      <w:color w:val="auto"/>
                      <w:sz w:val="21"/>
                      <w:szCs w:val="21"/>
                      <w:lang w:val="en-US" w:eastAsia="zh-CN"/>
                    </w:rPr>
                  </w:pP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一般</w:t>
                  </w:r>
                  <w:r>
                    <w:rPr>
                      <w:rFonts w:hint="eastAsia" w:ascii="Times New Roman" w:hAnsi="Times New Roman" w:eastAsia="宋体" w:cs="Times New Roman"/>
                      <w:color w:val="auto"/>
                      <w:sz w:val="21"/>
                      <w:szCs w:val="21"/>
                      <w:lang w:val="en-US" w:eastAsia="zh-CN"/>
                    </w:rPr>
                    <w:t>防渗）</w:t>
                  </w:r>
                </w:p>
              </w:tc>
              <w:tc>
                <w:tcPr>
                  <w:tcW w:w="3502" w:type="pct"/>
                  <w:noWrap w:val="0"/>
                  <w:vAlign w:val="center"/>
                </w:tcPr>
                <w:p w14:paraId="3200D73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olor w:val="auto"/>
                      <w:sz w:val="21"/>
                      <w:szCs w:val="21"/>
                      <w:lang w:val="en-US" w:eastAsia="zh-CN"/>
                    </w:rPr>
                    <w:t>等效黏土防渗层Mb≥</w:t>
                  </w:r>
                  <w:r>
                    <w:rPr>
                      <w:rFonts w:hint="eastAsia"/>
                      <w:color w:val="auto"/>
                      <w:sz w:val="21"/>
                      <w:szCs w:val="21"/>
                      <w:lang w:val="en-US" w:eastAsia="zh-CN"/>
                    </w:rPr>
                    <w:t>1.5</w:t>
                  </w:r>
                  <w:r>
                    <w:rPr>
                      <w:rFonts w:hint="default" w:ascii="Times New Roman" w:hAnsi="Times New Roman" w:eastAsia="宋体"/>
                      <w:color w:val="auto"/>
                      <w:sz w:val="21"/>
                      <w:szCs w:val="21"/>
                      <w:lang w:val="en-US" w:eastAsia="zh-CN"/>
                    </w:rPr>
                    <w:t>m，K≤1×10</w:t>
                  </w:r>
                  <w:r>
                    <w:rPr>
                      <w:rFonts w:hint="default" w:ascii="Times New Roman" w:hAnsi="Times New Roman" w:eastAsia="宋体"/>
                      <w:color w:val="auto"/>
                      <w:sz w:val="21"/>
                      <w:szCs w:val="21"/>
                      <w:vertAlign w:val="superscript"/>
                      <w:lang w:val="en-US" w:eastAsia="zh-CN"/>
                    </w:rPr>
                    <w:t>-7</w:t>
                  </w:r>
                  <w:r>
                    <w:rPr>
                      <w:rFonts w:hint="default" w:ascii="Times New Roman" w:hAnsi="Times New Roman" w:eastAsia="宋体"/>
                      <w:color w:val="auto"/>
                      <w:sz w:val="21"/>
                      <w:szCs w:val="21"/>
                      <w:lang w:val="en-US" w:eastAsia="zh-CN"/>
                    </w:rPr>
                    <w:t>cm/s</w:t>
                  </w:r>
                </w:p>
              </w:tc>
              <w:tc>
                <w:tcPr>
                  <w:tcW w:w="285" w:type="pct"/>
                  <w:noWrap w:val="0"/>
                  <w:vAlign w:val="center"/>
                </w:tcPr>
                <w:p w14:paraId="4DF434A7">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新建</w:t>
                  </w:r>
                </w:p>
              </w:tc>
            </w:tr>
          </w:tbl>
          <w:p w14:paraId="78EC8B6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s="Times New Roman"/>
                <w:b/>
                <w:bCs/>
                <w:color w:val="auto"/>
                <w:sz w:val="24"/>
                <w:szCs w:val="24"/>
                <w:lang w:val="en-US" w:eastAsia="zh-CN"/>
              </w:rPr>
            </w:pPr>
          </w:p>
          <w:p w14:paraId="12F0C0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表2-2产品方案</w:t>
            </w: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1"/>
              <w:gridCol w:w="846"/>
              <w:gridCol w:w="1472"/>
              <w:gridCol w:w="1405"/>
              <w:gridCol w:w="1364"/>
              <w:gridCol w:w="3028"/>
            </w:tblGrid>
            <w:tr w14:paraId="47961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391" w:type="dxa"/>
                  <w:noWrap w:val="0"/>
                  <w:vAlign w:val="center"/>
                </w:tcPr>
                <w:p w14:paraId="7BB4206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序号</w:t>
                  </w:r>
                </w:p>
              </w:tc>
              <w:tc>
                <w:tcPr>
                  <w:tcW w:w="846" w:type="dxa"/>
                  <w:noWrap w:val="0"/>
                  <w:vAlign w:val="center"/>
                </w:tcPr>
                <w:p w14:paraId="68A784D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生产车间</w:t>
                  </w:r>
                </w:p>
              </w:tc>
              <w:tc>
                <w:tcPr>
                  <w:tcW w:w="1472" w:type="dxa"/>
                  <w:noWrap w:val="0"/>
                  <w:vAlign w:val="center"/>
                </w:tcPr>
                <w:p w14:paraId="5294F18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生产线名称</w:t>
                  </w:r>
                </w:p>
              </w:tc>
              <w:tc>
                <w:tcPr>
                  <w:tcW w:w="1405" w:type="dxa"/>
                  <w:noWrap w:val="0"/>
                  <w:vAlign w:val="center"/>
                </w:tcPr>
                <w:p w14:paraId="2527500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产品名称</w:t>
                  </w:r>
                </w:p>
              </w:tc>
              <w:tc>
                <w:tcPr>
                  <w:tcW w:w="1364" w:type="dxa"/>
                  <w:noWrap w:val="0"/>
                  <w:vAlign w:val="center"/>
                </w:tcPr>
                <w:p w14:paraId="2474650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设计产能（</w:t>
                  </w:r>
                  <w:r>
                    <w:rPr>
                      <w:rFonts w:hint="eastAsia" w:ascii="Times New Roman" w:hAnsi="Times New Roman" w:eastAsia="宋体" w:cs="Times New Roman"/>
                      <w:b w:val="0"/>
                      <w:bCs w:val="0"/>
                      <w:color w:val="auto"/>
                      <w:sz w:val="21"/>
                      <w:szCs w:val="21"/>
                      <w:lang w:val="en-US" w:eastAsia="zh-CN"/>
                    </w:rPr>
                    <w:t>只</w:t>
                  </w:r>
                  <w:r>
                    <w:rPr>
                      <w:rFonts w:hint="default" w:ascii="Times New Roman" w:hAnsi="Times New Roman" w:eastAsia="宋体" w:cs="Times New Roman"/>
                      <w:b w:val="0"/>
                      <w:bCs w:val="0"/>
                      <w:color w:val="auto"/>
                      <w:sz w:val="21"/>
                      <w:szCs w:val="21"/>
                      <w:lang w:val="en-US" w:eastAsia="zh-CN"/>
                    </w:rPr>
                    <w:t>/年）</w:t>
                  </w:r>
                </w:p>
              </w:tc>
              <w:tc>
                <w:tcPr>
                  <w:tcW w:w="3028" w:type="dxa"/>
                  <w:noWrap w:val="0"/>
                  <w:vAlign w:val="center"/>
                </w:tcPr>
                <w:p w14:paraId="15236E2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产品标准</w:t>
                  </w:r>
                </w:p>
              </w:tc>
            </w:tr>
            <w:tr w14:paraId="7F414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391" w:type="dxa"/>
                  <w:noWrap w:val="0"/>
                  <w:vAlign w:val="center"/>
                </w:tcPr>
                <w:p w14:paraId="1633DB1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846" w:type="dxa"/>
                  <w:vMerge w:val="restart"/>
                  <w:noWrap w:val="0"/>
                  <w:vAlign w:val="center"/>
                </w:tcPr>
                <w:p w14:paraId="791ADE2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制桶</w:t>
                  </w:r>
                  <w:r>
                    <w:rPr>
                      <w:rFonts w:hint="default" w:ascii="Times New Roman" w:hAnsi="Times New Roman" w:eastAsia="宋体" w:cs="Times New Roman"/>
                      <w:b w:val="0"/>
                      <w:bCs w:val="0"/>
                      <w:color w:val="auto"/>
                      <w:sz w:val="21"/>
                      <w:szCs w:val="21"/>
                      <w:lang w:val="en-US" w:eastAsia="zh-CN"/>
                    </w:rPr>
                    <w:t>车间</w:t>
                  </w:r>
                </w:p>
              </w:tc>
              <w:tc>
                <w:tcPr>
                  <w:tcW w:w="1472" w:type="dxa"/>
                  <w:noWrap w:val="0"/>
                  <w:vAlign w:val="center"/>
                </w:tcPr>
                <w:p w14:paraId="383328F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IBC吨桶8万只/年生产线</w:t>
                  </w:r>
                </w:p>
              </w:tc>
              <w:tc>
                <w:tcPr>
                  <w:tcW w:w="1405" w:type="dxa"/>
                  <w:noWrap w:val="0"/>
                  <w:vAlign w:val="center"/>
                </w:tcPr>
                <w:p w14:paraId="61A9887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IBC吨桶</w:t>
                  </w:r>
                </w:p>
              </w:tc>
              <w:tc>
                <w:tcPr>
                  <w:tcW w:w="1364" w:type="dxa"/>
                  <w:noWrap w:val="0"/>
                  <w:vAlign w:val="center"/>
                </w:tcPr>
                <w:p w14:paraId="4FD857D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80000</w:t>
                  </w:r>
                </w:p>
              </w:tc>
              <w:tc>
                <w:tcPr>
                  <w:tcW w:w="3028" w:type="dxa"/>
                  <w:noWrap w:val="0"/>
                  <w:vAlign w:val="center"/>
                </w:tcPr>
                <w:p w14:paraId="06978AB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《包装容器危险品包装用塑料桶》GB18191-2008</w:t>
                  </w:r>
                </w:p>
                <w:p w14:paraId="5588DC5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《包装容器复合式中型散装容器》GB/T19161-2016</w:t>
                  </w:r>
                </w:p>
              </w:tc>
            </w:tr>
            <w:tr w14:paraId="0E44E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391" w:type="dxa"/>
                  <w:noWrap w:val="0"/>
                  <w:vAlign w:val="center"/>
                </w:tcPr>
                <w:p w14:paraId="0CB6388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w:t>
                  </w:r>
                </w:p>
              </w:tc>
              <w:tc>
                <w:tcPr>
                  <w:tcW w:w="846" w:type="dxa"/>
                  <w:vMerge w:val="continue"/>
                  <w:noWrap w:val="0"/>
                  <w:vAlign w:val="center"/>
                </w:tcPr>
                <w:p w14:paraId="0C2B80A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c>
                <w:tcPr>
                  <w:tcW w:w="1472" w:type="dxa"/>
                  <w:noWrap w:val="0"/>
                  <w:vAlign w:val="center"/>
                </w:tcPr>
                <w:p w14:paraId="28376CE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HDPE200L塑料桶12万只/年生产线</w:t>
                  </w:r>
                </w:p>
              </w:tc>
              <w:tc>
                <w:tcPr>
                  <w:tcW w:w="1405" w:type="dxa"/>
                  <w:noWrap w:val="0"/>
                  <w:vAlign w:val="center"/>
                </w:tcPr>
                <w:p w14:paraId="78E325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HDPE200L</w:t>
                  </w:r>
                </w:p>
                <w:p w14:paraId="1E0CD58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塑料桶</w:t>
                  </w:r>
                </w:p>
              </w:tc>
              <w:tc>
                <w:tcPr>
                  <w:tcW w:w="1364" w:type="dxa"/>
                  <w:noWrap w:val="0"/>
                  <w:vAlign w:val="center"/>
                </w:tcPr>
                <w:p w14:paraId="07B8CEF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120000</w:t>
                  </w:r>
                </w:p>
              </w:tc>
              <w:tc>
                <w:tcPr>
                  <w:tcW w:w="3028" w:type="dxa"/>
                  <w:noWrap w:val="0"/>
                  <w:vAlign w:val="center"/>
                </w:tcPr>
                <w:p w14:paraId="3D9F8E0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《包装容器危险品包装用塑料桶》GB18191-2008</w:t>
                  </w:r>
                </w:p>
                <w:p w14:paraId="314442D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《聚乙烯吹塑桶》GB/T13508-2011</w:t>
                  </w:r>
                </w:p>
              </w:tc>
            </w:tr>
            <w:tr w14:paraId="2E9E9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4114" w:type="dxa"/>
                  <w:gridSpan w:val="4"/>
                  <w:noWrap w:val="0"/>
                  <w:vAlign w:val="center"/>
                </w:tcPr>
                <w:p w14:paraId="35BFBCA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合计</w:t>
                  </w:r>
                </w:p>
              </w:tc>
              <w:tc>
                <w:tcPr>
                  <w:tcW w:w="1364" w:type="dxa"/>
                  <w:noWrap w:val="0"/>
                  <w:vAlign w:val="center"/>
                </w:tcPr>
                <w:p w14:paraId="117B0DA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200000</w:t>
                  </w:r>
                </w:p>
              </w:tc>
              <w:tc>
                <w:tcPr>
                  <w:tcW w:w="3028" w:type="dxa"/>
                  <w:noWrap w:val="0"/>
                  <w:vAlign w:val="center"/>
                </w:tcPr>
                <w:p w14:paraId="4B22D87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r>
          </w:tbl>
          <w:p w14:paraId="5B7B734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4、主要原辅助材料</w:t>
            </w:r>
          </w:p>
          <w:p w14:paraId="6B242FA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项目所用原辅料情况见表2-3。</w:t>
            </w:r>
          </w:p>
          <w:p w14:paraId="6B58EB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表2-3项目原</w:t>
            </w:r>
            <w:r>
              <w:rPr>
                <w:rFonts w:hint="eastAsia" w:ascii="Times New Roman" w:hAnsi="Times New Roman" w:eastAsia="宋体" w:cs="Times New Roman"/>
                <w:b/>
                <w:bCs/>
                <w:color w:val="auto"/>
                <w:sz w:val="24"/>
                <w:lang w:val="en-US" w:eastAsia="zh-CN"/>
              </w:rPr>
              <w:t>辅</w:t>
            </w:r>
            <w:r>
              <w:rPr>
                <w:rFonts w:hint="default" w:ascii="Times New Roman" w:hAnsi="Times New Roman" w:eastAsia="宋体" w:cs="Times New Roman"/>
                <w:b/>
                <w:bCs/>
                <w:color w:val="auto"/>
                <w:sz w:val="24"/>
                <w:lang w:val="en-US" w:eastAsia="zh-CN"/>
              </w:rPr>
              <w:t>材料消耗表</w:t>
            </w:r>
          </w:p>
          <w:tbl>
            <w:tblPr>
              <w:tblStyle w:val="24"/>
              <w:tblW w:w="493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2"/>
              <w:gridCol w:w="1064"/>
              <w:gridCol w:w="860"/>
              <w:gridCol w:w="1447"/>
              <w:gridCol w:w="696"/>
              <w:gridCol w:w="742"/>
              <w:gridCol w:w="960"/>
              <w:gridCol w:w="1473"/>
              <w:gridCol w:w="794"/>
            </w:tblGrid>
            <w:tr w14:paraId="0F9C3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3" w:hRule="atLeast"/>
                <w:jc w:val="center"/>
              </w:trPr>
              <w:tc>
                <w:tcPr>
                  <w:tcW w:w="277" w:type="pct"/>
                  <w:noWrap w:val="0"/>
                  <w:vAlign w:val="center"/>
                </w:tcPr>
                <w:p w14:paraId="4A07BDB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序号</w:t>
                  </w:r>
                </w:p>
              </w:tc>
              <w:tc>
                <w:tcPr>
                  <w:tcW w:w="625" w:type="pct"/>
                  <w:noWrap w:val="0"/>
                  <w:vAlign w:val="center"/>
                </w:tcPr>
                <w:p w14:paraId="7642153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名称</w:t>
                  </w:r>
                </w:p>
              </w:tc>
              <w:tc>
                <w:tcPr>
                  <w:tcW w:w="505" w:type="pct"/>
                  <w:noWrap w:val="0"/>
                  <w:vAlign w:val="center"/>
                </w:tcPr>
                <w:p w14:paraId="7497EE1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用量</w:t>
                  </w:r>
                </w:p>
                <w:p w14:paraId="5A095D0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（t/a）</w:t>
                  </w:r>
                </w:p>
              </w:tc>
              <w:tc>
                <w:tcPr>
                  <w:tcW w:w="850" w:type="pct"/>
                  <w:noWrap w:val="0"/>
                  <w:vAlign w:val="center"/>
                </w:tcPr>
                <w:p w14:paraId="3FE31B2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成分</w:t>
                  </w:r>
                </w:p>
              </w:tc>
              <w:tc>
                <w:tcPr>
                  <w:tcW w:w="409" w:type="pct"/>
                  <w:noWrap w:val="0"/>
                  <w:vAlign w:val="center"/>
                </w:tcPr>
                <w:p w14:paraId="0BC243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状态</w:t>
                  </w:r>
                </w:p>
              </w:tc>
              <w:tc>
                <w:tcPr>
                  <w:tcW w:w="436" w:type="pct"/>
                  <w:noWrap w:val="0"/>
                  <w:vAlign w:val="center"/>
                </w:tcPr>
                <w:p w14:paraId="4885479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包装方式</w:t>
                  </w:r>
                </w:p>
              </w:tc>
              <w:tc>
                <w:tcPr>
                  <w:tcW w:w="564" w:type="pct"/>
                  <w:noWrap w:val="0"/>
                  <w:vAlign w:val="center"/>
                </w:tcPr>
                <w:p w14:paraId="295C37A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最大暂存量</w:t>
                  </w:r>
                </w:p>
              </w:tc>
              <w:tc>
                <w:tcPr>
                  <w:tcW w:w="865" w:type="pct"/>
                  <w:noWrap w:val="0"/>
                  <w:vAlign w:val="center"/>
                </w:tcPr>
                <w:p w14:paraId="0500470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储存场所</w:t>
                  </w:r>
                </w:p>
              </w:tc>
              <w:tc>
                <w:tcPr>
                  <w:tcW w:w="466" w:type="pct"/>
                  <w:shd w:val="clear" w:color="auto" w:fill="auto"/>
                  <w:noWrap w:val="0"/>
                  <w:vAlign w:val="center"/>
                </w:tcPr>
                <w:p w14:paraId="4C55E7B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来源</w:t>
                  </w:r>
                </w:p>
              </w:tc>
            </w:tr>
            <w:tr w14:paraId="48AE0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1" w:hRule="atLeast"/>
                <w:jc w:val="center"/>
              </w:trPr>
              <w:tc>
                <w:tcPr>
                  <w:tcW w:w="277" w:type="pct"/>
                  <w:noWrap w:val="0"/>
                  <w:vAlign w:val="center"/>
                </w:tcPr>
                <w:p w14:paraId="6AC0784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625" w:type="pct"/>
                  <w:noWrap w:val="0"/>
                  <w:vAlign w:val="center"/>
                </w:tcPr>
                <w:p w14:paraId="0A8E041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HDPE</w:t>
                  </w:r>
                </w:p>
              </w:tc>
              <w:tc>
                <w:tcPr>
                  <w:tcW w:w="505" w:type="pct"/>
                  <w:noWrap w:val="0"/>
                  <w:vAlign w:val="center"/>
                </w:tcPr>
                <w:p w14:paraId="3D32EAC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34</w:t>
                  </w:r>
                  <w:r>
                    <w:rPr>
                      <w:rFonts w:hint="default" w:ascii="Times New Roman" w:hAnsi="Times New Roman" w:eastAsia="宋体" w:cs="Times New Roman"/>
                      <w:b w:val="0"/>
                      <w:bCs w:val="0"/>
                      <w:color w:val="auto"/>
                      <w:sz w:val="21"/>
                      <w:szCs w:val="21"/>
                      <w:lang w:val="en-US" w:eastAsia="zh-CN"/>
                    </w:rPr>
                    <w:t>00</w:t>
                  </w:r>
                </w:p>
              </w:tc>
              <w:tc>
                <w:tcPr>
                  <w:tcW w:w="850" w:type="pct"/>
                  <w:noWrap w:val="0"/>
                  <w:vAlign w:val="center"/>
                </w:tcPr>
                <w:p w14:paraId="6DFA56F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HDPE</w:t>
                  </w:r>
                </w:p>
              </w:tc>
              <w:tc>
                <w:tcPr>
                  <w:tcW w:w="409" w:type="pct"/>
                  <w:noWrap w:val="0"/>
                  <w:vAlign w:val="center"/>
                </w:tcPr>
                <w:p w14:paraId="6D32723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olor w:val="auto"/>
                      <w:sz w:val="21"/>
                      <w:szCs w:val="21"/>
                      <w:lang w:val="en-US" w:eastAsia="zh-CN"/>
                    </w:rPr>
                    <w:t>颗粒</w:t>
                  </w:r>
                </w:p>
              </w:tc>
              <w:tc>
                <w:tcPr>
                  <w:tcW w:w="436" w:type="pct"/>
                  <w:noWrap w:val="0"/>
                  <w:vAlign w:val="center"/>
                </w:tcPr>
                <w:p w14:paraId="0C3036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袋装</w:t>
                  </w:r>
                </w:p>
              </w:tc>
              <w:tc>
                <w:tcPr>
                  <w:tcW w:w="564" w:type="pct"/>
                  <w:noWrap w:val="0"/>
                  <w:vAlign w:val="center"/>
                </w:tcPr>
                <w:p w14:paraId="31ADAA6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210t</w:t>
                  </w:r>
                </w:p>
              </w:tc>
              <w:tc>
                <w:tcPr>
                  <w:tcW w:w="865" w:type="pct"/>
                  <w:noWrap w:val="0"/>
                  <w:vAlign w:val="center"/>
                </w:tcPr>
                <w:p w14:paraId="613A41C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原料库1</w:t>
                  </w:r>
                </w:p>
              </w:tc>
              <w:tc>
                <w:tcPr>
                  <w:tcW w:w="466" w:type="pct"/>
                  <w:shd w:val="clear" w:color="auto" w:fill="auto"/>
                  <w:noWrap w:val="0"/>
                  <w:vAlign w:val="center"/>
                </w:tcPr>
                <w:p w14:paraId="6BFAEA6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外购</w:t>
                  </w:r>
                </w:p>
              </w:tc>
            </w:tr>
            <w:tr w14:paraId="6CFEB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jc w:val="center"/>
              </w:trPr>
              <w:tc>
                <w:tcPr>
                  <w:tcW w:w="277" w:type="pct"/>
                  <w:noWrap w:val="0"/>
                  <w:vAlign w:val="center"/>
                </w:tcPr>
                <w:p w14:paraId="25D35A6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w:t>
                  </w:r>
                </w:p>
              </w:tc>
              <w:tc>
                <w:tcPr>
                  <w:tcW w:w="625" w:type="pct"/>
                  <w:noWrap w:val="0"/>
                  <w:vAlign w:val="center"/>
                </w:tcPr>
                <w:p w14:paraId="5EAEA51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钢材</w:t>
                  </w:r>
                </w:p>
              </w:tc>
              <w:tc>
                <w:tcPr>
                  <w:tcW w:w="505" w:type="pct"/>
                  <w:noWrap w:val="0"/>
                  <w:vAlign w:val="center"/>
                </w:tcPr>
                <w:p w14:paraId="2621ED5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4000</w:t>
                  </w:r>
                </w:p>
              </w:tc>
              <w:tc>
                <w:tcPr>
                  <w:tcW w:w="850" w:type="pct"/>
                  <w:noWrap w:val="0"/>
                  <w:vAlign w:val="center"/>
                </w:tcPr>
                <w:p w14:paraId="3B403FE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热</w:t>
                  </w:r>
                  <w:r>
                    <w:rPr>
                      <w:rFonts w:hint="default" w:ascii="Times New Roman" w:hAnsi="Times New Roman" w:eastAsia="宋体" w:cs="Times New Roman"/>
                      <w:b w:val="0"/>
                      <w:bCs w:val="0"/>
                      <w:color w:val="auto"/>
                      <w:sz w:val="21"/>
                      <w:szCs w:val="21"/>
                      <w:lang w:val="en-US" w:eastAsia="zh-CN"/>
                    </w:rPr>
                    <w:t>镀锌钢</w:t>
                  </w:r>
                </w:p>
              </w:tc>
              <w:tc>
                <w:tcPr>
                  <w:tcW w:w="409" w:type="pct"/>
                  <w:noWrap w:val="0"/>
                  <w:vAlign w:val="center"/>
                </w:tcPr>
                <w:p w14:paraId="67E54E0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钢管</w:t>
                  </w:r>
                </w:p>
              </w:tc>
              <w:tc>
                <w:tcPr>
                  <w:tcW w:w="436" w:type="pct"/>
                  <w:noWrap w:val="0"/>
                  <w:vAlign w:val="center"/>
                </w:tcPr>
                <w:p w14:paraId="4DD87C3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捆装</w:t>
                  </w:r>
                </w:p>
              </w:tc>
              <w:tc>
                <w:tcPr>
                  <w:tcW w:w="564" w:type="pct"/>
                  <w:noWrap w:val="0"/>
                  <w:vAlign w:val="center"/>
                </w:tcPr>
                <w:p w14:paraId="5B2C74D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200t</w:t>
                  </w:r>
                </w:p>
              </w:tc>
              <w:tc>
                <w:tcPr>
                  <w:tcW w:w="865" w:type="pct"/>
                  <w:noWrap w:val="0"/>
                  <w:vAlign w:val="center"/>
                </w:tcPr>
                <w:p w14:paraId="5368773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金属材料库</w:t>
                  </w:r>
                </w:p>
              </w:tc>
              <w:tc>
                <w:tcPr>
                  <w:tcW w:w="466" w:type="pct"/>
                  <w:shd w:val="clear" w:color="auto" w:fill="auto"/>
                  <w:noWrap w:val="0"/>
                  <w:vAlign w:val="center"/>
                </w:tcPr>
                <w:p w14:paraId="348494F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外购</w:t>
                  </w:r>
                </w:p>
              </w:tc>
            </w:tr>
            <w:tr w14:paraId="426BF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jc w:val="center"/>
              </w:trPr>
              <w:tc>
                <w:tcPr>
                  <w:tcW w:w="277" w:type="pct"/>
                  <w:noWrap w:val="0"/>
                  <w:vAlign w:val="center"/>
                </w:tcPr>
                <w:p w14:paraId="07F2AD6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3</w:t>
                  </w:r>
                </w:p>
              </w:tc>
              <w:tc>
                <w:tcPr>
                  <w:tcW w:w="625" w:type="pct"/>
                  <w:noWrap w:val="0"/>
                  <w:vAlign w:val="center"/>
                </w:tcPr>
                <w:p w14:paraId="321251D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色母粒</w:t>
                  </w:r>
                </w:p>
              </w:tc>
              <w:tc>
                <w:tcPr>
                  <w:tcW w:w="505" w:type="pct"/>
                  <w:noWrap w:val="0"/>
                  <w:vAlign w:val="center"/>
                </w:tcPr>
                <w:p w14:paraId="0578998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54.3</w:t>
                  </w:r>
                </w:p>
              </w:tc>
              <w:tc>
                <w:tcPr>
                  <w:tcW w:w="850" w:type="pct"/>
                  <w:noWrap w:val="0"/>
                  <w:vAlign w:val="center"/>
                </w:tcPr>
                <w:p w14:paraId="2F3800F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树脂、颜料</w:t>
                  </w:r>
                </w:p>
              </w:tc>
              <w:tc>
                <w:tcPr>
                  <w:tcW w:w="409" w:type="pct"/>
                  <w:noWrap w:val="0"/>
                  <w:vAlign w:val="center"/>
                </w:tcPr>
                <w:p w14:paraId="4FB2D32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颗粒</w:t>
                  </w:r>
                </w:p>
              </w:tc>
              <w:tc>
                <w:tcPr>
                  <w:tcW w:w="436" w:type="pct"/>
                  <w:noWrap w:val="0"/>
                  <w:vAlign w:val="center"/>
                </w:tcPr>
                <w:p w14:paraId="5BBBA16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袋装</w:t>
                  </w:r>
                </w:p>
              </w:tc>
              <w:tc>
                <w:tcPr>
                  <w:tcW w:w="564" w:type="pct"/>
                  <w:noWrap w:val="0"/>
                  <w:vAlign w:val="center"/>
                </w:tcPr>
                <w:p w14:paraId="1239A99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9t</w:t>
                  </w:r>
                </w:p>
              </w:tc>
              <w:tc>
                <w:tcPr>
                  <w:tcW w:w="865" w:type="pct"/>
                  <w:noWrap w:val="0"/>
                  <w:vAlign w:val="center"/>
                </w:tcPr>
                <w:p w14:paraId="756DEE4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原料库2</w:t>
                  </w:r>
                </w:p>
              </w:tc>
              <w:tc>
                <w:tcPr>
                  <w:tcW w:w="466" w:type="pct"/>
                  <w:shd w:val="clear" w:color="auto" w:fill="auto"/>
                  <w:noWrap w:val="0"/>
                  <w:vAlign w:val="center"/>
                </w:tcPr>
                <w:p w14:paraId="4A1C551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外购</w:t>
                  </w:r>
                </w:p>
              </w:tc>
            </w:tr>
            <w:tr w14:paraId="4AA68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1" w:hRule="atLeast"/>
                <w:jc w:val="center"/>
              </w:trPr>
              <w:tc>
                <w:tcPr>
                  <w:tcW w:w="277" w:type="pct"/>
                  <w:noWrap w:val="0"/>
                  <w:vAlign w:val="center"/>
                </w:tcPr>
                <w:p w14:paraId="4949D70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4</w:t>
                  </w:r>
                </w:p>
              </w:tc>
              <w:tc>
                <w:tcPr>
                  <w:tcW w:w="625" w:type="pct"/>
                  <w:noWrap w:val="0"/>
                  <w:vAlign w:val="center"/>
                </w:tcPr>
                <w:p w14:paraId="6F70F7E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抗老化助剂</w:t>
                  </w:r>
                </w:p>
              </w:tc>
              <w:tc>
                <w:tcPr>
                  <w:tcW w:w="505" w:type="pct"/>
                  <w:noWrap w:val="0"/>
                  <w:vAlign w:val="center"/>
                </w:tcPr>
                <w:p w14:paraId="16F929A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13.6</w:t>
                  </w:r>
                </w:p>
              </w:tc>
              <w:tc>
                <w:tcPr>
                  <w:tcW w:w="850" w:type="pct"/>
                  <w:noWrap w:val="0"/>
                  <w:vAlign w:val="center"/>
                </w:tcPr>
                <w:p w14:paraId="0B23EAE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Tinuvin系列</w:t>
                  </w:r>
                </w:p>
              </w:tc>
              <w:tc>
                <w:tcPr>
                  <w:tcW w:w="409" w:type="pct"/>
                  <w:noWrap w:val="0"/>
                  <w:vAlign w:val="center"/>
                </w:tcPr>
                <w:p w14:paraId="3BAF2B6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粉末</w:t>
                  </w:r>
                </w:p>
              </w:tc>
              <w:tc>
                <w:tcPr>
                  <w:tcW w:w="436" w:type="pct"/>
                  <w:noWrap w:val="0"/>
                  <w:vAlign w:val="center"/>
                </w:tcPr>
                <w:p w14:paraId="3BD17FA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袋装</w:t>
                  </w:r>
                </w:p>
              </w:tc>
              <w:tc>
                <w:tcPr>
                  <w:tcW w:w="564" w:type="pct"/>
                  <w:noWrap w:val="0"/>
                  <w:vAlign w:val="center"/>
                </w:tcPr>
                <w:p w14:paraId="4C62713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2t</w:t>
                  </w:r>
                </w:p>
              </w:tc>
              <w:tc>
                <w:tcPr>
                  <w:tcW w:w="865" w:type="pct"/>
                  <w:noWrap w:val="0"/>
                  <w:vAlign w:val="center"/>
                </w:tcPr>
                <w:p w14:paraId="14776FD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原料库2</w:t>
                  </w:r>
                </w:p>
              </w:tc>
              <w:tc>
                <w:tcPr>
                  <w:tcW w:w="466" w:type="pct"/>
                  <w:shd w:val="clear" w:color="auto" w:fill="auto"/>
                  <w:noWrap w:val="0"/>
                  <w:vAlign w:val="center"/>
                </w:tcPr>
                <w:p w14:paraId="5406857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外购</w:t>
                  </w:r>
                </w:p>
              </w:tc>
            </w:tr>
            <w:tr w14:paraId="10FAC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1" w:hRule="atLeast"/>
                <w:jc w:val="center"/>
              </w:trPr>
              <w:tc>
                <w:tcPr>
                  <w:tcW w:w="277" w:type="pct"/>
                  <w:noWrap w:val="0"/>
                  <w:vAlign w:val="center"/>
                </w:tcPr>
                <w:p w14:paraId="0A901B9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5</w:t>
                  </w:r>
                </w:p>
              </w:tc>
              <w:tc>
                <w:tcPr>
                  <w:tcW w:w="625" w:type="pct"/>
                  <w:noWrap w:val="0"/>
                  <w:vAlign w:val="center"/>
                </w:tcPr>
                <w:p w14:paraId="34FA84A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焊丝</w:t>
                  </w:r>
                </w:p>
              </w:tc>
              <w:tc>
                <w:tcPr>
                  <w:tcW w:w="505" w:type="pct"/>
                  <w:noWrap w:val="0"/>
                  <w:vAlign w:val="center"/>
                </w:tcPr>
                <w:p w14:paraId="574D545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40</w:t>
                  </w:r>
                </w:p>
              </w:tc>
              <w:tc>
                <w:tcPr>
                  <w:tcW w:w="850" w:type="pct"/>
                  <w:noWrap w:val="0"/>
                  <w:vAlign w:val="center"/>
                </w:tcPr>
                <w:p w14:paraId="052E3A3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实心焊丝</w:t>
                  </w:r>
                </w:p>
              </w:tc>
              <w:tc>
                <w:tcPr>
                  <w:tcW w:w="409" w:type="pct"/>
                  <w:noWrap w:val="0"/>
                  <w:vAlign w:val="center"/>
                </w:tcPr>
                <w:p w14:paraId="2863393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盘状</w:t>
                  </w:r>
                </w:p>
              </w:tc>
              <w:tc>
                <w:tcPr>
                  <w:tcW w:w="436" w:type="pct"/>
                  <w:noWrap w:val="0"/>
                  <w:vAlign w:val="center"/>
                </w:tcPr>
                <w:p w14:paraId="7ADEF84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箱装</w:t>
                  </w:r>
                </w:p>
              </w:tc>
              <w:tc>
                <w:tcPr>
                  <w:tcW w:w="564" w:type="pct"/>
                  <w:noWrap w:val="0"/>
                  <w:vAlign w:val="center"/>
                </w:tcPr>
                <w:p w14:paraId="34AAD28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1t</w:t>
                  </w:r>
                </w:p>
              </w:tc>
              <w:tc>
                <w:tcPr>
                  <w:tcW w:w="865" w:type="pct"/>
                  <w:noWrap w:val="0"/>
                  <w:vAlign w:val="center"/>
                </w:tcPr>
                <w:p w14:paraId="61FD9AE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金属材料库</w:t>
                  </w:r>
                </w:p>
              </w:tc>
              <w:tc>
                <w:tcPr>
                  <w:tcW w:w="466" w:type="pct"/>
                  <w:shd w:val="clear" w:color="auto" w:fill="auto"/>
                  <w:noWrap w:val="0"/>
                  <w:vAlign w:val="center"/>
                </w:tcPr>
                <w:p w14:paraId="1553504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外购</w:t>
                  </w:r>
                </w:p>
              </w:tc>
            </w:tr>
          </w:tbl>
          <w:p w14:paraId="2165F6C3">
            <w:pPr>
              <w:keepNext w:val="0"/>
              <w:keepLines w:val="0"/>
              <w:pageBreakBefore w:val="0"/>
              <w:suppressLineNumbers w:val="0"/>
              <w:kinsoku/>
              <w:wordWrap/>
              <w:overflowPunct/>
              <w:topLinePunct w:val="0"/>
              <w:bidi w:val="0"/>
              <w:adjustRightInd w:val="0"/>
              <w:snapToGrid w:val="0"/>
              <w:spacing w:before="0" w:beforeAutospacing="0" w:after="0" w:afterLines="0" w:afterAutospacing="0" w:line="276" w:lineRule="auto"/>
              <w:ind w:left="0" w:right="0" w:firstLine="480" w:firstLineChars="200"/>
              <w:textAlignment w:val="auto"/>
              <w:rPr>
                <w:rFonts w:hint="default" w:ascii="Times New Roman" w:hAnsi="Times New Roman" w:eastAsia="宋体" w:cs="Times New Roman"/>
                <w:color w:val="auto"/>
                <w:sz w:val="24"/>
                <w:szCs w:val="24"/>
              </w:rPr>
            </w:pPr>
          </w:p>
          <w:p w14:paraId="49DB6BB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主要</w:t>
            </w:r>
            <w:r>
              <w:rPr>
                <w:rFonts w:hint="default" w:ascii="Times New Roman" w:hAnsi="Times New Roman" w:eastAsia="宋体" w:cs="Times New Roman"/>
                <w:color w:val="auto"/>
                <w:kern w:val="0"/>
                <w:sz w:val="24"/>
                <w:szCs w:val="24"/>
                <w:lang w:val="en-US" w:eastAsia="zh-CN"/>
              </w:rPr>
              <w:t>原辅材料理化性质：</w:t>
            </w:r>
          </w:p>
          <w:p w14:paraId="7D25D4F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高密度聚乙烯</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HDPE</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：高密度聚乙烯是一种不透明白色腊状材料，比重比水轻，</w:t>
            </w:r>
            <w:r>
              <w:rPr>
                <w:rFonts w:hint="eastAsia" w:cs="Times New Roman"/>
                <w:color w:val="auto"/>
                <w:kern w:val="0"/>
                <w:sz w:val="24"/>
                <w:szCs w:val="24"/>
                <w:lang w:val="en-US" w:eastAsia="zh-CN"/>
              </w:rPr>
              <w:t>密度</w:t>
            </w:r>
            <w:r>
              <w:rPr>
                <w:rFonts w:hint="default" w:ascii="Times New Roman" w:hAnsi="Times New Roman" w:eastAsia="宋体" w:cs="Times New Roman"/>
                <w:color w:val="auto"/>
                <w:kern w:val="0"/>
                <w:sz w:val="24"/>
                <w:szCs w:val="24"/>
                <w:lang w:val="en-US" w:eastAsia="zh-CN"/>
              </w:rPr>
              <w:t>为0.941~0.960g/c</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 w:val="24"/>
                <w:szCs w:val="24"/>
                <w:lang w:val="en-US" w:eastAsia="zh-CN"/>
              </w:rPr>
              <w:t>，柔软而且有韧性，</w:t>
            </w:r>
            <w:r>
              <w:rPr>
                <w:rFonts w:hint="eastAsia" w:ascii="Times New Roman" w:hAnsi="Times New Roman" w:eastAsia="宋体" w:cs="Times New Roman"/>
                <w:color w:val="auto"/>
                <w:kern w:val="0"/>
                <w:sz w:val="24"/>
                <w:szCs w:val="24"/>
                <w:lang w:val="en-US" w:eastAsia="zh-CN"/>
              </w:rPr>
              <w:t>无毒，无味。</w:t>
            </w:r>
            <w:r>
              <w:rPr>
                <w:rFonts w:hint="default" w:ascii="宋体" w:hAnsi="宋体" w:eastAsia="宋体" w:cs="宋体"/>
                <w:color w:val="auto"/>
                <w:sz w:val="24"/>
                <w:szCs w:val="24"/>
              </w:rPr>
              <w:t>具有良好的耐热性、耐寒性、化学稳定性与机械强度，无毒无味，韧性与刚性均衡，耐酸碱腐蚀性能优异</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本项目采用HDPE为原料，通过吹塑工艺生产危废专用塑料桶及IBC吨桶内胆，利用HDPE材料耐化学腐蚀、防渗漏、抗冲击的特性，保障危险废物在收集、转运、暂存全流程中的包装安全，是危废处置行业常用的合规包装材料。</w:t>
            </w:r>
          </w:p>
          <w:p w14:paraId="0028673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热镀锌钢：热镀锌钢是以碳素结构钢为基材，经熔融热浸镀锌工艺在钢材表面形成致密、均匀的锌-铁合金层与纯锌保护层的金属材料。其锌层与基体呈冶金结合，附着力强、不易脱落，具备优异的力学强度、结构稳定性、耐候性与耐腐蚀性。热镀锌钢整体强度高、焊接与加工性能良好，表面镀锌层厚度均匀、耐久性强，在工业环境中正常使用条件下使用寿命可达15～30年。本项目IBC吨桶金属框架所采用的成品热镀锌钢材，根据其耐腐蚀性能、结构强度及使用年限，可有效保障危废收集、转运、暂存全流程的结构安全与防腐需求，无需再进行前处理、喷塑等二次防腐处理。</w:t>
            </w:r>
          </w:p>
          <w:p w14:paraId="05509CE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色母粒：</w:t>
            </w:r>
            <w:r>
              <w:rPr>
                <w:rFonts w:hint="default" w:ascii="Times New Roman" w:hAnsi="Times New Roman" w:eastAsia="宋体" w:cs="Times New Roman"/>
                <w:color w:val="auto"/>
                <w:kern w:val="0"/>
                <w:sz w:val="24"/>
                <w:szCs w:val="24"/>
                <w:lang w:val="en-US" w:eastAsia="zh-CN"/>
              </w:rPr>
              <w:t>色母粒是一种新型高分子</w:t>
            </w: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HYPERLINK "https://baike.baidu.com/item/%E6%9D%90%E6%96%99/0?fromModule=lemma_inlink" \t "https://baike.baidu.com/item/%E8%89%B2%E6%AF%8D/_blank"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材料</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专用</w:t>
            </w: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HYPERLINK "https://baike.baidu.com/item/%E7%9D%80%E8%89%B2%E5%89%82/2531263?fromModule=lemma_inlink" \t "https://baike.baidu.com/item/%E8%89%B2%E6%AF%8D/_blank"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着色剂</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，色母由</w:t>
            </w: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HYPERLINK "https://baike.baidu.com/item/%E9%A2%9C%E6%96%99/465850?fromModule=lemma_inlink" \t "https://baike.baidu.com/item/%E8%89%B2%E6%AF%8D/_blank"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颜料</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或</w:t>
            </w: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HYPERLINK "https://baike.baidu.com/item/%E6%9F%93%E6%96%99/1145782?fromModule=lemma_inlink" \t "https://baike.baidu.com/item/%E8%89%B2%E6%AF%8D/_blank"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染料</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、载体和</w:t>
            </w: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HYPERLINK "https://baike.baidu.com/item/%E6%B7%BB%E5%8A%A0%E5%89%82/5134870?fromModule=lemma_inlink" \t "https://baike.baidu.com/item/%E8%89%B2%E6%AF%8D/_blank"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添加剂</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三种基本要素所组成，是把超常量的</w:t>
            </w: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HYPERLINK "https://baike.baidu.com/item/%E9%A2%9C%E6%96%99/465850?fromModule=lemma_inlink" \t "https://baike.baidu.com/item/%E8%89%B2%E6%AF%8D/_blank"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颜料</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均匀载附于</w:t>
            </w:r>
            <w:r>
              <w:rPr>
                <w:rFonts w:hint="default" w:ascii="Times New Roman" w:hAnsi="Times New Roman" w:eastAsia="宋体" w:cs="Times New Roman"/>
                <w:color w:val="auto"/>
                <w:kern w:val="0"/>
                <w:sz w:val="24"/>
                <w:szCs w:val="24"/>
                <w:lang w:val="en-US" w:eastAsia="zh-CN"/>
              </w:rPr>
              <w:fldChar w:fldCharType="begin"/>
            </w:r>
            <w:r>
              <w:rPr>
                <w:rFonts w:hint="default" w:ascii="Times New Roman" w:hAnsi="Times New Roman" w:eastAsia="宋体" w:cs="Times New Roman"/>
                <w:color w:val="auto"/>
                <w:kern w:val="0"/>
                <w:sz w:val="24"/>
                <w:szCs w:val="24"/>
                <w:lang w:val="en-US" w:eastAsia="zh-CN"/>
              </w:rPr>
              <w:instrText xml:space="preserve"> HYPERLINK "https://baike.baidu.com/item/%E6%A0%91%E8%84%82/281282?fromModule=lemma_inlink" \t "https://baike.baidu.com/item/%E8%89%B2%E6%AF%8D/_blank" </w:instrText>
            </w:r>
            <w:r>
              <w:rPr>
                <w:rFonts w:hint="default" w:ascii="Times New Roman" w:hAnsi="Times New Roman" w:eastAsia="宋体" w:cs="Times New Roman"/>
                <w:color w:val="auto"/>
                <w:kern w:val="0"/>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rPr>
              <w:t>树脂</w:t>
            </w:r>
            <w:r>
              <w:rPr>
                <w:rFonts w:hint="default" w:ascii="Times New Roman" w:hAnsi="Times New Roman" w:eastAsia="宋体" w:cs="Times New Roman"/>
                <w:color w:val="auto"/>
                <w:kern w:val="0"/>
                <w:sz w:val="24"/>
                <w:szCs w:val="24"/>
                <w:lang w:val="en-US" w:eastAsia="zh-CN"/>
              </w:rPr>
              <w:fldChar w:fldCharType="end"/>
            </w:r>
            <w:r>
              <w:rPr>
                <w:rFonts w:hint="default" w:ascii="Times New Roman" w:hAnsi="Times New Roman" w:eastAsia="宋体" w:cs="Times New Roman"/>
                <w:color w:val="auto"/>
                <w:kern w:val="0"/>
                <w:sz w:val="24"/>
                <w:szCs w:val="24"/>
                <w:lang w:val="en-US" w:eastAsia="zh-CN"/>
              </w:rPr>
              <w:t>之中而制得的聚集体，表面光滑、无粉尘</w:t>
            </w:r>
            <w:r>
              <w:rPr>
                <w:rFonts w:hint="eastAsia" w:ascii="Times New Roman" w:hAnsi="Times New Roman" w:eastAsia="宋体" w:cs="Times New Roman"/>
                <w:color w:val="auto"/>
                <w:kern w:val="0"/>
                <w:sz w:val="24"/>
                <w:szCs w:val="24"/>
                <w:lang w:val="en-US" w:eastAsia="zh-CN"/>
              </w:rPr>
              <w:t>，密度随载体或颜料变化，</w:t>
            </w:r>
            <w:r>
              <w:rPr>
                <w:rFonts w:hint="default" w:ascii="Times New Roman" w:hAnsi="Times New Roman" w:eastAsia="宋体" w:cs="Times New Roman"/>
                <w:color w:val="auto"/>
                <w:kern w:val="0"/>
                <w:sz w:val="24"/>
                <w:szCs w:val="24"/>
                <w:lang w:val="en-US" w:eastAsia="zh-CN"/>
              </w:rPr>
              <w:t>通用色母</w:t>
            </w:r>
            <w:r>
              <w:rPr>
                <w:rFonts w:hint="eastAsia" w:ascii="Times New Roman" w:hAnsi="Times New Roman" w:eastAsia="宋体" w:cs="Times New Roman"/>
                <w:color w:val="auto"/>
                <w:kern w:val="0"/>
                <w:sz w:val="24"/>
                <w:szCs w:val="24"/>
                <w:lang w:val="en-US" w:eastAsia="zh-CN"/>
              </w:rPr>
              <w:t>密度一般在</w:t>
            </w:r>
            <w:r>
              <w:rPr>
                <w:rFonts w:hint="default" w:ascii="Times New Roman" w:hAnsi="Times New Roman" w:eastAsia="宋体" w:cs="Times New Roman"/>
                <w:color w:val="auto"/>
                <w:kern w:val="0"/>
                <w:sz w:val="24"/>
                <w:szCs w:val="24"/>
                <w:lang w:val="en-US" w:eastAsia="zh-CN"/>
              </w:rPr>
              <w:t>0.9</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1.2g/c</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高填充无机色母（如钛白、炭黑）</w:t>
            </w:r>
            <w:r>
              <w:rPr>
                <w:rFonts w:hint="eastAsia" w:ascii="Times New Roman" w:hAnsi="Times New Roman" w:eastAsia="宋体" w:cs="Times New Roman"/>
                <w:color w:val="auto"/>
                <w:kern w:val="0"/>
                <w:sz w:val="24"/>
                <w:szCs w:val="24"/>
                <w:lang w:val="en-US" w:eastAsia="zh-CN"/>
              </w:rPr>
              <w:t>密度一般在</w:t>
            </w:r>
            <w:r>
              <w:rPr>
                <w:rFonts w:hint="default" w:ascii="Times New Roman" w:hAnsi="Times New Roman" w:eastAsia="宋体" w:cs="Times New Roman"/>
                <w:color w:val="auto"/>
                <w:kern w:val="0"/>
                <w:sz w:val="24"/>
                <w:szCs w:val="24"/>
                <w:lang w:val="en-US" w:eastAsia="zh-CN"/>
              </w:rPr>
              <w:t>1.3</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1.8g/c</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 w:val="24"/>
                <w:szCs w:val="24"/>
                <w:lang w:val="en-US" w:eastAsia="zh-CN"/>
              </w:rPr>
              <w:t>。主要用于塑料或橡胶制品中，以达到所需的颜色效果。</w:t>
            </w:r>
          </w:p>
          <w:p w14:paraId="7781365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抗老化助剂：抗老化助剂主要有</w:t>
            </w:r>
            <w:r>
              <w:rPr>
                <w:rFonts w:hint="default" w:ascii="Times New Roman" w:hAnsi="Times New Roman" w:eastAsia="宋体" w:cs="Times New Roman"/>
                <w:color w:val="auto"/>
                <w:kern w:val="0"/>
                <w:sz w:val="24"/>
                <w:szCs w:val="24"/>
                <w:lang w:val="en-US" w:eastAsia="zh-CN"/>
              </w:rPr>
              <w:t>紫外线吸收剂</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受阻胺光稳定剂</w:t>
            </w:r>
            <w:r>
              <w:rPr>
                <w:rFonts w:hint="eastAsia" w:ascii="Times New Roman" w:hAnsi="Times New Roman" w:eastAsia="宋体" w:cs="Times New Roman"/>
                <w:color w:val="auto"/>
                <w:kern w:val="0"/>
                <w:sz w:val="24"/>
                <w:szCs w:val="24"/>
                <w:lang w:val="en-US" w:eastAsia="zh-CN"/>
              </w:rPr>
              <w:t>、抗氧剂，</w:t>
            </w:r>
            <w:r>
              <w:rPr>
                <w:rFonts w:hint="default" w:ascii="Times New Roman" w:hAnsi="Times New Roman" w:eastAsia="宋体" w:cs="Times New Roman"/>
                <w:color w:val="auto"/>
                <w:kern w:val="0"/>
                <w:sz w:val="24"/>
                <w:szCs w:val="24"/>
                <w:lang w:val="en-US" w:eastAsia="zh-CN"/>
              </w:rPr>
              <w:t>多为白色</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微黄色粉末、颗粒、片状，基本无明显气味</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不溶于水</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溶于芳烃、酯、酮、醇等有机溶剂</w:t>
            </w:r>
            <w:r>
              <w:rPr>
                <w:rFonts w:hint="eastAsia" w:ascii="Times New Roman" w:hAnsi="Times New Roman" w:eastAsia="宋体" w:cs="Times New Roman"/>
                <w:color w:val="auto"/>
                <w:kern w:val="0"/>
                <w:sz w:val="24"/>
                <w:szCs w:val="24"/>
                <w:lang w:val="en-US" w:eastAsia="zh-CN"/>
              </w:rPr>
              <w:t>。抗老化助剂熔点一般在</w:t>
            </w:r>
            <w:r>
              <w:rPr>
                <w:rFonts w:hint="default" w:ascii="Times New Roman" w:hAnsi="Times New Roman" w:eastAsia="宋体" w:cs="Times New Roman"/>
                <w:color w:val="auto"/>
                <w:kern w:val="0"/>
                <w:sz w:val="24"/>
                <w:szCs w:val="24"/>
                <w:lang w:val="en-US" w:eastAsia="zh-CN"/>
              </w:rPr>
              <w:t>40～190℃</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热分解温度</w:t>
            </w:r>
            <w:r>
              <w:rPr>
                <w:rFonts w:hint="eastAsia" w:ascii="Times New Roman" w:hAnsi="Times New Roman" w:eastAsia="宋体" w:cs="Times New Roman"/>
                <w:color w:val="auto"/>
                <w:kern w:val="0"/>
                <w:sz w:val="24"/>
                <w:szCs w:val="24"/>
                <w:lang w:val="en-US" w:eastAsia="zh-CN"/>
              </w:rPr>
              <w:t>大于</w:t>
            </w:r>
            <w:r>
              <w:rPr>
                <w:rFonts w:hint="default" w:ascii="Times New Roman" w:hAnsi="Times New Roman" w:eastAsia="宋体" w:cs="Times New Roman"/>
                <w:color w:val="auto"/>
                <w:kern w:val="0"/>
                <w:sz w:val="24"/>
                <w:szCs w:val="24"/>
                <w:lang w:val="en-US" w:eastAsia="zh-CN"/>
              </w:rPr>
              <w:t>220℃</w:t>
            </w:r>
            <w:r>
              <w:rPr>
                <w:rFonts w:hint="eastAsia" w:ascii="Times New Roman" w:hAnsi="Times New Roman" w:eastAsia="宋体" w:cs="Times New Roman"/>
                <w:color w:val="auto"/>
                <w:kern w:val="0"/>
                <w:sz w:val="24"/>
                <w:szCs w:val="24"/>
                <w:lang w:val="en-US" w:eastAsia="zh-CN"/>
              </w:rPr>
              <w:t>。抗老化助剂的核心作用为抑制塑料、橡胶、涂料、纤维等在加工/使用中受热、氧、紫外线导致的发黄、变脆、开裂、强度下降，延长使用寿命。</w:t>
            </w:r>
          </w:p>
          <w:p w14:paraId="5E1DD6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表2-4主要原辅材料理化性质表</w:t>
            </w:r>
          </w:p>
          <w:tbl>
            <w:tblPr>
              <w:tblStyle w:val="2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1"/>
              <w:gridCol w:w="2088"/>
              <w:gridCol w:w="2875"/>
              <w:gridCol w:w="1525"/>
              <w:gridCol w:w="1061"/>
            </w:tblGrid>
            <w:tr w14:paraId="33963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dxa"/>
                  <w:tcBorders>
                    <w:tl2br w:val="nil"/>
                    <w:tr2bl w:val="nil"/>
                  </w:tcBorders>
                  <w:vAlign w:val="center"/>
                </w:tcPr>
                <w:p w14:paraId="6699C1D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原辅材</w:t>
                  </w:r>
                </w:p>
                <w:p w14:paraId="030DB5E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料名称</w:t>
                  </w:r>
                </w:p>
              </w:tc>
              <w:tc>
                <w:tcPr>
                  <w:tcW w:w="2088" w:type="dxa"/>
                  <w:tcBorders>
                    <w:tl2br w:val="nil"/>
                    <w:tr2bl w:val="nil"/>
                  </w:tcBorders>
                  <w:vAlign w:val="center"/>
                </w:tcPr>
                <w:p w14:paraId="03B5B30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组分</w:t>
                  </w:r>
                </w:p>
              </w:tc>
              <w:tc>
                <w:tcPr>
                  <w:tcW w:w="2875" w:type="dxa"/>
                  <w:tcBorders>
                    <w:tl2br w:val="nil"/>
                    <w:tr2bl w:val="nil"/>
                  </w:tcBorders>
                  <w:vAlign w:val="center"/>
                </w:tcPr>
                <w:p w14:paraId="462F547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理化性质</w:t>
                  </w:r>
                </w:p>
              </w:tc>
              <w:tc>
                <w:tcPr>
                  <w:tcW w:w="1525" w:type="dxa"/>
                  <w:tcBorders>
                    <w:tl2br w:val="nil"/>
                    <w:tr2bl w:val="nil"/>
                  </w:tcBorders>
                  <w:vAlign w:val="center"/>
                </w:tcPr>
                <w:p w14:paraId="658CA64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燃爆特征</w:t>
                  </w:r>
                </w:p>
              </w:tc>
              <w:tc>
                <w:tcPr>
                  <w:tcW w:w="1061" w:type="dxa"/>
                  <w:tcBorders>
                    <w:tl2br w:val="nil"/>
                    <w:tr2bl w:val="nil"/>
                  </w:tcBorders>
                  <w:vAlign w:val="center"/>
                </w:tcPr>
                <w:p w14:paraId="6811DB0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风险物质判定</w:t>
                  </w:r>
                </w:p>
              </w:tc>
            </w:tr>
            <w:tr w14:paraId="12C90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dxa"/>
                  <w:tcBorders>
                    <w:tl2br w:val="nil"/>
                    <w:tr2bl w:val="nil"/>
                  </w:tcBorders>
                  <w:vAlign w:val="center"/>
                </w:tcPr>
                <w:p w14:paraId="1AB5838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HDPE</w:t>
                  </w:r>
                </w:p>
              </w:tc>
              <w:tc>
                <w:tcPr>
                  <w:tcW w:w="2088" w:type="dxa"/>
                  <w:tcBorders>
                    <w:tl2br w:val="nil"/>
                    <w:tr2bl w:val="nil"/>
                  </w:tcBorders>
                  <w:vAlign w:val="center"/>
                </w:tcPr>
                <w:p w14:paraId="782A4AE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高密度聚乙烯</w:t>
                  </w:r>
                </w:p>
              </w:tc>
              <w:tc>
                <w:tcPr>
                  <w:tcW w:w="2875" w:type="dxa"/>
                  <w:tcBorders>
                    <w:tl2br w:val="nil"/>
                    <w:tr2bl w:val="nil"/>
                  </w:tcBorders>
                  <w:vAlign w:val="center"/>
                </w:tcPr>
                <w:p w14:paraId="6F7741A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外观为白色粉末/颗粒，无臭无味</w:t>
                  </w:r>
                </w:p>
                <w:p w14:paraId="7FFA9CF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密度：</w:t>
                  </w:r>
                  <w:r>
                    <w:rPr>
                      <w:rFonts w:hint="default" w:ascii="Times New Roman" w:hAnsi="Times New Roman" w:eastAsia="宋体" w:cs="Times New Roman"/>
                      <w:b w:val="0"/>
                      <w:bCs w:val="0"/>
                      <w:color w:val="auto"/>
                      <w:sz w:val="21"/>
                      <w:szCs w:val="21"/>
                      <w:lang w:val="en-US" w:eastAsia="zh-CN"/>
                    </w:rPr>
                    <w:t>0.941~0.960g/c</w:t>
                  </w:r>
                  <w:r>
                    <w:rPr>
                      <w:rFonts w:hint="default" w:ascii="Times New Roman" w:hAnsi="Times New Roman" w:eastAsia="宋体"/>
                      <w:color w:val="auto"/>
                      <w:sz w:val="21"/>
                      <w:szCs w:val="21"/>
                      <w:lang w:val="en-US" w:eastAsia="zh-CN"/>
                    </w:rPr>
                    <w:t>m</w:t>
                  </w:r>
                  <w:r>
                    <w:rPr>
                      <w:rFonts w:hint="default" w:ascii="Times New Roman" w:hAnsi="Times New Roman" w:eastAsia="宋体"/>
                      <w:color w:val="auto"/>
                      <w:sz w:val="21"/>
                      <w:szCs w:val="21"/>
                      <w:vertAlign w:val="superscript"/>
                      <w:lang w:val="en-US" w:eastAsia="zh-CN"/>
                    </w:rPr>
                    <w:t>3</w:t>
                  </w:r>
                </w:p>
                <w:p w14:paraId="0EBA7D7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熔点：131-135℃</w:t>
                  </w:r>
                </w:p>
                <w:p w14:paraId="3329D5E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热分解温度＞300℃</w:t>
                  </w:r>
                </w:p>
              </w:tc>
              <w:tc>
                <w:tcPr>
                  <w:tcW w:w="1525" w:type="dxa"/>
                  <w:tcBorders>
                    <w:tl2br w:val="nil"/>
                    <w:tr2bl w:val="nil"/>
                  </w:tcBorders>
                  <w:vAlign w:val="center"/>
                </w:tcPr>
                <w:p w14:paraId="10B0542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可燃，粉尘云可爆炸</w:t>
                  </w:r>
                </w:p>
              </w:tc>
              <w:tc>
                <w:tcPr>
                  <w:tcW w:w="1061" w:type="dxa"/>
                  <w:tcBorders>
                    <w:tl2br w:val="nil"/>
                    <w:tr2bl w:val="nil"/>
                  </w:tcBorders>
                  <w:vAlign w:val="center"/>
                </w:tcPr>
                <w:p w14:paraId="451E015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否</w:t>
                  </w:r>
                </w:p>
              </w:tc>
            </w:tr>
            <w:tr w14:paraId="0B9EF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dxa"/>
                  <w:tcBorders>
                    <w:tl2br w:val="nil"/>
                    <w:tr2bl w:val="nil"/>
                  </w:tcBorders>
                  <w:vAlign w:val="center"/>
                </w:tcPr>
                <w:p w14:paraId="4EBB9B1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色母粒</w:t>
                  </w:r>
                </w:p>
              </w:tc>
              <w:tc>
                <w:tcPr>
                  <w:tcW w:w="2088" w:type="dxa"/>
                  <w:tcBorders>
                    <w:tl2br w:val="nil"/>
                    <w:tr2bl w:val="nil"/>
                  </w:tcBorders>
                  <w:vAlign w:val="center"/>
                </w:tcPr>
                <w:p w14:paraId="5FF0729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载体树脂（PE/PP等）、颜料（炭黑/钛白/有机颜料）、添加剂</w:t>
                  </w:r>
                </w:p>
              </w:tc>
              <w:tc>
                <w:tcPr>
                  <w:tcW w:w="2875" w:type="dxa"/>
                  <w:tcBorders>
                    <w:tl2br w:val="nil"/>
                    <w:tr2bl w:val="nil"/>
                  </w:tcBorders>
                  <w:vAlign w:val="center"/>
                </w:tcPr>
                <w:p w14:paraId="1E7A37F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外观为彩色圆柱颗粒，无粉尘</w:t>
                  </w:r>
                </w:p>
                <w:p w14:paraId="5A86414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密度一般在</w:t>
                  </w:r>
                  <w:r>
                    <w:rPr>
                      <w:rFonts w:hint="default" w:ascii="Times New Roman" w:hAnsi="Times New Roman" w:eastAsia="宋体" w:cs="Times New Roman"/>
                      <w:b w:val="0"/>
                      <w:bCs w:val="0"/>
                      <w:color w:val="auto"/>
                      <w:sz w:val="21"/>
                      <w:szCs w:val="21"/>
                      <w:lang w:val="en-US" w:eastAsia="zh-CN"/>
                    </w:rPr>
                    <w:t>0.9</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1.2g/c</w:t>
                  </w:r>
                  <w:r>
                    <w:rPr>
                      <w:rFonts w:hint="default" w:ascii="Times New Roman" w:hAnsi="Times New Roman" w:eastAsia="宋体"/>
                      <w:color w:val="auto"/>
                      <w:sz w:val="21"/>
                      <w:szCs w:val="21"/>
                      <w:lang w:val="en-US" w:eastAsia="zh-CN"/>
                    </w:rPr>
                    <w:t>m</w:t>
                  </w:r>
                  <w:r>
                    <w:rPr>
                      <w:rFonts w:hint="default" w:ascii="Times New Roman" w:hAnsi="Times New Roman" w:eastAsia="宋体"/>
                      <w:color w:val="auto"/>
                      <w:sz w:val="21"/>
                      <w:szCs w:val="21"/>
                      <w:vertAlign w:val="superscript"/>
                      <w:lang w:val="en-US" w:eastAsia="zh-CN"/>
                    </w:rPr>
                    <w:t>3</w:t>
                  </w:r>
                </w:p>
              </w:tc>
              <w:tc>
                <w:tcPr>
                  <w:tcW w:w="1525" w:type="dxa"/>
                  <w:tcBorders>
                    <w:tl2br w:val="nil"/>
                    <w:tr2bl w:val="nil"/>
                  </w:tcBorders>
                  <w:vAlign w:val="center"/>
                </w:tcPr>
                <w:p w14:paraId="07F273C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可燃，无闪点，粉尘云具爆炸风险</w:t>
                  </w:r>
                </w:p>
              </w:tc>
              <w:tc>
                <w:tcPr>
                  <w:tcW w:w="1061" w:type="dxa"/>
                  <w:tcBorders>
                    <w:tl2br w:val="nil"/>
                    <w:tr2bl w:val="nil"/>
                  </w:tcBorders>
                  <w:vAlign w:val="center"/>
                </w:tcPr>
                <w:p w14:paraId="0E5A11C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否</w:t>
                  </w:r>
                </w:p>
              </w:tc>
            </w:tr>
            <w:tr w14:paraId="1DE47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dxa"/>
                  <w:tcBorders>
                    <w:tl2br w:val="nil"/>
                    <w:tr2bl w:val="nil"/>
                  </w:tcBorders>
                  <w:vAlign w:val="center"/>
                </w:tcPr>
                <w:p w14:paraId="42F0ED3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抗老化助剂</w:t>
                  </w:r>
                </w:p>
              </w:tc>
              <w:tc>
                <w:tcPr>
                  <w:tcW w:w="2088" w:type="dxa"/>
                  <w:tcBorders>
                    <w:tl2br w:val="nil"/>
                    <w:tr2bl w:val="nil"/>
                  </w:tcBorders>
                  <w:vAlign w:val="center"/>
                </w:tcPr>
                <w:p w14:paraId="49497BE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受阻酚类、亚磷酸酯类、受阻胺类、紫外线吸收剂</w:t>
                  </w:r>
                </w:p>
              </w:tc>
              <w:tc>
                <w:tcPr>
                  <w:tcW w:w="2875" w:type="dxa"/>
                  <w:tcBorders>
                    <w:tl2br w:val="nil"/>
                    <w:tr2bl w:val="nil"/>
                  </w:tcBorders>
                  <w:vAlign w:val="center"/>
                </w:tcPr>
                <w:p w14:paraId="775AAD2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外观多为白色、淡黄色粉末、结晶</w:t>
                  </w:r>
                </w:p>
                <w:p w14:paraId="7338029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熔点：40-190℃</w:t>
                  </w:r>
                </w:p>
                <w:p w14:paraId="27CC256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热分解温度＞220℃</w:t>
                  </w:r>
                </w:p>
              </w:tc>
              <w:tc>
                <w:tcPr>
                  <w:tcW w:w="1525" w:type="dxa"/>
                  <w:tcBorders>
                    <w:tl2br w:val="nil"/>
                    <w:tr2bl w:val="nil"/>
                  </w:tcBorders>
                  <w:vAlign w:val="center"/>
                </w:tcPr>
                <w:p w14:paraId="23264FB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多数可燃，闪点为120-200℃，无粉尘爆炸风险</w:t>
                  </w:r>
                </w:p>
              </w:tc>
              <w:tc>
                <w:tcPr>
                  <w:tcW w:w="1061" w:type="dxa"/>
                  <w:tcBorders>
                    <w:tl2br w:val="nil"/>
                    <w:tr2bl w:val="nil"/>
                  </w:tcBorders>
                  <w:vAlign w:val="center"/>
                </w:tcPr>
                <w:p w14:paraId="36F87B3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否</w:t>
                  </w:r>
                </w:p>
              </w:tc>
            </w:tr>
          </w:tbl>
          <w:p w14:paraId="57DBEDA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5、主要生产设备</w:t>
            </w:r>
          </w:p>
          <w:p w14:paraId="14A9F98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建设项目主要设备见表2-</w:t>
            </w:r>
            <w:r>
              <w:rPr>
                <w:rFonts w:hint="eastAsia" w:ascii="Times New Roman" w:hAnsi="Times New Roman" w:eastAsia="宋体" w:cs="Times New Roman"/>
                <w:color w:val="auto"/>
                <w:kern w:val="0"/>
                <w:sz w:val="24"/>
                <w:szCs w:val="24"/>
                <w:lang w:val="en-US" w:eastAsia="zh-CN"/>
              </w:rPr>
              <w:t>5</w:t>
            </w:r>
            <w:r>
              <w:rPr>
                <w:rFonts w:hint="default" w:ascii="Times New Roman" w:hAnsi="Times New Roman" w:eastAsia="宋体" w:cs="Times New Roman"/>
                <w:color w:val="auto"/>
                <w:kern w:val="0"/>
                <w:sz w:val="24"/>
                <w:szCs w:val="24"/>
                <w:lang w:val="en-US" w:eastAsia="zh-CN"/>
              </w:rPr>
              <w:t>。</w:t>
            </w:r>
          </w:p>
          <w:p w14:paraId="3E80F3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表2-</w:t>
            </w:r>
            <w:r>
              <w:rPr>
                <w:rFonts w:hint="eastAsia" w:ascii="Times New Roman" w:hAnsi="Times New Roman" w:eastAsia="宋体" w:cs="Times New Roman"/>
                <w:b/>
                <w:bCs/>
                <w:color w:val="auto"/>
                <w:sz w:val="24"/>
                <w:lang w:val="en-US" w:eastAsia="zh-CN"/>
              </w:rPr>
              <w:t>5</w:t>
            </w:r>
            <w:r>
              <w:rPr>
                <w:rFonts w:hint="default" w:ascii="Times New Roman" w:hAnsi="Times New Roman" w:eastAsia="宋体" w:cs="Times New Roman"/>
                <w:b/>
                <w:bCs/>
                <w:color w:val="auto"/>
                <w:sz w:val="24"/>
                <w:lang w:val="en-US" w:eastAsia="zh-CN"/>
              </w:rPr>
              <w:t>设备一览表</w:t>
            </w:r>
          </w:p>
          <w:tbl>
            <w:tblPr>
              <w:tblStyle w:val="25"/>
              <w:tblW w:w="862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8"/>
              <w:gridCol w:w="2137"/>
              <w:gridCol w:w="825"/>
              <w:gridCol w:w="775"/>
              <w:gridCol w:w="2563"/>
              <w:gridCol w:w="1580"/>
            </w:tblGrid>
            <w:tr w14:paraId="2AF3F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0BADD3E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序号</w:t>
                  </w:r>
                </w:p>
              </w:tc>
              <w:tc>
                <w:tcPr>
                  <w:tcW w:w="2137" w:type="dxa"/>
                  <w:tcBorders>
                    <w:tl2br w:val="nil"/>
                    <w:tr2bl w:val="nil"/>
                  </w:tcBorders>
                  <w:vAlign w:val="center"/>
                </w:tcPr>
                <w:p w14:paraId="5279742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设备名称</w:t>
                  </w:r>
                </w:p>
              </w:tc>
              <w:tc>
                <w:tcPr>
                  <w:tcW w:w="825" w:type="dxa"/>
                  <w:tcBorders>
                    <w:tl2br w:val="nil"/>
                    <w:tr2bl w:val="nil"/>
                  </w:tcBorders>
                  <w:vAlign w:val="center"/>
                </w:tcPr>
                <w:p w14:paraId="2F9FCB8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单位</w:t>
                  </w:r>
                </w:p>
              </w:tc>
              <w:tc>
                <w:tcPr>
                  <w:tcW w:w="775" w:type="dxa"/>
                  <w:tcBorders>
                    <w:tl2br w:val="nil"/>
                    <w:tr2bl w:val="nil"/>
                  </w:tcBorders>
                  <w:vAlign w:val="center"/>
                </w:tcPr>
                <w:p w14:paraId="1C71B4D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数量</w:t>
                  </w:r>
                </w:p>
              </w:tc>
              <w:tc>
                <w:tcPr>
                  <w:tcW w:w="2563" w:type="dxa"/>
                  <w:tcBorders>
                    <w:tl2br w:val="nil"/>
                    <w:tr2bl w:val="nil"/>
                  </w:tcBorders>
                  <w:vAlign w:val="center"/>
                </w:tcPr>
                <w:p w14:paraId="719673E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用途</w:t>
                  </w:r>
                </w:p>
              </w:tc>
              <w:tc>
                <w:tcPr>
                  <w:tcW w:w="1580" w:type="dxa"/>
                  <w:tcBorders>
                    <w:tl2br w:val="nil"/>
                    <w:tr2bl w:val="nil"/>
                  </w:tcBorders>
                  <w:vAlign w:val="center"/>
                </w:tcPr>
                <w:p w14:paraId="2830732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备注</w:t>
                  </w:r>
                </w:p>
              </w:tc>
            </w:tr>
            <w:tr w14:paraId="0F93E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428A195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2137" w:type="dxa"/>
                  <w:tcBorders>
                    <w:tl2br w:val="nil"/>
                    <w:tr2bl w:val="nil"/>
                  </w:tcBorders>
                  <w:vAlign w:val="center"/>
                </w:tcPr>
                <w:p w14:paraId="3F72919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全自动上料干燥一体机</w:t>
                  </w:r>
                </w:p>
              </w:tc>
              <w:tc>
                <w:tcPr>
                  <w:tcW w:w="825" w:type="dxa"/>
                  <w:tcBorders>
                    <w:tl2br w:val="nil"/>
                    <w:tr2bl w:val="nil"/>
                  </w:tcBorders>
                  <w:vAlign w:val="center"/>
                </w:tcPr>
                <w:p w14:paraId="1ACF943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4BE5381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w:t>
                  </w:r>
                </w:p>
              </w:tc>
              <w:tc>
                <w:tcPr>
                  <w:tcW w:w="2563" w:type="dxa"/>
                  <w:tcBorders>
                    <w:tl2br w:val="nil"/>
                    <w:tr2bl w:val="nil"/>
                  </w:tcBorders>
                  <w:vAlign w:val="center"/>
                </w:tcPr>
                <w:p w14:paraId="4BFC56F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HDPE原料混合、干燥</w:t>
                  </w:r>
                </w:p>
              </w:tc>
              <w:tc>
                <w:tcPr>
                  <w:tcW w:w="1580" w:type="dxa"/>
                  <w:tcBorders>
                    <w:tl2br w:val="nil"/>
                    <w:tr2bl w:val="nil"/>
                  </w:tcBorders>
                  <w:vAlign w:val="center"/>
                </w:tcPr>
                <w:p w14:paraId="22C6684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200L桶、吨桶各1台</w:t>
                  </w:r>
                </w:p>
              </w:tc>
            </w:tr>
            <w:tr w14:paraId="19240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3EF0F68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w:t>
                  </w:r>
                </w:p>
              </w:tc>
              <w:tc>
                <w:tcPr>
                  <w:tcW w:w="2137" w:type="dxa"/>
                  <w:tcBorders>
                    <w:tl2br w:val="nil"/>
                    <w:tr2bl w:val="nil"/>
                  </w:tcBorders>
                  <w:vAlign w:val="center"/>
                </w:tcPr>
                <w:p w14:paraId="7480F6C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全自动中空吹塑机（200L桶）</w:t>
                  </w:r>
                </w:p>
              </w:tc>
              <w:tc>
                <w:tcPr>
                  <w:tcW w:w="825" w:type="dxa"/>
                  <w:tcBorders>
                    <w:tl2br w:val="nil"/>
                    <w:tr2bl w:val="nil"/>
                  </w:tcBorders>
                  <w:vAlign w:val="center"/>
                </w:tcPr>
                <w:p w14:paraId="00D07E9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4FF9B24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51DCE70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200L塑料桶成型</w:t>
                  </w:r>
                </w:p>
              </w:tc>
              <w:tc>
                <w:tcPr>
                  <w:tcW w:w="1580" w:type="dxa"/>
                  <w:tcBorders>
                    <w:tl2br w:val="nil"/>
                    <w:tr2bl w:val="nil"/>
                  </w:tcBorders>
                  <w:vAlign w:val="center"/>
                </w:tcPr>
                <w:p w14:paraId="049FC4D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主生产设备</w:t>
                  </w:r>
                </w:p>
              </w:tc>
            </w:tr>
            <w:tr w14:paraId="56942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64C0926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3</w:t>
                  </w:r>
                </w:p>
              </w:tc>
              <w:tc>
                <w:tcPr>
                  <w:tcW w:w="2137" w:type="dxa"/>
                  <w:tcBorders>
                    <w:tl2br w:val="nil"/>
                    <w:tr2bl w:val="nil"/>
                  </w:tcBorders>
                  <w:vAlign w:val="center"/>
                </w:tcPr>
                <w:p w14:paraId="57D258E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全自动中空吹塑机（IBC吨桶）</w:t>
                  </w:r>
                </w:p>
              </w:tc>
              <w:tc>
                <w:tcPr>
                  <w:tcW w:w="825" w:type="dxa"/>
                  <w:tcBorders>
                    <w:tl2br w:val="nil"/>
                    <w:tr2bl w:val="nil"/>
                  </w:tcBorders>
                  <w:vAlign w:val="center"/>
                </w:tcPr>
                <w:p w14:paraId="0AFAD3D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104614C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031CDF4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IBC吨桶内胆成型</w:t>
                  </w:r>
                </w:p>
              </w:tc>
              <w:tc>
                <w:tcPr>
                  <w:tcW w:w="1580" w:type="dxa"/>
                  <w:tcBorders>
                    <w:tl2br w:val="nil"/>
                    <w:tr2bl w:val="nil"/>
                  </w:tcBorders>
                  <w:vAlign w:val="center"/>
                </w:tcPr>
                <w:p w14:paraId="48A5F04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主生产设备</w:t>
                  </w:r>
                </w:p>
              </w:tc>
            </w:tr>
            <w:tr w14:paraId="55D7C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5639599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4</w:t>
                  </w:r>
                </w:p>
              </w:tc>
              <w:tc>
                <w:tcPr>
                  <w:tcW w:w="2137" w:type="dxa"/>
                  <w:tcBorders>
                    <w:tl2br w:val="nil"/>
                    <w:tr2bl w:val="nil"/>
                  </w:tcBorders>
                  <w:vAlign w:val="center"/>
                </w:tcPr>
                <w:p w14:paraId="5AEACA8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修边机</w:t>
                  </w:r>
                </w:p>
              </w:tc>
              <w:tc>
                <w:tcPr>
                  <w:tcW w:w="825" w:type="dxa"/>
                  <w:tcBorders>
                    <w:tl2br w:val="nil"/>
                    <w:tr2bl w:val="nil"/>
                  </w:tcBorders>
                  <w:vAlign w:val="center"/>
                </w:tcPr>
                <w:p w14:paraId="0807D8B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06C39A6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w:t>
                  </w:r>
                </w:p>
              </w:tc>
              <w:tc>
                <w:tcPr>
                  <w:tcW w:w="2563" w:type="dxa"/>
                  <w:tcBorders>
                    <w:tl2br w:val="nil"/>
                    <w:tr2bl w:val="nil"/>
                  </w:tcBorders>
                  <w:vAlign w:val="center"/>
                </w:tcPr>
                <w:p w14:paraId="6F6FB8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桶体飞边修切</w:t>
                  </w:r>
                </w:p>
              </w:tc>
              <w:tc>
                <w:tcPr>
                  <w:tcW w:w="1580" w:type="dxa"/>
                  <w:tcBorders>
                    <w:tl2br w:val="nil"/>
                    <w:tr2bl w:val="nil"/>
                  </w:tcBorders>
                  <w:vAlign w:val="center"/>
                </w:tcPr>
                <w:p w14:paraId="73E4607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200L桶、吨桶各1台</w:t>
                  </w:r>
                </w:p>
              </w:tc>
            </w:tr>
            <w:tr w14:paraId="5153A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1D217A7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5</w:t>
                  </w:r>
                </w:p>
              </w:tc>
              <w:tc>
                <w:tcPr>
                  <w:tcW w:w="2137" w:type="dxa"/>
                  <w:tcBorders>
                    <w:tl2br w:val="nil"/>
                    <w:tr2bl w:val="nil"/>
                  </w:tcBorders>
                  <w:vAlign w:val="center"/>
                </w:tcPr>
                <w:p w14:paraId="2064F80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塑料破碎机</w:t>
                  </w:r>
                </w:p>
              </w:tc>
              <w:tc>
                <w:tcPr>
                  <w:tcW w:w="825" w:type="dxa"/>
                  <w:tcBorders>
                    <w:tl2br w:val="nil"/>
                    <w:tr2bl w:val="nil"/>
                  </w:tcBorders>
                  <w:vAlign w:val="center"/>
                </w:tcPr>
                <w:p w14:paraId="2ACF1B0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5E47392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06EA821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废塑料破碎回用</w:t>
                  </w:r>
                </w:p>
              </w:tc>
              <w:tc>
                <w:tcPr>
                  <w:tcW w:w="1580" w:type="dxa"/>
                  <w:tcBorders>
                    <w:tl2br w:val="nil"/>
                    <w:tr2bl w:val="nil"/>
                  </w:tcBorders>
                  <w:vAlign w:val="center"/>
                </w:tcPr>
                <w:p w14:paraId="1FE347B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边角料在线回用</w:t>
                  </w:r>
                </w:p>
              </w:tc>
            </w:tr>
            <w:tr w14:paraId="3C8B2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60448D3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6</w:t>
                  </w:r>
                </w:p>
              </w:tc>
              <w:tc>
                <w:tcPr>
                  <w:tcW w:w="2137" w:type="dxa"/>
                  <w:tcBorders>
                    <w:tl2br w:val="nil"/>
                    <w:tr2bl w:val="nil"/>
                  </w:tcBorders>
                  <w:vAlign w:val="center"/>
                </w:tcPr>
                <w:p w14:paraId="5976690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数控切管机</w:t>
                  </w:r>
                </w:p>
              </w:tc>
              <w:tc>
                <w:tcPr>
                  <w:tcW w:w="825" w:type="dxa"/>
                  <w:tcBorders>
                    <w:tl2br w:val="nil"/>
                    <w:tr2bl w:val="nil"/>
                  </w:tcBorders>
                  <w:vAlign w:val="center"/>
                </w:tcPr>
                <w:p w14:paraId="7BE9F80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2293BC9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3018764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镀锌钢管定长切割</w:t>
                  </w:r>
                </w:p>
              </w:tc>
              <w:tc>
                <w:tcPr>
                  <w:tcW w:w="1580" w:type="dxa"/>
                  <w:tcBorders>
                    <w:tl2br w:val="nil"/>
                    <w:tr2bl w:val="nil"/>
                  </w:tcBorders>
                  <w:vAlign w:val="center"/>
                </w:tcPr>
                <w:p w14:paraId="22353A7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金属框架工序</w:t>
                  </w:r>
                </w:p>
              </w:tc>
            </w:tr>
            <w:tr w14:paraId="5127B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1DC04A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7</w:t>
                  </w:r>
                </w:p>
              </w:tc>
              <w:tc>
                <w:tcPr>
                  <w:tcW w:w="2137" w:type="dxa"/>
                  <w:tcBorders>
                    <w:tl2br w:val="nil"/>
                    <w:tr2bl w:val="nil"/>
                  </w:tcBorders>
                  <w:vAlign w:val="center"/>
                </w:tcPr>
                <w:p w14:paraId="42CE1AA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数控弯管机</w:t>
                  </w:r>
                </w:p>
              </w:tc>
              <w:tc>
                <w:tcPr>
                  <w:tcW w:w="825" w:type="dxa"/>
                  <w:tcBorders>
                    <w:tl2br w:val="nil"/>
                    <w:tr2bl w:val="nil"/>
                  </w:tcBorders>
                  <w:vAlign w:val="center"/>
                </w:tcPr>
                <w:p w14:paraId="67287B6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063011D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52F2074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钢管折弯成型</w:t>
                  </w:r>
                </w:p>
              </w:tc>
              <w:tc>
                <w:tcPr>
                  <w:tcW w:w="1580" w:type="dxa"/>
                  <w:tcBorders>
                    <w:tl2br w:val="nil"/>
                    <w:tr2bl w:val="nil"/>
                  </w:tcBorders>
                  <w:vAlign w:val="center"/>
                </w:tcPr>
                <w:p w14:paraId="5F8F5F4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金属框架工序</w:t>
                  </w:r>
                </w:p>
              </w:tc>
            </w:tr>
            <w:tr w14:paraId="516AE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trPr>
              <w:tc>
                <w:tcPr>
                  <w:tcW w:w="748" w:type="dxa"/>
                  <w:tcBorders>
                    <w:tl2br w:val="nil"/>
                    <w:tr2bl w:val="nil"/>
                  </w:tcBorders>
                  <w:vAlign w:val="center"/>
                </w:tcPr>
                <w:p w14:paraId="194A470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8</w:t>
                  </w:r>
                </w:p>
              </w:tc>
              <w:tc>
                <w:tcPr>
                  <w:tcW w:w="2137" w:type="dxa"/>
                  <w:tcBorders>
                    <w:tl2br w:val="nil"/>
                    <w:tr2bl w:val="nil"/>
                  </w:tcBorders>
                  <w:vAlign w:val="center"/>
                </w:tcPr>
                <w:p w14:paraId="4986EFE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焊接机（MAG焊）</w:t>
                  </w:r>
                </w:p>
              </w:tc>
              <w:tc>
                <w:tcPr>
                  <w:tcW w:w="825" w:type="dxa"/>
                  <w:tcBorders>
                    <w:tl2br w:val="nil"/>
                    <w:tr2bl w:val="nil"/>
                  </w:tcBorders>
                  <w:vAlign w:val="center"/>
                </w:tcPr>
                <w:p w14:paraId="70F78FA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333C35E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19368AA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金属框架组装焊接</w:t>
                  </w:r>
                </w:p>
              </w:tc>
              <w:tc>
                <w:tcPr>
                  <w:tcW w:w="1580" w:type="dxa"/>
                  <w:tcBorders>
                    <w:tl2br w:val="nil"/>
                    <w:tr2bl w:val="nil"/>
                  </w:tcBorders>
                  <w:vAlign w:val="center"/>
                </w:tcPr>
                <w:p w14:paraId="43F7285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少量焊接</w:t>
                  </w:r>
                </w:p>
              </w:tc>
            </w:tr>
            <w:tr w14:paraId="0AD4A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1A1BCD0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9</w:t>
                  </w:r>
                </w:p>
              </w:tc>
              <w:tc>
                <w:tcPr>
                  <w:tcW w:w="2137" w:type="dxa"/>
                  <w:tcBorders>
                    <w:tl2br w:val="nil"/>
                    <w:tr2bl w:val="nil"/>
                  </w:tcBorders>
                  <w:vAlign w:val="center"/>
                </w:tcPr>
                <w:p w14:paraId="0AAAEDE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打磨除尘一体机</w:t>
                  </w:r>
                </w:p>
              </w:tc>
              <w:tc>
                <w:tcPr>
                  <w:tcW w:w="825" w:type="dxa"/>
                  <w:tcBorders>
                    <w:tl2br w:val="nil"/>
                    <w:tr2bl w:val="nil"/>
                  </w:tcBorders>
                  <w:vAlign w:val="center"/>
                </w:tcPr>
                <w:p w14:paraId="4D2B341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47A3511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048DB7F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焊缝打磨+粉尘收集</w:t>
                  </w:r>
                </w:p>
              </w:tc>
              <w:tc>
                <w:tcPr>
                  <w:tcW w:w="1580" w:type="dxa"/>
                  <w:tcBorders>
                    <w:tl2br w:val="nil"/>
                    <w:tr2bl w:val="nil"/>
                  </w:tcBorders>
                  <w:vAlign w:val="center"/>
                </w:tcPr>
                <w:p w14:paraId="4FA315B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自带除尘，无粉尘外逸</w:t>
                  </w:r>
                </w:p>
              </w:tc>
            </w:tr>
            <w:tr w14:paraId="2E1E3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618186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10</w:t>
                  </w:r>
                </w:p>
              </w:tc>
              <w:tc>
                <w:tcPr>
                  <w:tcW w:w="2137" w:type="dxa"/>
                  <w:tcBorders>
                    <w:tl2br w:val="nil"/>
                    <w:tr2bl w:val="nil"/>
                  </w:tcBorders>
                  <w:vAlign w:val="center"/>
                </w:tcPr>
                <w:p w14:paraId="156BE9E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气密性检测装置</w:t>
                  </w:r>
                </w:p>
              </w:tc>
              <w:tc>
                <w:tcPr>
                  <w:tcW w:w="825" w:type="dxa"/>
                  <w:tcBorders>
                    <w:tl2br w:val="nil"/>
                    <w:tr2bl w:val="nil"/>
                  </w:tcBorders>
                  <w:vAlign w:val="center"/>
                </w:tcPr>
                <w:p w14:paraId="1D218A4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套</w:t>
                  </w:r>
                </w:p>
              </w:tc>
              <w:tc>
                <w:tcPr>
                  <w:tcW w:w="775" w:type="dxa"/>
                  <w:tcBorders>
                    <w:tl2br w:val="nil"/>
                    <w:tr2bl w:val="nil"/>
                  </w:tcBorders>
                  <w:vAlign w:val="center"/>
                </w:tcPr>
                <w:p w14:paraId="499A93E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3885553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成品桶密封测试</w:t>
                  </w:r>
                </w:p>
              </w:tc>
              <w:tc>
                <w:tcPr>
                  <w:tcW w:w="1580" w:type="dxa"/>
                  <w:tcBorders>
                    <w:tl2br w:val="nil"/>
                    <w:tr2bl w:val="nil"/>
                  </w:tcBorders>
                  <w:vAlign w:val="center"/>
                </w:tcPr>
                <w:p w14:paraId="4527E57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压缩空气检测</w:t>
                  </w:r>
                </w:p>
              </w:tc>
            </w:tr>
            <w:tr w14:paraId="4B942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05D9CCB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r>
                    <w:rPr>
                      <w:rFonts w:hint="eastAsia" w:ascii="Times New Roman" w:hAnsi="Times New Roman" w:eastAsia="宋体" w:cs="Times New Roman"/>
                      <w:b w:val="0"/>
                      <w:bCs w:val="0"/>
                      <w:color w:val="auto"/>
                      <w:sz w:val="21"/>
                      <w:szCs w:val="21"/>
                      <w:lang w:val="en-US" w:eastAsia="zh-CN"/>
                    </w:rPr>
                    <w:t>1</w:t>
                  </w:r>
                </w:p>
              </w:tc>
              <w:tc>
                <w:tcPr>
                  <w:tcW w:w="2137" w:type="dxa"/>
                  <w:tcBorders>
                    <w:tl2br w:val="nil"/>
                    <w:tr2bl w:val="nil"/>
                  </w:tcBorders>
                  <w:vAlign w:val="center"/>
                </w:tcPr>
                <w:p w14:paraId="41A898D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袋式</w:t>
                  </w:r>
                  <w:r>
                    <w:rPr>
                      <w:rFonts w:hint="default" w:ascii="Times New Roman" w:hAnsi="Times New Roman" w:eastAsia="宋体" w:cs="Times New Roman"/>
                      <w:b w:val="0"/>
                      <w:bCs w:val="0"/>
                      <w:color w:val="auto"/>
                      <w:sz w:val="21"/>
                      <w:szCs w:val="21"/>
                      <w:lang w:val="en-US" w:eastAsia="zh-CN"/>
                    </w:rPr>
                    <w:t>除尘装置</w:t>
                  </w:r>
                </w:p>
              </w:tc>
              <w:tc>
                <w:tcPr>
                  <w:tcW w:w="825" w:type="dxa"/>
                  <w:tcBorders>
                    <w:tl2br w:val="nil"/>
                    <w:tr2bl w:val="nil"/>
                  </w:tcBorders>
                  <w:vAlign w:val="center"/>
                </w:tcPr>
                <w:p w14:paraId="1F30528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套</w:t>
                  </w:r>
                </w:p>
              </w:tc>
              <w:tc>
                <w:tcPr>
                  <w:tcW w:w="775" w:type="dxa"/>
                  <w:tcBorders>
                    <w:tl2br w:val="nil"/>
                    <w:tr2bl w:val="nil"/>
                  </w:tcBorders>
                  <w:vAlign w:val="center"/>
                </w:tcPr>
                <w:p w14:paraId="13C5F82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568AA32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颗粒物预处理</w:t>
                  </w:r>
                </w:p>
              </w:tc>
              <w:tc>
                <w:tcPr>
                  <w:tcW w:w="1580" w:type="dxa"/>
                  <w:tcBorders>
                    <w:tl2br w:val="nil"/>
                    <w:tr2bl w:val="nil"/>
                  </w:tcBorders>
                  <w:vAlign w:val="center"/>
                </w:tcPr>
                <w:p w14:paraId="21BBA6C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废气处理系统</w:t>
                  </w:r>
                </w:p>
              </w:tc>
            </w:tr>
            <w:tr w14:paraId="0D95F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52AE971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r>
                    <w:rPr>
                      <w:rFonts w:hint="eastAsia" w:ascii="Times New Roman" w:hAnsi="Times New Roman" w:eastAsia="宋体" w:cs="Times New Roman"/>
                      <w:b w:val="0"/>
                      <w:bCs w:val="0"/>
                      <w:color w:val="auto"/>
                      <w:sz w:val="21"/>
                      <w:szCs w:val="21"/>
                      <w:lang w:val="en-US" w:eastAsia="zh-CN"/>
                    </w:rPr>
                    <w:t>2</w:t>
                  </w:r>
                </w:p>
              </w:tc>
              <w:tc>
                <w:tcPr>
                  <w:tcW w:w="2137" w:type="dxa"/>
                  <w:tcBorders>
                    <w:tl2br w:val="nil"/>
                    <w:tr2bl w:val="nil"/>
                  </w:tcBorders>
                  <w:vAlign w:val="center"/>
                </w:tcPr>
                <w:p w14:paraId="409429B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光催化+</w:t>
                  </w:r>
                  <w:r>
                    <w:rPr>
                      <w:rFonts w:hint="eastAsia" w:ascii="Times New Roman" w:hAnsi="Times New Roman" w:eastAsia="宋体" w:cs="Times New Roman"/>
                      <w:color w:val="auto"/>
                      <w:sz w:val="21"/>
                      <w:szCs w:val="21"/>
                      <w:lang w:val="en-US" w:eastAsia="zh-CN"/>
                    </w:rPr>
                    <w:t>二级</w:t>
                  </w:r>
                  <w:r>
                    <w:rPr>
                      <w:rFonts w:hint="default" w:ascii="Times New Roman" w:hAnsi="Times New Roman" w:eastAsia="宋体" w:cs="Times New Roman"/>
                      <w:b w:val="0"/>
                      <w:bCs w:val="0"/>
                      <w:color w:val="auto"/>
                      <w:sz w:val="21"/>
                      <w:szCs w:val="21"/>
                      <w:lang w:val="en-US" w:eastAsia="zh-CN"/>
                    </w:rPr>
                    <w:t>活性炭吸附装置</w:t>
                  </w:r>
                </w:p>
              </w:tc>
              <w:tc>
                <w:tcPr>
                  <w:tcW w:w="825" w:type="dxa"/>
                  <w:tcBorders>
                    <w:tl2br w:val="nil"/>
                    <w:tr2bl w:val="nil"/>
                  </w:tcBorders>
                  <w:vAlign w:val="center"/>
                </w:tcPr>
                <w:p w14:paraId="3982768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套</w:t>
                  </w:r>
                </w:p>
              </w:tc>
              <w:tc>
                <w:tcPr>
                  <w:tcW w:w="775" w:type="dxa"/>
                  <w:tcBorders>
                    <w:tl2br w:val="nil"/>
                    <w:tr2bl w:val="nil"/>
                  </w:tcBorders>
                  <w:vAlign w:val="center"/>
                </w:tcPr>
                <w:p w14:paraId="7493D87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47FDD2F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VOCs净化</w:t>
                  </w:r>
                </w:p>
              </w:tc>
              <w:tc>
                <w:tcPr>
                  <w:tcW w:w="1580" w:type="dxa"/>
                  <w:tcBorders>
                    <w:tl2br w:val="nil"/>
                    <w:tr2bl w:val="nil"/>
                  </w:tcBorders>
                  <w:vAlign w:val="center"/>
                </w:tcPr>
                <w:p w14:paraId="3917170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废气处理系统</w:t>
                  </w:r>
                </w:p>
              </w:tc>
            </w:tr>
            <w:tr w14:paraId="17BDD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8" w:type="dxa"/>
                  <w:tcBorders>
                    <w:tl2br w:val="nil"/>
                    <w:tr2bl w:val="nil"/>
                  </w:tcBorders>
                  <w:vAlign w:val="center"/>
                </w:tcPr>
                <w:p w14:paraId="24FAB18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r>
                    <w:rPr>
                      <w:rFonts w:hint="eastAsia" w:ascii="Times New Roman" w:hAnsi="Times New Roman" w:eastAsia="宋体" w:cs="Times New Roman"/>
                      <w:b w:val="0"/>
                      <w:bCs w:val="0"/>
                      <w:color w:val="auto"/>
                      <w:sz w:val="21"/>
                      <w:szCs w:val="21"/>
                      <w:lang w:val="en-US" w:eastAsia="zh-CN"/>
                    </w:rPr>
                    <w:t>3</w:t>
                  </w:r>
                </w:p>
              </w:tc>
              <w:tc>
                <w:tcPr>
                  <w:tcW w:w="2137" w:type="dxa"/>
                  <w:tcBorders>
                    <w:tl2br w:val="nil"/>
                    <w:tr2bl w:val="nil"/>
                  </w:tcBorders>
                  <w:vAlign w:val="center"/>
                </w:tcPr>
                <w:p w14:paraId="473AEBC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离心风机</w:t>
                  </w:r>
                </w:p>
              </w:tc>
              <w:tc>
                <w:tcPr>
                  <w:tcW w:w="825" w:type="dxa"/>
                  <w:tcBorders>
                    <w:tl2br w:val="nil"/>
                    <w:tr2bl w:val="nil"/>
                  </w:tcBorders>
                  <w:vAlign w:val="center"/>
                </w:tcPr>
                <w:p w14:paraId="4499F35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0EAA0A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745E041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废气引风</w:t>
                  </w:r>
                </w:p>
              </w:tc>
              <w:tc>
                <w:tcPr>
                  <w:tcW w:w="1580" w:type="dxa"/>
                  <w:tcBorders>
                    <w:tl2br w:val="nil"/>
                    <w:tr2bl w:val="nil"/>
                  </w:tcBorders>
                  <w:vAlign w:val="center"/>
                </w:tcPr>
                <w:p w14:paraId="59520BA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15m排气筒配套</w:t>
                  </w:r>
                </w:p>
              </w:tc>
            </w:tr>
            <w:tr w14:paraId="41EBD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trPr>
              <w:tc>
                <w:tcPr>
                  <w:tcW w:w="748" w:type="dxa"/>
                  <w:tcBorders>
                    <w:tl2br w:val="nil"/>
                    <w:tr2bl w:val="nil"/>
                  </w:tcBorders>
                  <w:vAlign w:val="center"/>
                </w:tcPr>
                <w:p w14:paraId="4017422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r>
                    <w:rPr>
                      <w:rFonts w:hint="eastAsia" w:ascii="Times New Roman" w:hAnsi="Times New Roman" w:eastAsia="宋体" w:cs="Times New Roman"/>
                      <w:b w:val="0"/>
                      <w:bCs w:val="0"/>
                      <w:color w:val="auto"/>
                      <w:sz w:val="21"/>
                      <w:szCs w:val="21"/>
                      <w:lang w:val="en-US" w:eastAsia="zh-CN"/>
                    </w:rPr>
                    <w:t>4</w:t>
                  </w:r>
                </w:p>
              </w:tc>
              <w:tc>
                <w:tcPr>
                  <w:tcW w:w="2137" w:type="dxa"/>
                  <w:tcBorders>
                    <w:tl2br w:val="nil"/>
                    <w:tr2bl w:val="nil"/>
                  </w:tcBorders>
                  <w:vAlign w:val="center"/>
                </w:tcPr>
                <w:p w14:paraId="492F2F4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叉车</w:t>
                  </w:r>
                </w:p>
              </w:tc>
              <w:tc>
                <w:tcPr>
                  <w:tcW w:w="825" w:type="dxa"/>
                  <w:tcBorders>
                    <w:tl2br w:val="nil"/>
                    <w:tr2bl w:val="nil"/>
                  </w:tcBorders>
                  <w:vAlign w:val="center"/>
                </w:tcPr>
                <w:p w14:paraId="3862F93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2517806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w:t>
                  </w:r>
                </w:p>
              </w:tc>
              <w:tc>
                <w:tcPr>
                  <w:tcW w:w="2563" w:type="dxa"/>
                  <w:tcBorders>
                    <w:tl2br w:val="nil"/>
                    <w:tr2bl w:val="nil"/>
                  </w:tcBorders>
                  <w:vAlign w:val="center"/>
                </w:tcPr>
                <w:p w14:paraId="6A8BF89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原料、成品转运</w:t>
                  </w:r>
                </w:p>
              </w:tc>
              <w:tc>
                <w:tcPr>
                  <w:tcW w:w="1580" w:type="dxa"/>
                  <w:tcBorders>
                    <w:tl2br w:val="nil"/>
                    <w:tr2bl w:val="nil"/>
                  </w:tcBorders>
                  <w:vAlign w:val="center"/>
                </w:tcPr>
                <w:p w14:paraId="1A13634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厂内物流</w:t>
                  </w:r>
                </w:p>
              </w:tc>
            </w:tr>
            <w:tr w14:paraId="141EB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trPr>
              <w:tc>
                <w:tcPr>
                  <w:tcW w:w="748" w:type="dxa"/>
                  <w:tcBorders>
                    <w:tl2br w:val="nil"/>
                    <w:tr2bl w:val="nil"/>
                  </w:tcBorders>
                  <w:vAlign w:val="center"/>
                </w:tcPr>
                <w:p w14:paraId="065942C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r>
                    <w:rPr>
                      <w:rFonts w:hint="eastAsia" w:ascii="Times New Roman" w:hAnsi="Times New Roman" w:eastAsia="宋体" w:cs="Times New Roman"/>
                      <w:b w:val="0"/>
                      <w:bCs w:val="0"/>
                      <w:color w:val="auto"/>
                      <w:sz w:val="21"/>
                      <w:szCs w:val="21"/>
                      <w:lang w:val="en-US" w:eastAsia="zh-CN"/>
                    </w:rPr>
                    <w:t>5</w:t>
                  </w:r>
                </w:p>
              </w:tc>
              <w:tc>
                <w:tcPr>
                  <w:tcW w:w="2137" w:type="dxa"/>
                  <w:tcBorders>
                    <w:tl2br w:val="nil"/>
                    <w:tr2bl w:val="nil"/>
                  </w:tcBorders>
                  <w:vAlign w:val="center"/>
                </w:tcPr>
                <w:p w14:paraId="103F580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空压机</w:t>
                  </w:r>
                </w:p>
              </w:tc>
              <w:tc>
                <w:tcPr>
                  <w:tcW w:w="825" w:type="dxa"/>
                  <w:tcBorders>
                    <w:tl2br w:val="nil"/>
                    <w:tr2bl w:val="nil"/>
                  </w:tcBorders>
                  <w:vAlign w:val="center"/>
                </w:tcPr>
                <w:p w14:paraId="3B498BC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台</w:t>
                  </w:r>
                </w:p>
              </w:tc>
              <w:tc>
                <w:tcPr>
                  <w:tcW w:w="775" w:type="dxa"/>
                  <w:tcBorders>
                    <w:tl2br w:val="nil"/>
                    <w:tr2bl w:val="nil"/>
                  </w:tcBorders>
                  <w:vAlign w:val="center"/>
                </w:tcPr>
                <w:p w14:paraId="6EABC79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563" w:type="dxa"/>
                  <w:tcBorders>
                    <w:tl2br w:val="nil"/>
                    <w:tr2bl w:val="nil"/>
                  </w:tcBorders>
                  <w:vAlign w:val="center"/>
                </w:tcPr>
                <w:p w14:paraId="08CEF5C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提供压缩空气</w:t>
                  </w:r>
                </w:p>
              </w:tc>
              <w:tc>
                <w:tcPr>
                  <w:tcW w:w="1580" w:type="dxa"/>
                  <w:tcBorders>
                    <w:tl2br w:val="nil"/>
                    <w:tr2bl w:val="nil"/>
                  </w:tcBorders>
                  <w:vAlign w:val="center"/>
                </w:tcPr>
                <w:p w14:paraId="3F60AF5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吹塑、检测用</w:t>
                  </w:r>
                </w:p>
              </w:tc>
            </w:tr>
          </w:tbl>
          <w:p w14:paraId="69597B0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textAlignment w:val="auto"/>
              <w:rPr>
                <w:rFonts w:hint="default" w:ascii="Times New Roman" w:hAnsi="Times New Roman" w:eastAsia="宋体" w:cs="Times New Roman"/>
                <w:b/>
                <w:bCs/>
                <w:color w:val="auto"/>
                <w:sz w:val="24"/>
                <w:szCs w:val="24"/>
                <w:lang w:val="en-US" w:eastAsia="zh-CN"/>
              </w:rPr>
            </w:pPr>
          </w:p>
          <w:p w14:paraId="3C19B03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6、项目周边概况及平面布置</w:t>
            </w:r>
          </w:p>
          <w:p w14:paraId="370FC7D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本项目位于内蒙古自治区鄂尔多斯市鄂托克旗</w:t>
            </w:r>
            <w:r>
              <w:rPr>
                <w:rFonts w:hint="eastAsia" w:ascii="Times New Roman" w:hAnsi="Times New Roman" w:eastAsia="宋体" w:cs="Times New Roman"/>
                <w:color w:val="auto"/>
                <w:kern w:val="0"/>
                <w:sz w:val="24"/>
                <w:szCs w:val="24"/>
                <w:lang w:val="en-US" w:eastAsia="zh-CN"/>
              </w:rPr>
              <w:t>内蒙古美力坚清蓝危废处置有限公司现有厂区范围内</w:t>
            </w:r>
            <w:r>
              <w:rPr>
                <w:rFonts w:hint="default" w:ascii="Times New Roman" w:hAnsi="Times New Roman" w:eastAsia="宋体"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厂区</w:t>
            </w:r>
            <w:r>
              <w:rPr>
                <w:rFonts w:hint="default" w:ascii="Times New Roman" w:hAnsi="Times New Roman" w:eastAsia="宋体" w:cs="Times New Roman"/>
                <w:color w:val="auto"/>
                <w:kern w:val="0"/>
                <w:sz w:val="24"/>
                <w:szCs w:val="24"/>
                <w:lang w:val="en-US" w:eastAsia="zh-CN"/>
              </w:rPr>
              <w:t>东北方向为鄂尔多斯市君正能源化工有限公司，南边为内蒙古美力坚科技化工有限公司，东南方向为德晟</w:t>
            </w:r>
            <w:r>
              <w:rPr>
                <w:rFonts w:hint="eastAsia" w:ascii="Times New Roman" w:hAnsi="Times New Roman" w:eastAsia="宋体" w:cs="Times New Roman"/>
                <w:color w:val="auto"/>
                <w:kern w:val="0"/>
                <w:sz w:val="24"/>
                <w:szCs w:val="24"/>
                <w:lang w:val="en-US" w:eastAsia="zh-CN"/>
              </w:rPr>
              <w:t>金</w:t>
            </w:r>
            <w:r>
              <w:rPr>
                <w:rFonts w:hint="default" w:ascii="Times New Roman" w:hAnsi="Times New Roman" w:eastAsia="宋体" w:cs="Times New Roman"/>
                <w:color w:val="auto"/>
                <w:kern w:val="0"/>
                <w:sz w:val="24"/>
                <w:szCs w:val="24"/>
                <w:lang w:val="en-US" w:eastAsia="zh-CN"/>
              </w:rPr>
              <w:t>属制品有限公司，西北方向为运输物流公司、君正热电厂，北侧为京能</w:t>
            </w:r>
            <w:r>
              <w:rPr>
                <w:rFonts w:hint="eastAsia" w:ascii="Times New Roman" w:hAnsi="Times New Roman" w:eastAsia="宋体" w:cs="Times New Roman"/>
                <w:color w:val="auto"/>
                <w:kern w:val="0"/>
                <w:sz w:val="24"/>
                <w:szCs w:val="24"/>
                <w:lang w:val="en-US" w:eastAsia="zh-CN"/>
              </w:rPr>
              <w:t>双欣发电</w:t>
            </w:r>
            <w:r>
              <w:rPr>
                <w:rFonts w:hint="default" w:ascii="Times New Roman" w:hAnsi="Times New Roman" w:eastAsia="宋体" w:cs="Times New Roman"/>
                <w:color w:val="auto"/>
                <w:kern w:val="0"/>
                <w:sz w:val="24"/>
                <w:szCs w:val="24"/>
                <w:lang w:val="en-US" w:eastAsia="zh-CN"/>
              </w:rPr>
              <w:t>。建设项目所在地理位置图详见</w:t>
            </w:r>
            <w:r>
              <w:rPr>
                <w:rFonts w:hint="eastAsia" w:ascii="Times New Roman" w:hAnsi="Times New Roman" w:eastAsia="宋体" w:cs="Times New Roman"/>
                <w:color w:val="auto"/>
                <w:kern w:val="0"/>
                <w:sz w:val="24"/>
                <w:szCs w:val="24"/>
                <w:lang w:val="en-US" w:eastAsia="zh-CN"/>
              </w:rPr>
              <w:t>附件</w:t>
            </w:r>
            <w:r>
              <w:rPr>
                <w:rFonts w:hint="eastAsia" w:cs="Times New Roman"/>
                <w:color w:val="auto"/>
                <w:kern w:val="0"/>
                <w:sz w:val="24"/>
                <w:szCs w:val="24"/>
                <w:lang w:val="en-US" w:eastAsia="zh-CN"/>
              </w:rPr>
              <w:t>3</w:t>
            </w:r>
            <w:r>
              <w:rPr>
                <w:rFonts w:hint="default" w:ascii="Times New Roman" w:hAnsi="Times New Roman" w:eastAsia="宋体" w:cs="Times New Roman"/>
                <w:color w:val="auto"/>
                <w:kern w:val="0"/>
                <w:sz w:val="24"/>
                <w:szCs w:val="24"/>
                <w:lang w:val="en-US" w:eastAsia="zh-CN"/>
              </w:rPr>
              <w:t>，项目周边环境概况详见</w:t>
            </w:r>
            <w:r>
              <w:rPr>
                <w:rFonts w:hint="eastAsia" w:ascii="Times New Roman" w:hAnsi="Times New Roman" w:eastAsia="宋体" w:cs="Times New Roman"/>
                <w:color w:val="auto"/>
                <w:kern w:val="0"/>
                <w:sz w:val="24"/>
                <w:szCs w:val="24"/>
                <w:lang w:val="en-US" w:eastAsia="zh-CN"/>
              </w:rPr>
              <w:t>附件4</w:t>
            </w:r>
            <w:r>
              <w:rPr>
                <w:rFonts w:hint="default" w:ascii="Times New Roman" w:hAnsi="Times New Roman" w:eastAsia="宋体" w:cs="Times New Roman"/>
                <w:color w:val="auto"/>
                <w:kern w:val="0"/>
                <w:sz w:val="24"/>
                <w:szCs w:val="24"/>
                <w:lang w:val="en-US" w:eastAsia="zh-CN"/>
              </w:rPr>
              <w:t>。</w:t>
            </w:r>
          </w:p>
          <w:p w14:paraId="42FC27D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w:t>
            </w:r>
            <w:r>
              <w:rPr>
                <w:rFonts w:hint="eastAsia" w:ascii="Times New Roman" w:hAnsi="Times New Roman" w:eastAsia="宋体" w:cs="Times New Roman"/>
                <w:color w:val="auto"/>
                <w:kern w:val="0"/>
                <w:sz w:val="24"/>
                <w:szCs w:val="24"/>
                <w:lang w:val="en-US" w:eastAsia="zh-CN"/>
              </w:rPr>
              <w:t>生产车间</w:t>
            </w:r>
            <w:r>
              <w:rPr>
                <w:rFonts w:hint="default" w:ascii="Times New Roman" w:hAnsi="Times New Roman" w:eastAsia="宋体" w:cs="Times New Roman"/>
                <w:color w:val="auto"/>
                <w:kern w:val="0"/>
                <w:sz w:val="24"/>
                <w:szCs w:val="24"/>
                <w:lang w:val="en-US" w:eastAsia="zh-CN"/>
              </w:rPr>
              <w:t>位于</w:t>
            </w:r>
            <w:r>
              <w:rPr>
                <w:rFonts w:hint="eastAsia" w:ascii="Times New Roman" w:hAnsi="Times New Roman" w:eastAsia="宋体" w:cs="Times New Roman"/>
                <w:color w:val="auto"/>
                <w:kern w:val="0"/>
                <w:sz w:val="24"/>
                <w:szCs w:val="24"/>
                <w:lang w:val="en-US" w:eastAsia="zh-CN"/>
              </w:rPr>
              <w:t>内蒙古美力坚清蓝危废处置有限公司现有厂区内西侧</w:t>
            </w:r>
            <w:r>
              <w:rPr>
                <w:rFonts w:hint="default" w:ascii="Times New Roman" w:hAnsi="Times New Roman" w:eastAsia="宋体" w:cs="Times New Roman"/>
                <w:color w:val="auto"/>
                <w:kern w:val="0"/>
                <w:sz w:val="24"/>
                <w:szCs w:val="24"/>
                <w:lang w:val="en-US" w:eastAsia="zh-CN"/>
              </w:rPr>
              <w:t>，项目与厂区位置关系</w:t>
            </w:r>
            <w:r>
              <w:rPr>
                <w:rFonts w:hint="eastAsia" w:ascii="Times New Roman" w:hAnsi="Times New Roman" w:eastAsia="宋体" w:cs="Times New Roman"/>
                <w:color w:val="auto"/>
                <w:kern w:val="0"/>
                <w:sz w:val="24"/>
                <w:szCs w:val="24"/>
                <w:lang w:val="en-US" w:eastAsia="zh-CN"/>
              </w:rPr>
              <w:t>详见附件5</w:t>
            </w:r>
            <w:r>
              <w:rPr>
                <w:rFonts w:hint="default" w:ascii="Times New Roman" w:hAnsi="Times New Roman" w:eastAsia="宋体" w:cs="Times New Roman"/>
                <w:color w:val="auto"/>
                <w:kern w:val="0"/>
                <w:sz w:val="24"/>
                <w:szCs w:val="24"/>
                <w:lang w:val="en-US" w:eastAsia="zh-CN"/>
              </w:rPr>
              <w:t>。</w:t>
            </w:r>
          </w:p>
          <w:p w14:paraId="071B42B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7</w:t>
            </w:r>
            <w:r>
              <w:rPr>
                <w:rFonts w:hint="default" w:ascii="Times New Roman" w:hAnsi="Times New Roman" w:eastAsia="宋体" w:cs="Times New Roman"/>
                <w:b/>
                <w:bCs/>
                <w:color w:val="auto"/>
                <w:kern w:val="0"/>
                <w:sz w:val="24"/>
                <w:szCs w:val="24"/>
                <w:lang w:val="en-US" w:eastAsia="zh-CN"/>
              </w:rPr>
              <w:t>、施工进度计划</w:t>
            </w:r>
          </w:p>
          <w:p w14:paraId="14BFA9F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olor w:val="auto"/>
                <w:sz w:val="24"/>
                <w:szCs w:val="24"/>
                <w:lang w:val="en-US" w:eastAsia="zh-CN"/>
              </w:rPr>
            </w:pPr>
            <w:r>
              <w:rPr>
                <w:rFonts w:hint="default" w:ascii="Times New Roman" w:hAnsi="Times New Roman" w:eastAsia="宋体" w:cs="Times New Roman"/>
                <w:color w:val="auto"/>
                <w:kern w:val="0"/>
                <w:sz w:val="24"/>
                <w:szCs w:val="24"/>
                <w:lang w:val="en-US" w:eastAsia="zh-CN"/>
              </w:rPr>
              <w:t>项目</w:t>
            </w:r>
            <w:r>
              <w:rPr>
                <w:rFonts w:hint="eastAsia" w:cs="Times New Roman"/>
                <w:color w:val="auto"/>
                <w:kern w:val="0"/>
                <w:sz w:val="24"/>
                <w:szCs w:val="24"/>
                <w:lang w:val="en-US" w:eastAsia="zh-CN"/>
              </w:rPr>
              <w:t>建设期为8个月，待环评取得批复后计划开工建设</w:t>
            </w:r>
            <w:r>
              <w:rPr>
                <w:rFonts w:hint="default" w:ascii="Times New Roman" w:hAnsi="Times New Roman" w:eastAsia="宋体" w:cs="Times New Roman"/>
                <w:color w:val="auto"/>
                <w:kern w:val="0"/>
                <w:sz w:val="24"/>
                <w:szCs w:val="24"/>
                <w:lang w:val="en-US" w:eastAsia="zh-CN"/>
              </w:rPr>
              <w:t>。</w:t>
            </w:r>
          </w:p>
          <w:p w14:paraId="199890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8</w:t>
            </w:r>
            <w:r>
              <w:rPr>
                <w:rFonts w:hint="default" w:ascii="Times New Roman" w:hAnsi="Times New Roman" w:eastAsia="宋体" w:cs="Times New Roman"/>
                <w:b/>
                <w:bCs/>
                <w:color w:val="auto"/>
                <w:kern w:val="0"/>
                <w:sz w:val="24"/>
                <w:szCs w:val="24"/>
                <w:lang w:val="en-US" w:eastAsia="zh-CN"/>
              </w:rPr>
              <w:t>、</w:t>
            </w:r>
            <w:r>
              <w:rPr>
                <w:rFonts w:hint="eastAsia" w:ascii="Times New Roman" w:hAnsi="Times New Roman" w:eastAsia="宋体" w:cs="Times New Roman"/>
                <w:b/>
                <w:bCs/>
                <w:color w:val="auto"/>
                <w:kern w:val="0"/>
                <w:sz w:val="24"/>
                <w:szCs w:val="24"/>
                <w:lang w:val="en-US" w:eastAsia="zh-CN"/>
              </w:rPr>
              <w:t>公用工程</w:t>
            </w:r>
          </w:p>
          <w:p w14:paraId="7906F06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一</w:t>
            </w:r>
            <w:r>
              <w:rPr>
                <w:rFonts w:hint="default" w:ascii="Times New Roman" w:hAnsi="Times New Roman" w:eastAsia="宋体"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供</w:t>
            </w:r>
            <w:r>
              <w:rPr>
                <w:rFonts w:hint="default" w:ascii="Times New Roman" w:hAnsi="Times New Roman" w:eastAsia="宋体" w:cs="Times New Roman"/>
                <w:color w:val="auto"/>
                <w:kern w:val="0"/>
                <w:sz w:val="24"/>
                <w:szCs w:val="24"/>
                <w:lang w:val="en-US" w:eastAsia="zh-CN"/>
              </w:rPr>
              <w:t>电</w:t>
            </w:r>
          </w:p>
          <w:p w14:paraId="23D7268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本项目年用电量为</w:t>
            </w:r>
            <w:r>
              <w:rPr>
                <w:rFonts w:hint="eastAsia" w:ascii="Times New Roman" w:hAnsi="Times New Roman" w:eastAsia="宋体" w:cs="Times New Roman"/>
                <w:color w:val="auto"/>
                <w:kern w:val="0"/>
                <w:sz w:val="24"/>
                <w:szCs w:val="24"/>
                <w:lang w:val="en-US" w:eastAsia="zh-CN"/>
              </w:rPr>
              <w:t>320</w:t>
            </w:r>
            <w:r>
              <w:rPr>
                <w:rFonts w:hint="default" w:ascii="Times New Roman" w:hAnsi="Times New Roman" w:eastAsia="宋体" w:cs="Times New Roman"/>
                <w:color w:val="auto"/>
                <w:kern w:val="0"/>
                <w:sz w:val="24"/>
                <w:szCs w:val="24"/>
                <w:lang w:val="en-US" w:eastAsia="zh-CN"/>
              </w:rPr>
              <w:t>万kWh，由园区供电系统提供。</w:t>
            </w:r>
          </w:p>
          <w:p w14:paraId="0FD11F5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（二）给</w:t>
            </w:r>
            <w:r>
              <w:rPr>
                <w:rFonts w:hint="default" w:ascii="Times New Roman" w:hAnsi="Times New Roman" w:eastAsia="宋体" w:cs="Times New Roman"/>
                <w:color w:val="auto"/>
                <w:kern w:val="0"/>
                <w:sz w:val="24"/>
                <w:szCs w:val="24"/>
                <w:lang w:val="en-US" w:eastAsia="zh-CN"/>
              </w:rPr>
              <w:t>水</w:t>
            </w:r>
          </w:p>
          <w:p w14:paraId="768B5E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green"/>
                <w:lang w:val="en-US" w:eastAsia="zh-CN"/>
              </w:rPr>
            </w:pPr>
            <w:r>
              <w:rPr>
                <w:rFonts w:hint="default" w:ascii="Times New Roman" w:hAnsi="Times New Roman" w:eastAsia="宋体" w:cs="Times New Roman"/>
                <w:color w:val="auto"/>
                <w:kern w:val="0"/>
                <w:sz w:val="24"/>
                <w:szCs w:val="24"/>
                <w:lang w:val="en-US" w:eastAsia="zh-CN"/>
              </w:rPr>
              <w:t>本项目</w:t>
            </w:r>
            <w:r>
              <w:rPr>
                <w:rFonts w:hint="eastAsia" w:ascii="Times New Roman" w:hAnsi="Times New Roman" w:eastAsia="宋体" w:cs="Times New Roman"/>
                <w:color w:val="auto"/>
                <w:kern w:val="0"/>
                <w:sz w:val="24"/>
                <w:szCs w:val="24"/>
                <w:lang w:val="en-US" w:eastAsia="zh-CN"/>
              </w:rPr>
              <w:t>给</w:t>
            </w:r>
            <w:r>
              <w:rPr>
                <w:rFonts w:hint="default" w:ascii="Times New Roman" w:hAnsi="Times New Roman" w:eastAsia="宋体" w:cs="Times New Roman"/>
                <w:color w:val="auto"/>
                <w:kern w:val="0"/>
                <w:sz w:val="24"/>
                <w:szCs w:val="24"/>
                <w:lang w:val="en-US" w:eastAsia="zh-CN"/>
              </w:rPr>
              <w:t>水</w:t>
            </w:r>
            <w:r>
              <w:rPr>
                <w:rFonts w:hint="eastAsia" w:ascii="Times New Roman" w:hAnsi="Times New Roman" w:eastAsia="宋体" w:cs="Times New Roman"/>
                <w:color w:val="auto"/>
                <w:kern w:val="0"/>
                <w:sz w:val="24"/>
                <w:szCs w:val="24"/>
                <w:lang w:val="en-US" w:eastAsia="zh-CN"/>
              </w:rPr>
              <w:t>系统主要</w:t>
            </w:r>
            <w:r>
              <w:rPr>
                <w:rFonts w:hint="default" w:ascii="Times New Roman" w:hAnsi="Times New Roman" w:eastAsia="宋体" w:cs="Times New Roman"/>
                <w:color w:val="auto"/>
                <w:kern w:val="0"/>
                <w:sz w:val="24"/>
                <w:szCs w:val="24"/>
                <w:lang w:val="en-US" w:eastAsia="zh-CN"/>
              </w:rPr>
              <w:t>为</w:t>
            </w:r>
            <w:r>
              <w:rPr>
                <w:rFonts w:hint="eastAsia" w:cs="Times New Roman"/>
                <w:color w:val="auto"/>
                <w:kern w:val="0"/>
                <w:sz w:val="24"/>
                <w:szCs w:val="24"/>
                <w:lang w:val="en-US" w:eastAsia="zh-CN"/>
              </w:rPr>
              <w:t>循环冷却</w:t>
            </w:r>
            <w:r>
              <w:rPr>
                <w:rFonts w:hint="default" w:ascii="Times New Roman" w:hAnsi="Times New Roman" w:eastAsia="宋体" w:cs="Times New Roman"/>
                <w:color w:val="auto"/>
                <w:kern w:val="0"/>
                <w:sz w:val="24"/>
                <w:szCs w:val="24"/>
                <w:lang w:val="en-US" w:eastAsia="zh-CN"/>
              </w:rPr>
              <w:t>用水和生活用水</w:t>
            </w:r>
            <w:r>
              <w:rPr>
                <w:rFonts w:hint="eastAsia" w:ascii="Times New Roman" w:hAnsi="Times New Roman" w:eastAsia="宋体" w:cs="Times New Roman"/>
                <w:color w:val="auto"/>
                <w:kern w:val="0"/>
                <w:sz w:val="24"/>
                <w:szCs w:val="24"/>
                <w:lang w:val="en-US" w:eastAsia="zh-CN"/>
              </w:rPr>
              <w:t>，用水水源由开发区给水管网进行统</w:t>
            </w:r>
            <w:r>
              <w:rPr>
                <w:rFonts w:hint="eastAsia" w:ascii="Times New Roman" w:hAnsi="Times New Roman" w:eastAsia="宋体" w:cs="Times New Roman"/>
                <w:color w:val="auto"/>
                <w:kern w:val="0"/>
                <w:sz w:val="24"/>
                <w:szCs w:val="24"/>
                <w:highlight w:val="none"/>
                <w:lang w:val="en-US" w:eastAsia="zh-CN"/>
              </w:rPr>
              <w:t>一供给</w:t>
            </w: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新鲜水用水量为</w:t>
            </w:r>
            <w:r>
              <w:rPr>
                <w:rFonts w:hint="eastAsia" w:cs="Times New Roman"/>
                <w:color w:val="auto"/>
                <w:kern w:val="0"/>
                <w:sz w:val="24"/>
                <w:szCs w:val="24"/>
                <w:highlight w:val="none"/>
                <w:lang w:val="en-US" w:eastAsia="zh-CN"/>
              </w:rPr>
              <w:t>2.</w:t>
            </w:r>
            <w:r>
              <w:rPr>
                <w:rFonts w:hint="eastAsia" w:cs="Times New Roman"/>
                <w:color w:val="auto"/>
                <w:kern w:val="0"/>
                <w:sz w:val="24"/>
                <w:szCs w:val="24"/>
                <w:highlight w:val="none"/>
                <w:lang w:val="en-US" w:eastAsia="zh-CN"/>
              </w:rPr>
              <w:t>7</w:t>
            </w:r>
            <w:r>
              <w:rPr>
                <w:rFonts w:hint="eastAsia" w:cs="Times New Roman"/>
                <w:color w:val="auto"/>
                <w:kern w:val="0"/>
                <w:sz w:val="24"/>
                <w:szCs w:val="24"/>
                <w:highlight w:val="none"/>
                <w:lang w:val="en-US" w:eastAsia="zh-CN"/>
              </w:rPr>
              <w:t>8</w:t>
            </w:r>
            <w:r>
              <w:rPr>
                <w:rFonts w:hint="default"/>
                <w:color w:val="auto"/>
                <w:highlight w:val="none"/>
                <w:lang w:val="en-US" w:eastAsia="zh-CN"/>
              </w:rPr>
              <w:t>m</w:t>
            </w:r>
            <w:r>
              <w:rPr>
                <w:rFonts w:hint="default"/>
                <w:color w:val="auto"/>
                <w:highlight w:val="none"/>
                <w:vertAlign w:val="superscript"/>
                <w:lang w:val="en-US" w:eastAsia="zh-CN"/>
              </w:rPr>
              <w:t>3</w:t>
            </w:r>
            <w:r>
              <w:rPr>
                <w:rFonts w:hint="default" w:ascii="Times New Roman" w:hAnsi="Times New Roman" w:eastAsia="宋体" w:cs="Times New Roman"/>
                <w:color w:val="auto"/>
                <w:kern w:val="0"/>
                <w:sz w:val="24"/>
                <w:szCs w:val="24"/>
                <w:highlight w:val="none"/>
                <w:vertAlign w:val="superscript"/>
                <w:lang w:val="en-US" w:eastAsia="zh-CN"/>
              </w:rPr>
              <w:t>/</w:t>
            </w:r>
            <w:r>
              <w:rPr>
                <w:rFonts w:hint="default" w:ascii="Times New Roman" w:hAnsi="Times New Roman" w:eastAsia="宋体" w:cs="Times New Roman"/>
                <w:color w:val="auto"/>
                <w:kern w:val="0"/>
                <w:sz w:val="24"/>
                <w:szCs w:val="24"/>
                <w:highlight w:val="none"/>
                <w:lang w:val="en-US" w:eastAsia="zh-CN"/>
              </w:rPr>
              <w:t>d</w:t>
            </w:r>
            <w:r>
              <w:rPr>
                <w:rFonts w:hint="eastAsia"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834</w:t>
            </w:r>
            <w:r>
              <w:rPr>
                <w:rFonts w:hint="default"/>
                <w:color w:val="auto"/>
                <w:highlight w:val="none"/>
                <w:lang w:val="en-US" w:eastAsia="zh-CN"/>
              </w:rPr>
              <w:t>m</w:t>
            </w:r>
            <w:r>
              <w:rPr>
                <w:rFonts w:hint="default"/>
                <w:color w:val="auto"/>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/a）</w:t>
            </w:r>
            <w:r>
              <w:rPr>
                <w:rFonts w:hint="eastAsia" w:ascii="Times New Roman" w:hAnsi="Times New Roman" w:eastAsia="宋体" w:cs="Times New Roman"/>
                <w:color w:val="auto"/>
                <w:kern w:val="0"/>
                <w:sz w:val="24"/>
                <w:szCs w:val="24"/>
                <w:highlight w:val="none"/>
                <w:lang w:val="en-US" w:eastAsia="zh-CN"/>
              </w:rPr>
              <w:t>，其中：</w:t>
            </w:r>
            <w:r>
              <w:rPr>
                <w:rFonts w:hint="eastAsia" w:cs="Times New Roman"/>
                <w:color w:val="auto"/>
                <w:kern w:val="0"/>
                <w:sz w:val="24"/>
                <w:szCs w:val="24"/>
                <w:highlight w:val="none"/>
                <w:lang w:val="en-US" w:eastAsia="zh-CN"/>
              </w:rPr>
              <w:t>循环冷却补水量</w:t>
            </w:r>
            <w:r>
              <w:rPr>
                <w:rFonts w:hint="eastAsia" w:ascii="Times New Roman" w:hAnsi="Times New Roman" w:eastAsia="宋体" w:cs="Times New Roman"/>
                <w:color w:val="auto"/>
                <w:kern w:val="0"/>
                <w:sz w:val="24"/>
                <w:szCs w:val="24"/>
                <w:highlight w:val="none"/>
                <w:lang w:val="en-US" w:eastAsia="zh-CN"/>
              </w:rPr>
              <w:t>为</w:t>
            </w:r>
            <w:r>
              <w:rPr>
                <w:rFonts w:hint="eastAsia" w:cs="Times New Roman"/>
                <w:color w:val="auto"/>
                <w:kern w:val="0"/>
                <w:sz w:val="24"/>
                <w:szCs w:val="24"/>
                <w:highlight w:val="none"/>
                <w:lang w:val="en-US" w:eastAsia="zh-CN"/>
              </w:rPr>
              <w:t>1.18</w:t>
            </w:r>
            <w:r>
              <w:rPr>
                <w:rFonts w:hint="default"/>
                <w:color w:val="auto"/>
                <w:highlight w:val="none"/>
                <w:lang w:val="en-US" w:eastAsia="zh-CN"/>
              </w:rPr>
              <w:t>m</w:t>
            </w:r>
            <w:r>
              <w:rPr>
                <w:rFonts w:hint="default"/>
                <w:color w:val="auto"/>
                <w:highlight w:val="none"/>
                <w:vertAlign w:val="superscript"/>
                <w:lang w:val="en-US" w:eastAsia="zh-CN"/>
              </w:rPr>
              <w:t>3</w:t>
            </w:r>
            <w:r>
              <w:rPr>
                <w:rFonts w:hint="default" w:ascii="Times New Roman" w:hAnsi="Times New Roman" w:eastAsia="宋体" w:cs="Times New Roman"/>
                <w:color w:val="auto"/>
                <w:kern w:val="0"/>
                <w:sz w:val="24"/>
                <w:szCs w:val="24"/>
                <w:highlight w:val="none"/>
                <w:vertAlign w:val="superscript"/>
                <w:lang w:val="en-US" w:eastAsia="zh-CN"/>
              </w:rPr>
              <w:t>/</w:t>
            </w:r>
            <w:r>
              <w:rPr>
                <w:rFonts w:hint="default" w:ascii="Times New Roman" w:hAnsi="Times New Roman" w:eastAsia="宋体" w:cs="Times New Roman"/>
                <w:color w:val="auto"/>
                <w:kern w:val="0"/>
                <w:sz w:val="24"/>
                <w:szCs w:val="24"/>
                <w:highlight w:val="none"/>
                <w:lang w:val="en-US" w:eastAsia="zh-CN"/>
              </w:rPr>
              <w:t>d</w:t>
            </w:r>
            <w:r>
              <w:rPr>
                <w:rFonts w:hint="eastAsia"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354</w:t>
            </w:r>
            <w:r>
              <w:rPr>
                <w:rFonts w:hint="default"/>
                <w:color w:val="auto"/>
                <w:highlight w:val="none"/>
                <w:lang w:val="en-US" w:eastAsia="zh-CN"/>
              </w:rPr>
              <w:t>m</w:t>
            </w:r>
            <w:r>
              <w:rPr>
                <w:rFonts w:hint="default"/>
                <w:color w:val="auto"/>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/a），生活用水量为</w:t>
            </w:r>
            <w:r>
              <w:rPr>
                <w:rFonts w:hint="eastAsia" w:cs="Times New Roman"/>
                <w:color w:val="auto"/>
                <w:kern w:val="0"/>
                <w:sz w:val="24"/>
                <w:szCs w:val="24"/>
                <w:highlight w:val="none"/>
                <w:lang w:val="en-US" w:eastAsia="zh-CN"/>
              </w:rPr>
              <w:t>1.</w:t>
            </w:r>
            <w:r>
              <w:rPr>
                <w:rFonts w:hint="eastAsia" w:cs="Times New Roman"/>
                <w:color w:val="auto"/>
                <w:kern w:val="0"/>
                <w:sz w:val="24"/>
                <w:szCs w:val="24"/>
                <w:highlight w:val="none"/>
                <w:lang w:val="en-US" w:eastAsia="zh-CN"/>
              </w:rPr>
              <w:t>6</w:t>
            </w:r>
            <w:r>
              <w:rPr>
                <w:rFonts w:hint="default"/>
                <w:color w:val="auto"/>
                <w:highlight w:val="none"/>
                <w:lang w:val="en-US" w:eastAsia="zh-CN"/>
              </w:rPr>
              <w:t>m</w:t>
            </w:r>
            <w:r>
              <w:rPr>
                <w:rFonts w:hint="default"/>
                <w:color w:val="auto"/>
                <w:highlight w:val="none"/>
                <w:vertAlign w:val="superscript"/>
                <w:lang w:val="en-US" w:eastAsia="zh-CN"/>
              </w:rPr>
              <w:t>3</w:t>
            </w:r>
            <w:r>
              <w:rPr>
                <w:rFonts w:hint="default" w:ascii="Times New Roman" w:hAnsi="Times New Roman" w:eastAsia="宋体" w:cs="Times New Roman"/>
                <w:color w:val="auto"/>
                <w:kern w:val="0"/>
                <w:sz w:val="24"/>
                <w:szCs w:val="24"/>
                <w:highlight w:val="none"/>
                <w:vertAlign w:val="superscript"/>
                <w:lang w:val="en-US" w:eastAsia="zh-CN"/>
              </w:rPr>
              <w:t>/</w:t>
            </w:r>
            <w:r>
              <w:rPr>
                <w:rFonts w:hint="default" w:ascii="Times New Roman" w:hAnsi="Times New Roman" w:eastAsia="宋体" w:cs="Times New Roman"/>
                <w:color w:val="auto"/>
                <w:kern w:val="0"/>
                <w:sz w:val="24"/>
                <w:szCs w:val="24"/>
                <w:highlight w:val="none"/>
                <w:lang w:val="en-US" w:eastAsia="zh-CN"/>
              </w:rPr>
              <w:t>d</w:t>
            </w:r>
            <w:r>
              <w:rPr>
                <w:rFonts w:hint="eastAsia"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48</w:t>
            </w:r>
            <w:r>
              <w:rPr>
                <w:rFonts w:hint="eastAsia" w:cs="Times New Roman"/>
                <w:color w:val="auto"/>
                <w:kern w:val="0"/>
                <w:sz w:val="24"/>
                <w:szCs w:val="24"/>
                <w:highlight w:val="none"/>
                <w:lang w:val="en-US" w:eastAsia="zh-CN"/>
              </w:rPr>
              <w:t>0</w:t>
            </w:r>
            <w:r>
              <w:rPr>
                <w:rFonts w:hint="default"/>
                <w:color w:val="auto"/>
                <w:highlight w:val="none"/>
                <w:lang w:val="en-US" w:eastAsia="zh-CN"/>
              </w:rPr>
              <w:t>m</w:t>
            </w:r>
            <w:r>
              <w:rPr>
                <w:rFonts w:hint="default"/>
                <w:color w:val="auto"/>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/a）</w:t>
            </w:r>
            <w:r>
              <w:rPr>
                <w:rFonts w:hint="eastAsia" w:ascii="Times New Roman" w:hAnsi="Times New Roman" w:eastAsia="宋体" w:cs="Times New Roman"/>
                <w:color w:val="auto"/>
                <w:kern w:val="0"/>
                <w:sz w:val="24"/>
                <w:szCs w:val="24"/>
                <w:highlight w:val="none"/>
                <w:lang w:val="en-US" w:eastAsia="zh-CN"/>
              </w:rPr>
              <w:t>。</w:t>
            </w:r>
          </w:p>
          <w:p w14:paraId="3D6CC1A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（1）循环冷却用水</w:t>
            </w:r>
          </w:p>
          <w:p w14:paraId="5A81DC0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本</w:t>
            </w:r>
            <w:r>
              <w:rPr>
                <w:rFonts w:hint="default" w:ascii="Times New Roman" w:hAnsi="Times New Roman" w:eastAsia="宋体" w:cs="Times New Roman"/>
                <w:color w:val="auto"/>
                <w:kern w:val="0"/>
                <w:szCs w:val="21"/>
                <w:highlight w:val="none"/>
                <w:lang w:val="en-US" w:eastAsia="zh-CN"/>
              </w:rPr>
              <w:t>项目循环冷却用水</w:t>
            </w:r>
            <w:r>
              <w:rPr>
                <w:rFonts w:hint="eastAsia" w:ascii="Times New Roman" w:hAnsi="Times New Roman" w:eastAsia="宋体" w:cs="Times New Roman"/>
                <w:color w:val="auto"/>
                <w:kern w:val="0"/>
                <w:szCs w:val="21"/>
                <w:highlight w:val="none"/>
                <w:lang w:val="en-US" w:eastAsia="zh-CN"/>
              </w:rPr>
              <w:t>主要</w:t>
            </w:r>
            <w:r>
              <w:rPr>
                <w:rFonts w:hint="eastAsia" w:cs="Times New Roman"/>
                <w:color w:val="auto"/>
                <w:kern w:val="0"/>
                <w:szCs w:val="21"/>
                <w:highlight w:val="none"/>
                <w:lang w:val="en-US" w:eastAsia="zh-CN"/>
              </w:rPr>
              <w:t>用于</w:t>
            </w:r>
            <w:r>
              <w:rPr>
                <w:rFonts w:hint="eastAsia" w:ascii="Times New Roman" w:hAnsi="Times New Roman" w:eastAsia="宋体" w:cs="Times New Roman"/>
                <w:color w:val="auto"/>
                <w:kern w:val="0"/>
                <w:szCs w:val="21"/>
                <w:highlight w:val="none"/>
                <w:lang w:val="en-US" w:eastAsia="zh-CN"/>
              </w:rPr>
              <w:t>为</w:t>
            </w:r>
            <w:r>
              <w:rPr>
                <w:rFonts w:hint="default" w:ascii="Times New Roman" w:hAnsi="Times New Roman" w:eastAsia="宋体" w:cs="Times New Roman"/>
                <w:color w:val="auto"/>
                <w:kern w:val="0"/>
                <w:szCs w:val="21"/>
                <w:highlight w:val="none"/>
                <w:lang w:val="en-US" w:eastAsia="zh-CN"/>
              </w:rPr>
              <w:t>设备冷却、模具降温</w:t>
            </w:r>
            <w:r>
              <w:rPr>
                <w:rFonts w:hint="eastAsia" w:ascii="Times New Roman" w:hAnsi="Times New Roman" w:eastAsia="宋体" w:cs="Times New Roman"/>
                <w:color w:val="auto"/>
                <w:kern w:val="0"/>
                <w:szCs w:val="21"/>
                <w:highlight w:val="none"/>
                <w:lang w:val="en-US" w:eastAsia="zh-CN"/>
              </w:rPr>
              <w:t>，</w:t>
            </w:r>
            <w:r>
              <w:rPr>
                <w:rFonts w:hint="eastAsia"/>
                <w:color w:val="auto"/>
                <w:highlight w:val="none"/>
                <w:lang w:val="en-US" w:eastAsia="zh-CN"/>
              </w:rPr>
              <w:t>循环冷却系统依托厂区现有系统，并且沿用已有项目的软水系统，循环冷却系统设计总循环水量为200m</w:t>
            </w:r>
            <w:r>
              <w:rPr>
                <w:rFonts w:hint="eastAsia"/>
                <w:color w:val="auto"/>
                <w:highlight w:val="none"/>
                <w:vertAlign w:val="superscript"/>
                <w:lang w:val="en-US" w:eastAsia="zh-CN"/>
              </w:rPr>
              <w:t>3</w:t>
            </w:r>
            <w:r>
              <w:rPr>
                <w:rFonts w:hint="eastAsia"/>
                <w:color w:val="auto"/>
                <w:highlight w:val="none"/>
                <w:vertAlign w:val="baseline"/>
                <w:lang w:val="en-US" w:eastAsia="zh-CN"/>
              </w:rPr>
              <w:t>/d，现有项目已用量为93.81</w:t>
            </w:r>
            <w:r>
              <w:rPr>
                <w:rFonts w:hint="eastAsia"/>
                <w:color w:val="auto"/>
                <w:highlight w:val="none"/>
                <w:lang w:val="en-US" w:eastAsia="zh-CN"/>
              </w:rPr>
              <w:t>m</w:t>
            </w:r>
            <w:r>
              <w:rPr>
                <w:rFonts w:hint="eastAsia"/>
                <w:color w:val="auto"/>
                <w:highlight w:val="none"/>
                <w:vertAlign w:val="superscript"/>
                <w:lang w:val="en-US" w:eastAsia="zh-CN"/>
              </w:rPr>
              <w:t>3</w:t>
            </w:r>
            <w:r>
              <w:rPr>
                <w:rFonts w:hint="eastAsia"/>
                <w:color w:val="auto"/>
                <w:highlight w:val="none"/>
                <w:vertAlign w:val="baseline"/>
                <w:lang w:val="en-US" w:eastAsia="zh-CN"/>
              </w:rPr>
              <w:t>/d。</w:t>
            </w:r>
            <w:r>
              <w:rPr>
                <w:rFonts w:hint="eastAsia"/>
                <w:color w:val="auto"/>
                <w:highlight w:val="none"/>
                <w:lang w:val="en-US" w:eastAsia="zh-CN"/>
              </w:rPr>
              <w:t>根据企业提供，</w:t>
            </w:r>
            <w:r>
              <w:rPr>
                <w:rFonts w:hint="eastAsia" w:ascii="Times New Roman" w:hAnsi="Times New Roman" w:eastAsia="宋体" w:cs="Times New Roman"/>
                <w:color w:val="auto"/>
                <w:highlight w:val="none"/>
                <w:vertAlign w:val="baseline"/>
                <w:lang w:val="en-US" w:eastAsia="zh-CN"/>
              </w:rPr>
              <w:t>本项目需用冷却</w:t>
            </w:r>
            <w:r>
              <w:rPr>
                <w:rFonts w:hint="eastAsia"/>
                <w:color w:val="auto"/>
                <w:highlight w:val="none"/>
                <w:lang w:val="en-US" w:eastAsia="zh-CN"/>
              </w:rPr>
              <w:t>循环水</w:t>
            </w:r>
            <w:r>
              <w:rPr>
                <w:rFonts w:hint="eastAsia"/>
                <w:color w:val="auto"/>
                <w:highlight w:val="none"/>
                <w:vertAlign w:val="baseline"/>
                <w:lang w:val="en-US" w:eastAsia="zh-CN"/>
              </w:rPr>
              <w:t>量为11.8</w:t>
            </w:r>
            <w:r>
              <w:rPr>
                <w:rFonts w:hint="eastAsia"/>
                <w:color w:val="auto"/>
                <w:highlight w:val="none"/>
                <w:lang w:val="en-US" w:eastAsia="zh-CN"/>
              </w:rPr>
              <w:t>m</w:t>
            </w:r>
            <w:r>
              <w:rPr>
                <w:rFonts w:hint="eastAsia"/>
                <w:color w:val="auto"/>
                <w:highlight w:val="none"/>
                <w:vertAlign w:val="superscript"/>
                <w:lang w:val="en-US" w:eastAsia="zh-CN"/>
              </w:rPr>
              <w:t>3</w:t>
            </w:r>
            <w:r>
              <w:rPr>
                <w:rFonts w:hint="eastAsia"/>
                <w:color w:val="auto"/>
                <w:highlight w:val="none"/>
                <w:vertAlign w:val="baseline"/>
                <w:lang w:val="en-US" w:eastAsia="zh-CN"/>
              </w:rPr>
              <w:t>/d，循环损耗</w:t>
            </w:r>
            <w:r>
              <w:rPr>
                <w:rFonts w:hint="eastAsia" w:ascii="Times New Roman" w:hAnsi="Times New Roman" w:eastAsia="宋体" w:cs="Times New Roman"/>
                <w:color w:val="auto"/>
                <w:highlight w:val="none"/>
                <w:vertAlign w:val="baseline"/>
                <w:lang w:val="en-US" w:eastAsia="zh-CN"/>
              </w:rPr>
              <w:t>按10％计</w:t>
            </w:r>
            <w:r>
              <w:rPr>
                <w:rFonts w:hint="eastAsia"/>
                <w:color w:val="auto"/>
                <w:highlight w:val="none"/>
                <w:vertAlign w:val="baseline"/>
                <w:lang w:val="en-US" w:eastAsia="zh-CN"/>
              </w:rPr>
              <w:t>算，为1.18</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/d</w:t>
            </w:r>
            <w:r>
              <w:rPr>
                <w:rFonts w:hint="eastAsia" w:ascii="Times New Roman" w:hAnsi="Times New Roman" w:eastAsia="宋体" w:cs="Times New Roman"/>
                <w:color w:val="auto"/>
                <w:kern w:val="0"/>
                <w:szCs w:val="21"/>
                <w:highlight w:val="none"/>
                <w:lang w:val="en-US" w:eastAsia="zh-CN"/>
              </w:rPr>
              <w:t>。</w:t>
            </w:r>
          </w:p>
          <w:p w14:paraId="1A0E69C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2）生活用水</w:t>
            </w:r>
          </w:p>
          <w:p w14:paraId="21694EA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w:t>
            </w:r>
            <w:r>
              <w:rPr>
                <w:rFonts w:hint="eastAsia" w:ascii="Times New Roman" w:hAnsi="Times New Roman" w:eastAsia="宋体" w:cs="Times New Roman"/>
                <w:color w:val="auto"/>
                <w:kern w:val="0"/>
                <w:sz w:val="24"/>
                <w:szCs w:val="24"/>
                <w:highlight w:val="none"/>
                <w:lang w:val="en-US" w:eastAsia="zh-CN"/>
              </w:rPr>
              <w:t>新增劳动定员20人</w:t>
            </w:r>
            <w:r>
              <w:rPr>
                <w:rFonts w:hint="default" w:ascii="Times New Roman" w:hAnsi="Times New Roman" w:eastAsia="宋体" w:cs="Times New Roman"/>
                <w:color w:val="auto"/>
                <w:kern w:val="0"/>
                <w:sz w:val="24"/>
                <w:szCs w:val="24"/>
                <w:highlight w:val="none"/>
                <w:lang w:val="en-US" w:eastAsia="zh-CN"/>
              </w:rPr>
              <w:t>，年生产天数为300天</w:t>
            </w:r>
            <w:r>
              <w:rPr>
                <w:rFonts w:hint="eastAsia" w:cs="Times New Roman"/>
                <w:color w:val="auto"/>
                <w:kern w:val="0"/>
                <w:sz w:val="24"/>
                <w:szCs w:val="24"/>
                <w:highlight w:val="none"/>
                <w:lang w:val="en-US" w:eastAsia="zh-CN"/>
              </w:rPr>
              <w:t>，</w:t>
            </w:r>
            <w:r>
              <w:rPr>
                <w:rFonts w:hint="default" w:ascii="Times New Roman" w:hAnsi="Times New Roman" w:eastAsia="宋体"/>
                <w:bCs/>
                <w:color w:val="auto"/>
                <w:kern w:val="0"/>
                <w:szCs w:val="21"/>
                <w:highlight w:val="none"/>
              </w:rPr>
              <w:t>根据《内蒙古自治区行业用水定额（DB15/T385-202</w:t>
            </w:r>
            <w:r>
              <w:rPr>
                <w:rFonts w:hint="eastAsia" w:ascii="Times New Roman" w:hAnsi="Times New Roman" w:eastAsia="宋体"/>
                <w:bCs/>
                <w:color w:val="auto"/>
                <w:kern w:val="0"/>
                <w:szCs w:val="21"/>
                <w:highlight w:val="none"/>
                <w:lang w:val="en-US" w:eastAsia="zh-CN"/>
              </w:rPr>
              <w:t>5</w:t>
            </w:r>
            <w:r>
              <w:rPr>
                <w:rFonts w:hint="default" w:ascii="Times New Roman" w:hAnsi="Times New Roman" w:eastAsia="宋体"/>
                <w:bCs/>
                <w:color w:val="auto"/>
                <w:kern w:val="0"/>
                <w:szCs w:val="21"/>
                <w:highlight w:val="none"/>
              </w:rPr>
              <w:t>）》，</w:t>
            </w:r>
            <w:r>
              <w:rPr>
                <w:rFonts w:hint="eastAsia"/>
                <w:bCs/>
                <w:color w:val="auto"/>
                <w:kern w:val="0"/>
                <w:szCs w:val="21"/>
                <w:highlight w:val="none"/>
                <w:lang w:val="en-US" w:eastAsia="zh-CN"/>
              </w:rPr>
              <w:t>农村居民</w:t>
            </w:r>
            <w:r>
              <w:rPr>
                <w:rFonts w:hint="default" w:ascii="Times New Roman" w:hAnsi="Times New Roman" w:eastAsia="宋体"/>
                <w:bCs/>
                <w:color w:val="auto"/>
                <w:kern w:val="0"/>
                <w:szCs w:val="21"/>
                <w:highlight w:val="none"/>
              </w:rPr>
              <w:t>用水定额按</w:t>
            </w:r>
            <w:r>
              <w:rPr>
                <w:rFonts w:hint="eastAsia"/>
                <w:bCs/>
                <w:color w:val="auto"/>
                <w:kern w:val="0"/>
                <w:szCs w:val="21"/>
                <w:highlight w:val="none"/>
                <w:lang w:val="en-US" w:eastAsia="zh-CN"/>
              </w:rPr>
              <w:t>8</w:t>
            </w:r>
            <w:r>
              <w:rPr>
                <w:rFonts w:hint="default" w:ascii="Times New Roman" w:hAnsi="Times New Roman" w:eastAsia="宋体"/>
                <w:bCs/>
                <w:color w:val="auto"/>
                <w:kern w:val="0"/>
                <w:szCs w:val="21"/>
                <w:highlight w:val="none"/>
              </w:rPr>
              <w:t>0L/人</w:t>
            </w:r>
            <w:r>
              <w:rPr>
                <w:rFonts w:hint="eastAsia" w:ascii="Times New Roman" w:hAnsi="Times New Roman" w:eastAsia="宋体"/>
                <w:bCs/>
                <w:color w:val="auto"/>
                <w:kern w:val="0"/>
                <w:szCs w:val="21"/>
                <w:highlight w:val="none"/>
                <w:lang w:val="en-US" w:eastAsia="zh-CN"/>
              </w:rPr>
              <w:t>·</w:t>
            </w:r>
            <w:r>
              <w:rPr>
                <w:rFonts w:hint="default" w:ascii="Times New Roman" w:hAnsi="Times New Roman" w:eastAsia="宋体"/>
                <w:bCs/>
                <w:color w:val="auto"/>
                <w:kern w:val="0"/>
                <w:szCs w:val="21"/>
                <w:highlight w:val="none"/>
              </w:rPr>
              <w:t>d计</w:t>
            </w: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生活用水量为</w:t>
            </w:r>
            <w:r>
              <w:rPr>
                <w:rFonts w:hint="eastAsia" w:cs="Times New Roman"/>
                <w:color w:val="auto"/>
                <w:kern w:val="0"/>
                <w:sz w:val="24"/>
                <w:szCs w:val="24"/>
                <w:highlight w:val="none"/>
                <w:lang w:val="en-US" w:eastAsia="zh-CN"/>
              </w:rPr>
              <w:t>1.</w:t>
            </w:r>
            <w:r>
              <w:rPr>
                <w:rFonts w:hint="eastAsia" w:cs="Times New Roman"/>
                <w:color w:val="auto"/>
                <w:kern w:val="0"/>
                <w:sz w:val="24"/>
                <w:szCs w:val="24"/>
                <w:highlight w:val="none"/>
                <w:lang w:val="en-US" w:eastAsia="zh-CN"/>
              </w:rPr>
              <w:t>6</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/d（</w:t>
            </w:r>
            <w:r>
              <w:rPr>
                <w:rFonts w:hint="eastAsia" w:cs="Times New Roman"/>
                <w:color w:val="auto"/>
                <w:kern w:val="0"/>
                <w:sz w:val="24"/>
                <w:szCs w:val="24"/>
                <w:highlight w:val="none"/>
                <w:lang w:val="en-US" w:eastAsia="zh-CN"/>
              </w:rPr>
              <w:t>48</w:t>
            </w:r>
            <w:r>
              <w:rPr>
                <w:rFonts w:hint="eastAsia" w:cs="Times New Roman"/>
                <w:color w:val="auto"/>
                <w:kern w:val="0"/>
                <w:sz w:val="24"/>
                <w:szCs w:val="24"/>
                <w:highlight w:val="none"/>
                <w:lang w:val="en-US" w:eastAsia="zh-CN"/>
              </w:rPr>
              <w:t>0</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lang w:val="en-US" w:eastAsia="zh-CN"/>
              </w:rPr>
              <w:t>。</w:t>
            </w:r>
          </w:p>
          <w:p w14:paraId="25E5274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（三）</w:t>
            </w:r>
            <w:r>
              <w:rPr>
                <w:rFonts w:hint="default" w:ascii="Times New Roman" w:hAnsi="Times New Roman" w:eastAsia="宋体" w:cs="Times New Roman"/>
                <w:color w:val="auto"/>
                <w:kern w:val="0"/>
                <w:sz w:val="24"/>
                <w:szCs w:val="24"/>
                <w:highlight w:val="none"/>
                <w:lang w:val="en-US" w:eastAsia="zh-CN"/>
              </w:rPr>
              <w:t>排水</w:t>
            </w:r>
          </w:p>
          <w:p w14:paraId="171A7B9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（1）生产废水</w:t>
            </w:r>
          </w:p>
          <w:p w14:paraId="7C6B8B0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w:t>
            </w:r>
            <w:r>
              <w:rPr>
                <w:rFonts w:hint="eastAsia" w:cs="Times New Roman"/>
                <w:color w:val="auto"/>
                <w:kern w:val="0"/>
                <w:sz w:val="24"/>
                <w:szCs w:val="24"/>
                <w:highlight w:val="none"/>
                <w:lang w:val="en-US" w:eastAsia="zh-CN"/>
              </w:rPr>
              <w:t>循环冷却用水全部</w:t>
            </w:r>
            <w:r>
              <w:rPr>
                <w:rFonts w:hint="default" w:ascii="Times New Roman" w:hAnsi="Times New Roman" w:eastAsia="宋体" w:cs="Times New Roman"/>
                <w:color w:val="auto"/>
                <w:kern w:val="0"/>
                <w:sz w:val="24"/>
                <w:szCs w:val="24"/>
                <w:highlight w:val="none"/>
                <w:lang w:val="en-US" w:eastAsia="zh-CN"/>
              </w:rPr>
              <w:t>循环利用</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不外排。</w:t>
            </w:r>
          </w:p>
          <w:p w14:paraId="12874AA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（2）生活污水</w:t>
            </w:r>
          </w:p>
          <w:p w14:paraId="41F0C0A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生活污水产生率按照</w:t>
            </w:r>
            <w:r>
              <w:rPr>
                <w:rFonts w:hint="eastAsia" w:cs="Times New Roman"/>
                <w:color w:val="auto"/>
                <w:kern w:val="0"/>
                <w:sz w:val="24"/>
                <w:szCs w:val="24"/>
                <w:highlight w:val="none"/>
                <w:lang w:val="en-US" w:eastAsia="zh-CN"/>
              </w:rPr>
              <w:t>8</w:t>
            </w:r>
            <w:r>
              <w:rPr>
                <w:rFonts w:hint="default" w:ascii="Times New Roman" w:hAnsi="Times New Roman" w:eastAsia="宋体" w:cs="Times New Roman"/>
                <w:color w:val="auto"/>
                <w:kern w:val="0"/>
                <w:sz w:val="24"/>
                <w:szCs w:val="24"/>
                <w:highlight w:val="none"/>
                <w:lang w:val="en-US" w:eastAsia="zh-CN"/>
              </w:rPr>
              <w:t>0%计算，为</w:t>
            </w:r>
            <w:r>
              <w:rPr>
                <w:rFonts w:hint="eastAsia" w:cs="Times New Roman"/>
                <w:color w:val="auto"/>
                <w:kern w:val="0"/>
                <w:sz w:val="24"/>
                <w:szCs w:val="24"/>
                <w:highlight w:val="none"/>
                <w:lang w:val="en-US" w:eastAsia="zh-CN"/>
              </w:rPr>
              <w:t>1.28</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/d（</w:t>
            </w:r>
            <w:r>
              <w:rPr>
                <w:rFonts w:hint="eastAsia" w:cs="Times New Roman"/>
                <w:color w:val="auto"/>
                <w:kern w:val="0"/>
                <w:sz w:val="24"/>
                <w:szCs w:val="24"/>
                <w:highlight w:val="none"/>
                <w:lang w:val="en-US" w:eastAsia="zh-CN"/>
              </w:rPr>
              <w:t>384</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lang w:val="en-US" w:eastAsia="zh-CN"/>
              </w:rPr>
              <w:t>，经</w:t>
            </w:r>
            <w:r>
              <w:rPr>
                <w:rFonts w:hint="eastAsia" w:ascii="Times New Roman" w:hAnsi="Times New Roman" w:eastAsia="宋体" w:cs="Times New Roman"/>
                <w:color w:val="auto"/>
                <w:kern w:val="0"/>
                <w:sz w:val="24"/>
                <w:szCs w:val="24"/>
                <w:highlight w:val="none"/>
                <w:lang w:val="en-US" w:eastAsia="zh-CN"/>
              </w:rPr>
              <w:t>污水处理站</w:t>
            </w:r>
            <w:r>
              <w:rPr>
                <w:rFonts w:hint="default" w:ascii="Times New Roman" w:hAnsi="Times New Roman" w:eastAsia="宋体" w:cs="Times New Roman"/>
                <w:color w:val="auto"/>
                <w:kern w:val="0"/>
                <w:sz w:val="24"/>
                <w:szCs w:val="24"/>
                <w:highlight w:val="none"/>
                <w:lang w:val="en-US" w:eastAsia="zh-CN"/>
              </w:rPr>
              <w:t>处理后</w:t>
            </w:r>
            <w:r>
              <w:rPr>
                <w:rFonts w:hint="eastAsia" w:ascii="Times New Roman" w:hAnsi="Times New Roman" w:eastAsia="宋体" w:cs="Times New Roman"/>
                <w:color w:val="auto"/>
                <w:kern w:val="0"/>
                <w:sz w:val="24"/>
                <w:szCs w:val="24"/>
                <w:highlight w:val="none"/>
                <w:lang w:val="en-US" w:eastAsia="zh-CN"/>
              </w:rPr>
              <w:t>回用</w:t>
            </w:r>
            <w:r>
              <w:rPr>
                <w:rFonts w:hint="default" w:ascii="Times New Roman" w:hAnsi="Times New Roman" w:eastAsia="宋体" w:cs="Times New Roman"/>
                <w:color w:val="auto"/>
                <w:kern w:val="0"/>
                <w:sz w:val="24"/>
                <w:szCs w:val="24"/>
                <w:highlight w:val="none"/>
                <w:lang w:val="en-US" w:eastAsia="zh-CN"/>
              </w:rPr>
              <w:t>。</w:t>
            </w:r>
          </w:p>
          <w:p w14:paraId="6ABF08F3">
            <w:pPr>
              <w:keepNext w:val="0"/>
              <w:keepLines w:val="0"/>
              <w:pageBreakBefore w:val="0"/>
              <w:widowControl/>
              <w:suppressLineNumbers w:val="0"/>
              <w:kinsoku/>
              <w:wordWrap/>
              <w:overflowPunct/>
              <w:topLinePunct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s="Times New Roman"/>
                <w:color w:val="auto"/>
                <w:kern w:val="0"/>
                <w:sz w:val="24"/>
                <w:szCs w:val="24"/>
                <w:highlight w:val="none"/>
              </w:rPr>
            </w:pPr>
            <w:r>
              <w:rPr>
                <w:color w:val="auto"/>
              </w:rPr>
              <w:drawing>
                <wp:inline distT="0" distB="0" distL="114300" distR="114300">
                  <wp:extent cx="5161280" cy="3128645"/>
                  <wp:effectExtent l="0" t="0" r="1270" b="14605"/>
                  <wp:docPr id="6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7"/>
                          <pic:cNvPicPr>
                            <a:picLocks noChangeAspect="1"/>
                          </pic:cNvPicPr>
                        </pic:nvPicPr>
                        <pic:blipFill>
                          <a:blip r:embed="rId17"/>
                          <a:stretch>
                            <a:fillRect/>
                          </a:stretch>
                        </pic:blipFill>
                        <pic:spPr>
                          <a:xfrm>
                            <a:off x="0" y="0"/>
                            <a:ext cx="5161280" cy="3128645"/>
                          </a:xfrm>
                          <a:prstGeom prst="rect">
                            <a:avLst/>
                          </a:prstGeom>
                          <a:noFill/>
                          <a:ln>
                            <a:noFill/>
                          </a:ln>
                        </pic:spPr>
                      </pic:pic>
                    </a:graphicData>
                  </a:graphic>
                </wp:inline>
              </w:drawing>
            </w:r>
          </w:p>
          <w:p w14:paraId="4CD0615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bCs/>
                <w:color w:val="auto"/>
                <w:kern w:val="0"/>
                <w:sz w:val="24"/>
                <w:szCs w:val="24"/>
                <w:highlight w:val="green"/>
              </w:rPr>
            </w:pPr>
            <w:r>
              <w:rPr>
                <w:rFonts w:hint="default" w:ascii="Times New Roman" w:hAnsi="Times New Roman" w:eastAsia="宋体" w:cs="Times New Roman"/>
                <w:b/>
                <w:color w:val="auto"/>
                <w:sz w:val="24"/>
                <w:szCs w:val="24"/>
                <w:highlight w:val="none"/>
                <w:lang w:val="en-US" w:eastAsia="zh-CN"/>
              </w:rPr>
              <w:t>图2-1项目水平衡图</w:t>
            </w:r>
            <w:r>
              <w:rPr>
                <w:rFonts w:hint="default" w:ascii="Times New Roman" w:hAnsi="Times New Roman" w:eastAsia="宋体" w:cs="Times New Roman"/>
                <w:b/>
                <w:bCs/>
                <w:color w:val="auto"/>
                <w:spacing w:val="-1"/>
                <w:sz w:val="24"/>
                <w:szCs w:val="24"/>
                <w:highlight w:val="none"/>
                <w:lang w:val="en-US" w:eastAsia="zh-CN"/>
              </w:rPr>
              <w:t>（</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b/>
                <w:bCs/>
                <w:color w:val="auto"/>
                <w:spacing w:val="-1"/>
                <w:sz w:val="24"/>
                <w:szCs w:val="24"/>
                <w:highlight w:val="none"/>
                <w:lang w:val="en-US" w:eastAsia="zh-CN"/>
              </w:rPr>
              <w:t>/d）</w:t>
            </w:r>
          </w:p>
          <w:p w14:paraId="34C1DBA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四</w:t>
            </w:r>
            <w:r>
              <w:rPr>
                <w:rFonts w:hint="default" w:ascii="Times New Roman" w:hAnsi="Times New Roman" w:eastAsia="宋体" w:cs="Times New Roman"/>
                <w:color w:val="auto"/>
                <w:kern w:val="0"/>
                <w:sz w:val="24"/>
                <w:szCs w:val="24"/>
                <w:lang w:val="en-US" w:eastAsia="zh-CN"/>
              </w:rPr>
              <w:t>）供暖</w:t>
            </w:r>
          </w:p>
          <w:p w14:paraId="0A05A82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本项目冬季采暖热媒由</w:t>
            </w:r>
            <w:r>
              <w:rPr>
                <w:rFonts w:hint="eastAsia" w:ascii="Times New Roman" w:hAnsi="Times New Roman" w:eastAsia="宋体" w:cs="Times New Roman"/>
                <w:color w:val="auto"/>
                <w:kern w:val="0"/>
                <w:sz w:val="24"/>
                <w:szCs w:val="24"/>
                <w:lang w:val="en-US" w:eastAsia="zh-CN"/>
              </w:rPr>
              <w:t>厂区现有</w:t>
            </w:r>
            <w:r>
              <w:rPr>
                <w:rFonts w:hint="default" w:ascii="Times New Roman" w:hAnsi="Times New Roman" w:eastAsia="宋体" w:cs="Times New Roman"/>
                <w:color w:val="auto"/>
                <w:kern w:val="0"/>
                <w:sz w:val="24"/>
                <w:szCs w:val="24"/>
                <w:lang w:val="en-US" w:eastAsia="zh-CN"/>
              </w:rPr>
              <w:t>焚烧余热锅炉生产出的过热蒸汽经过汽水换热器</w:t>
            </w:r>
            <w:r>
              <w:rPr>
                <w:rFonts w:hint="eastAsia" w:ascii="Times New Roman" w:hAnsi="Times New Roman" w:eastAsia="宋体" w:cs="Times New Roman"/>
                <w:color w:val="auto"/>
                <w:kern w:val="0"/>
                <w:sz w:val="24"/>
                <w:szCs w:val="24"/>
                <w:lang w:val="en-US" w:eastAsia="zh-CN"/>
              </w:rPr>
              <w:t>产生的</w:t>
            </w:r>
            <w:r>
              <w:rPr>
                <w:rFonts w:hint="default" w:ascii="Times New Roman" w:hAnsi="Times New Roman" w:eastAsia="宋体" w:cs="Times New Roman"/>
                <w:color w:val="auto"/>
                <w:kern w:val="0"/>
                <w:sz w:val="24"/>
                <w:szCs w:val="24"/>
                <w:lang w:val="en-US" w:eastAsia="zh-CN"/>
              </w:rPr>
              <w:t>60-85℃的热水。室内采暖设备以散热器为主，对于热负荷较大的高大厂房辅以热水暖风机。</w:t>
            </w:r>
            <w:r>
              <w:rPr>
                <w:rFonts w:hint="eastAsia" w:ascii="Times New Roman" w:hAnsi="Times New Roman" w:eastAsia="宋体" w:cs="Times New Roman"/>
                <w:color w:val="auto"/>
                <w:kern w:val="0"/>
                <w:sz w:val="24"/>
                <w:szCs w:val="24"/>
                <w:lang w:val="en-US" w:eastAsia="zh-CN"/>
              </w:rPr>
              <w:t>该换热器可产热水量为</w:t>
            </w:r>
            <w:r>
              <w:rPr>
                <w:rFonts w:hint="eastAsia" w:cs="Times New Roman"/>
                <w:color w:val="auto"/>
                <w:kern w:val="0"/>
                <w:sz w:val="24"/>
                <w:szCs w:val="24"/>
                <w:lang w:val="en-US" w:eastAsia="zh-CN"/>
              </w:rPr>
              <w:t>6t/h</w:t>
            </w:r>
            <w:r>
              <w:rPr>
                <w:rFonts w:hint="eastAsia" w:ascii="Times New Roman" w:hAnsi="Times New Roman" w:eastAsia="宋体" w:cs="Times New Roman"/>
                <w:color w:val="auto"/>
                <w:kern w:val="0"/>
                <w:sz w:val="24"/>
                <w:szCs w:val="24"/>
                <w:lang w:val="en-US" w:eastAsia="zh-CN"/>
              </w:rPr>
              <w:t>，现厂区已用</w:t>
            </w:r>
            <w:r>
              <w:rPr>
                <w:rFonts w:hint="eastAsia" w:cs="Times New Roman"/>
                <w:color w:val="auto"/>
                <w:kern w:val="0"/>
                <w:sz w:val="24"/>
                <w:szCs w:val="24"/>
                <w:lang w:val="en-US" w:eastAsia="zh-CN"/>
              </w:rPr>
              <w:t>3t/h</w:t>
            </w:r>
            <w:r>
              <w:rPr>
                <w:rFonts w:hint="eastAsia" w:ascii="Times New Roman" w:hAnsi="Times New Roman" w:eastAsia="宋体" w:cs="Times New Roman"/>
                <w:color w:val="auto"/>
                <w:kern w:val="0"/>
                <w:sz w:val="24"/>
                <w:szCs w:val="24"/>
                <w:lang w:val="en-US" w:eastAsia="zh-CN"/>
              </w:rPr>
              <w:t>，本</w:t>
            </w:r>
            <w:r>
              <w:rPr>
                <w:rFonts w:hint="eastAsia" w:cs="Times New Roman"/>
                <w:color w:val="auto"/>
                <w:kern w:val="0"/>
                <w:sz w:val="24"/>
                <w:szCs w:val="24"/>
                <w:lang w:val="en-US" w:eastAsia="zh-CN"/>
              </w:rPr>
              <w:t>次</w:t>
            </w:r>
            <w:r>
              <w:rPr>
                <w:rFonts w:hint="eastAsia" w:ascii="Times New Roman" w:hAnsi="Times New Roman" w:eastAsia="宋体" w:cs="Times New Roman"/>
                <w:color w:val="auto"/>
                <w:kern w:val="0"/>
                <w:sz w:val="24"/>
                <w:szCs w:val="24"/>
                <w:lang w:val="en-US" w:eastAsia="zh-CN"/>
              </w:rPr>
              <w:t>采暖需用热水量为</w:t>
            </w:r>
            <w:r>
              <w:rPr>
                <w:rFonts w:hint="eastAsia" w:cs="Times New Roman"/>
                <w:color w:val="auto"/>
                <w:kern w:val="0"/>
                <w:sz w:val="24"/>
                <w:szCs w:val="24"/>
                <w:lang w:val="en-US" w:eastAsia="zh-CN"/>
              </w:rPr>
              <w:t>0.5t/h</w:t>
            </w:r>
            <w:r>
              <w:rPr>
                <w:rFonts w:hint="eastAsia" w:ascii="Times New Roman" w:hAnsi="Times New Roman" w:eastAsia="宋体" w:cs="Times New Roman"/>
                <w:color w:val="auto"/>
                <w:kern w:val="0"/>
                <w:sz w:val="24"/>
                <w:szCs w:val="24"/>
                <w:lang w:val="en-US" w:eastAsia="zh-CN"/>
              </w:rPr>
              <w:t>，依托可行。</w:t>
            </w:r>
          </w:p>
          <w:p w14:paraId="700A27F8">
            <w:pPr>
              <w:pStyle w:val="64"/>
              <w:keepNext w:val="0"/>
              <w:keepLines w:val="0"/>
              <w:pageBreakBefore w:val="0"/>
              <w:suppressLineNumbers w:val="0"/>
              <w:kinsoku/>
              <w:overflowPunct/>
              <w:bidi w:val="0"/>
              <w:spacing w:before="0" w:beforeAutospacing="0" w:after="0" w:afterLines="0" w:afterAutospacing="0"/>
              <w:ind w:left="0" w:right="0" w:firstLine="476"/>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本项目</w:t>
            </w:r>
            <w:r>
              <w:rPr>
                <w:rFonts w:hint="default" w:ascii="Times New Roman" w:hAnsi="Times New Roman" w:eastAsia="宋体" w:cs="Times New Roman"/>
                <w:color w:val="auto"/>
                <w:sz w:val="24"/>
                <w:szCs w:val="24"/>
              </w:rPr>
              <w:t>主要</w:t>
            </w:r>
            <w:r>
              <w:rPr>
                <w:rFonts w:hint="default" w:ascii="Times New Roman" w:hAnsi="Times New Roman" w:eastAsia="宋体" w:cs="Times New Roman"/>
                <w:color w:val="auto"/>
                <w:spacing w:val="-1"/>
                <w:sz w:val="24"/>
                <w:szCs w:val="24"/>
              </w:rPr>
              <w:t>能源消耗情</w:t>
            </w:r>
            <w:r>
              <w:rPr>
                <w:rFonts w:hint="default" w:ascii="Times New Roman" w:hAnsi="Times New Roman" w:eastAsia="宋体" w:cs="Times New Roman"/>
                <w:color w:val="auto"/>
                <w:sz w:val="24"/>
                <w:szCs w:val="24"/>
              </w:rPr>
              <w:t>况见表2-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w:t>
            </w:r>
          </w:p>
          <w:p w14:paraId="7B6674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w:t>
            </w:r>
            <w:r>
              <w:rPr>
                <w:rFonts w:hint="eastAsia" w:ascii="Times New Roman" w:hAnsi="Times New Roman" w:eastAsia="宋体" w:cs="Times New Roman"/>
                <w:b/>
                <w:bCs/>
                <w:color w:val="auto"/>
                <w:sz w:val="24"/>
                <w:lang w:val="en-US" w:eastAsia="zh-CN"/>
              </w:rPr>
              <w:t>2-6</w:t>
            </w:r>
            <w:r>
              <w:rPr>
                <w:rFonts w:hint="default" w:ascii="Times New Roman" w:hAnsi="Times New Roman" w:eastAsia="宋体" w:cs="Times New Roman"/>
                <w:b/>
                <w:bCs/>
                <w:color w:val="auto"/>
                <w:sz w:val="24"/>
                <w:lang w:val="en-US" w:eastAsia="zh-CN"/>
              </w:rPr>
              <w:t>本项目主要</w:t>
            </w:r>
            <w:r>
              <w:rPr>
                <w:rFonts w:hint="eastAsia" w:ascii="Times New Roman" w:hAnsi="Times New Roman" w:eastAsia="宋体" w:cs="Times New Roman"/>
                <w:b/>
                <w:bCs/>
                <w:color w:val="auto"/>
                <w:sz w:val="24"/>
                <w:lang w:val="en-US" w:eastAsia="zh-CN"/>
              </w:rPr>
              <w:t>能源</w:t>
            </w:r>
            <w:r>
              <w:rPr>
                <w:rFonts w:hint="default" w:ascii="Times New Roman" w:hAnsi="Times New Roman" w:eastAsia="宋体" w:cs="Times New Roman"/>
                <w:b/>
                <w:bCs/>
                <w:color w:val="auto"/>
                <w:sz w:val="24"/>
                <w:lang w:val="en-US" w:eastAsia="zh-CN"/>
              </w:rPr>
              <w:t>消耗情况一览表</w:t>
            </w:r>
          </w:p>
          <w:tbl>
            <w:tblPr>
              <w:tblStyle w:val="24"/>
              <w:tblW w:w="4998"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1"/>
              <w:gridCol w:w="1104"/>
              <w:gridCol w:w="1781"/>
              <w:gridCol w:w="1779"/>
              <w:gridCol w:w="3210"/>
            </w:tblGrid>
            <w:tr w14:paraId="20335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0" w:type="pct"/>
                  <w:noWrap w:val="0"/>
                  <w:vAlign w:val="center"/>
                </w:tcPr>
                <w:p w14:paraId="4C9536DA">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bookmarkStart w:id="3" w:name="_Hlk38012507"/>
                  <w:r>
                    <w:rPr>
                      <w:rFonts w:hint="default" w:ascii="Times New Roman" w:hAnsi="Times New Roman" w:eastAsia="宋体"/>
                      <w:color w:val="auto"/>
                      <w:sz w:val="21"/>
                      <w:szCs w:val="21"/>
                      <w:lang w:eastAsia="zh-CN"/>
                    </w:rPr>
                    <w:t>类别</w:t>
                  </w:r>
                </w:p>
              </w:tc>
              <w:tc>
                <w:tcPr>
                  <w:tcW w:w="640" w:type="pct"/>
                  <w:noWrap w:val="0"/>
                  <w:vAlign w:val="center"/>
                </w:tcPr>
                <w:p w14:paraId="760C3886">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default" w:ascii="Times New Roman" w:hAnsi="Times New Roman" w:eastAsia="宋体"/>
                      <w:color w:val="auto"/>
                      <w:sz w:val="21"/>
                      <w:szCs w:val="21"/>
                      <w:lang w:eastAsia="zh-CN"/>
                    </w:rPr>
                    <w:t>名</w:t>
                  </w:r>
                </w:p>
              </w:tc>
              <w:tc>
                <w:tcPr>
                  <w:tcW w:w="1033" w:type="pct"/>
                  <w:noWrap w:val="0"/>
                  <w:vAlign w:val="center"/>
                </w:tcPr>
                <w:p w14:paraId="43F444D1">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default" w:ascii="Times New Roman" w:hAnsi="Times New Roman" w:eastAsia="宋体"/>
                      <w:color w:val="auto"/>
                      <w:sz w:val="21"/>
                      <w:szCs w:val="21"/>
                      <w:lang w:eastAsia="zh-CN"/>
                    </w:rPr>
                    <w:t>型号与规格</w:t>
                  </w:r>
                </w:p>
              </w:tc>
              <w:tc>
                <w:tcPr>
                  <w:tcW w:w="1032" w:type="pct"/>
                  <w:noWrap w:val="0"/>
                  <w:vAlign w:val="center"/>
                </w:tcPr>
                <w:p w14:paraId="11BE88F0">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default" w:ascii="Times New Roman" w:hAnsi="Times New Roman" w:eastAsia="宋体"/>
                      <w:color w:val="auto"/>
                      <w:sz w:val="21"/>
                      <w:szCs w:val="21"/>
                      <w:lang w:eastAsia="zh-CN"/>
                    </w:rPr>
                    <w:t>数</w:t>
                  </w:r>
                  <w:r>
                    <w:rPr>
                      <w:rFonts w:hint="eastAsia" w:ascii="Times New Roman" w:hAnsi="Times New Roman" w:eastAsia="宋体"/>
                      <w:color w:val="auto"/>
                      <w:sz w:val="21"/>
                      <w:szCs w:val="21"/>
                      <w:lang w:eastAsia="zh-CN"/>
                    </w:rPr>
                    <w:t>量</w:t>
                  </w:r>
                </w:p>
              </w:tc>
              <w:tc>
                <w:tcPr>
                  <w:tcW w:w="1863" w:type="pct"/>
                  <w:noWrap w:val="0"/>
                  <w:vAlign w:val="center"/>
                </w:tcPr>
                <w:p w14:paraId="6CFE69F8">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default" w:ascii="Times New Roman" w:hAnsi="Times New Roman" w:eastAsia="宋体"/>
                      <w:color w:val="auto"/>
                      <w:sz w:val="21"/>
                      <w:szCs w:val="21"/>
                      <w:lang w:eastAsia="zh-CN"/>
                    </w:rPr>
                    <w:t>来源及</w:t>
                  </w:r>
                  <w:r>
                    <w:rPr>
                      <w:rFonts w:hint="eastAsia" w:ascii="Times New Roman" w:hAnsi="Times New Roman" w:eastAsia="宋体"/>
                      <w:color w:val="auto"/>
                      <w:sz w:val="21"/>
                      <w:szCs w:val="21"/>
                      <w:lang w:eastAsia="zh-CN"/>
                    </w:rPr>
                    <w:t>运</w:t>
                  </w:r>
                  <w:r>
                    <w:rPr>
                      <w:rFonts w:hint="default" w:ascii="Times New Roman" w:hAnsi="Times New Roman" w:eastAsia="宋体"/>
                      <w:color w:val="auto"/>
                      <w:sz w:val="21"/>
                      <w:szCs w:val="21"/>
                      <w:lang w:eastAsia="zh-CN"/>
                    </w:rPr>
                    <w:t>输</w:t>
                  </w:r>
                </w:p>
              </w:tc>
            </w:tr>
            <w:tr w14:paraId="32787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9" w:hRule="atLeast"/>
              </w:trPr>
              <w:tc>
                <w:tcPr>
                  <w:tcW w:w="430" w:type="pct"/>
                  <w:vMerge w:val="restart"/>
                  <w:noWrap w:val="0"/>
                  <w:vAlign w:val="center"/>
                </w:tcPr>
                <w:p w14:paraId="1BA1FBE9">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default" w:ascii="Times New Roman" w:hAnsi="Times New Roman" w:eastAsia="宋体"/>
                      <w:color w:val="auto"/>
                      <w:sz w:val="21"/>
                      <w:szCs w:val="21"/>
                      <w:lang w:eastAsia="zh-CN"/>
                    </w:rPr>
                    <w:t>能源</w:t>
                  </w:r>
                </w:p>
                <w:p w14:paraId="23590AF7">
                  <w:pPr>
                    <w:pStyle w:val="66"/>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default" w:ascii="Times New Roman" w:hAnsi="Times New Roman" w:eastAsia="宋体"/>
                      <w:color w:val="auto"/>
                      <w:sz w:val="21"/>
                      <w:szCs w:val="21"/>
                      <w:lang w:eastAsia="zh-CN"/>
                    </w:rPr>
                    <w:t>消耗</w:t>
                  </w:r>
                </w:p>
              </w:tc>
              <w:tc>
                <w:tcPr>
                  <w:tcW w:w="640" w:type="pct"/>
                  <w:noWrap w:val="0"/>
                  <w:vAlign w:val="center"/>
                </w:tcPr>
                <w:p w14:paraId="175E786B">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eastAsia" w:ascii="Times New Roman" w:hAnsi="Times New Roman" w:eastAsia="宋体"/>
                      <w:color w:val="auto"/>
                      <w:sz w:val="21"/>
                      <w:szCs w:val="21"/>
                      <w:lang w:val="en-US" w:eastAsia="zh-CN"/>
                    </w:rPr>
                    <w:t>新鲜</w:t>
                  </w:r>
                  <w:r>
                    <w:rPr>
                      <w:rFonts w:hint="eastAsia" w:ascii="Times New Roman" w:hAnsi="Times New Roman" w:eastAsia="宋体"/>
                      <w:color w:val="auto"/>
                      <w:sz w:val="21"/>
                      <w:szCs w:val="21"/>
                      <w:lang w:eastAsia="zh-CN"/>
                    </w:rPr>
                    <w:t>水</w:t>
                  </w:r>
                </w:p>
              </w:tc>
              <w:tc>
                <w:tcPr>
                  <w:tcW w:w="1033" w:type="pct"/>
                  <w:noWrap w:val="0"/>
                  <w:vAlign w:val="center"/>
                </w:tcPr>
                <w:p w14:paraId="6EF69CCD">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default" w:ascii="Times New Roman" w:hAnsi="Times New Roman" w:eastAsia="宋体"/>
                      <w:color w:val="auto"/>
                      <w:sz w:val="21"/>
                      <w:szCs w:val="21"/>
                      <w:lang w:eastAsia="zh-CN"/>
                    </w:rPr>
                    <w:t>/</w:t>
                  </w:r>
                </w:p>
              </w:tc>
              <w:tc>
                <w:tcPr>
                  <w:tcW w:w="1032" w:type="pct"/>
                  <w:noWrap w:val="0"/>
                  <w:vAlign w:val="center"/>
                </w:tcPr>
                <w:p w14:paraId="0D78DCAF">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2.78</w:t>
                  </w:r>
                  <w:r>
                    <w:rPr>
                      <w:rFonts w:hint="default" w:ascii="Times New Roman" w:hAnsi="Times New Roman" w:eastAsia="宋体"/>
                      <w:color w:val="auto"/>
                      <w:sz w:val="21"/>
                      <w:szCs w:val="21"/>
                      <w:lang w:val="en-US" w:eastAsia="zh-CN"/>
                    </w:rPr>
                    <w:t>m</w:t>
                  </w:r>
                  <w:r>
                    <w:rPr>
                      <w:rFonts w:hint="default" w:ascii="Times New Roman" w:hAnsi="Times New Roman" w:eastAsia="宋体"/>
                      <w:color w:val="auto"/>
                      <w:sz w:val="21"/>
                      <w:szCs w:val="21"/>
                      <w:vertAlign w:val="superscript"/>
                      <w:lang w:val="en-US" w:eastAsia="zh-CN"/>
                    </w:rPr>
                    <w:t>3</w:t>
                  </w:r>
                  <w:r>
                    <w:rPr>
                      <w:rFonts w:hint="default" w:ascii="Times New Roman" w:hAnsi="Times New Roman" w:eastAsia="宋体"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lang w:val="en-US" w:eastAsia="zh-CN"/>
                    </w:rPr>
                    <w:t>d</w:t>
                  </w:r>
                </w:p>
              </w:tc>
              <w:tc>
                <w:tcPr>
                  <w:tcW w:w="1863" w:type="pct"/>
                  <w:noWrap w:val="0"/>
                  <w:vAlign w:val="center"/>
                </w:tcPr>
                <w:p w14:paraId="277C117E">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开发区给水管网提供</w:t>
                  </w:r>
                </w:p>
              </w:tc>
            </w:tr>
            <w:tr w14:paraId="777C1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0" w:type="pct"/>
                  <w:vMerge w:val="continue"/>
                  <w:noWrap w:val="0"/>
                  <w:vAlign w:val="center"/>
                </w:tcPr>
                <w:p w14:paraId="59113242">
                  <w:pPr>
                    <w:pStyle w:val="66"/>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p>
              </w:tc>
              <w:tc>
                <w:tcPr>
                  <w:tcW w:w="640" w:type="pct"/>
                  <w:noWrap w:val="0"/>
                  <w:vAlign w:val="center"/>
                </w:tcPr>
                <w:p w14:paraId="640CF08E">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default" w:ascii="Times New Roman" w:hAnsi="Times New Roman" w:eastAsia="宋体"/>
                      <w:color w:val="auto"/>
                      <w:sz w:val="21"/>
                      <w:szCs w:val="21"/>
                      <w:lang w:eastAsia="zh-CN"/>
                    </w:rPr>
                    <w:t>电</w:t>
                  </w:r>
                </w:p>
              </w:tc>
              <w:tc>
                <w:tcPr>
                  <w:tcW w:w="1033" w:type="pct"/>
                  <w:noWrap w:val="0"/>
                  <w:vAlign w:val="center"/>
                </w:tcPr>
                <w:p w14:paraId="205303C5">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default" w:ascii="Times New Roman" w:hAnsi="Times New Roman" w:eastAsia="宋体"/>
                      <w:color w:val="auto"/>
                      <w:sz w:val="21"/>
                      <w:szCs w:val="21"/>
                      <w:lang w:eastAsia="zh-CN"/>
                    </w:rPr>
                    <w:t>/</w:t>
                  </w:r>
                </w:p>
              </w:tc>
              <w:tc>
                <w:tcPr>
                  <w:tcW w:w="1032" w:type="pct"/>
                  <w:noWrap w:val="0"/>
                  <w:vAlign w:val="center"/>
                </w:tcPr>
                <w:p w14:paraId="183D0BB5">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eastAsia" w:ascii="Times New Roman" w:hAnsi="Times New Roman" w:eastAsia="宋体" w:cs="Times New Roman"/>
                      <w:color w:val="auto"/>
                      <w:kern w:val="0"/>
                      <w:sz w:val="21"/>
                      <w:szCs w:val="21"/>
                      <w:lang w:val="en-US" w:eastAsia="zh-CN"/>
                    </w:rPr>
                    <w:t>320</w:t>
                  </w:r>
                  <w:r>
                    <w:rPr>
                      <w:rFonts w:hint="default" w:ascii="Times New Roman" w:hAnsi="Times New Roman" w:eastAsia="宋体" w:cs="Times New Roman"/>
                      <w:color w:val="auto"/>
                      <w:kern w:val="0"/>
                      <w:sz w:val="21"/>
                      <w:szCs w:val="21"/>
                      <w:lang w:val="en-US" w:eastAsia="zh-CN"/>
                    </w:rPr>
                    <w:t>万kWh</w:t>
                  </w:r>
                </w:p>
              </w:tc>
              <w:tc>
                <w:tcPr>
                  <w:tcW w:w="1863" w:type="pct"/>
                  <w:noWrap w:val="0"/>
                  <w:vAlign w:val="center"/>
                </w:tcPr>
                <w:p w14:paraId="7ABFA91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s="Times New Roman"/>
                      <w:color w:val="auto"/>
                      <w:kern w:val="0"/>
                      <w:sz w:val="21"/>
                      <w:szCs w:val="21"/>
                      <w:lang w:val="en-US" w:eastAsia="zh-CN"/>
                    </w:rPr>
                    <w:t>园区供电系统提供</w:t>
                  </w:r>
                </w:p>
              </w:tc>
            </w:tr>
            <w:tr w14:paraId="53BCC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0" w:type="pct"/>
                  <w:vMerge w:val="continue"/>
                  <w:noWrap w:val="0"/>
                  <w:vAlign w:val="center"/>
                </w:tcPr>
                <w:p w14:paraId="10AC112A">
                  <w:pPr>
                    <w:pStyle w:val="66"/>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p>
              </w:tc>
              <w:tc>
                <w:tcPr>
                  <w:tcW w:w="640" w:type="pct"/>
                  <w:noWrap w:val="0"/>
                  <w:vAlign w:val="center"/>
                </w:tcPr>
                <w:p w14:paraId="2DE3E5D6">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热水</w:t>
                  </w:r>
                </w:p>
              </w:tc>
              <w:tc>
                <w:tcPr>
                  <w:tcW w:w="1033" w:type="pct"/>
                  <w:noWrap w:val="0"/>
                  <w:vAlign w:val="center"/>
                </w:tcPr>
                <w:p w14:paraId="257B5A16">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60-85</w:t>
                  </w:r>
                  <w:r>
                    <w:rPr>
                      <w:rFonts w:hint="default" w:ascii="Times New Roman" w:hAnsi="Times New Roman" w:eastAsia="宋体" w:cs="Times New Roman"/>
                      <w:color w:val="auto"/>
                      <w:kern w:val="0"/>
                      <w:sz w:val="21"/>
                      <w:szCs w:val="21"/>
                      <w:lang w:val="en-US" w:eastAsia="zh-CN"/>
                    </w:rPr>
                    <w:t>℃</w:t>
                  </w:r>
                </w:p>
              </w:tc>
              <w:tc>
                <w:tcPr>
                  <w:tcW w:w="1032" w:type="pct"/>
                  <w:noWrap w:val="0"/>
                  <w:vAlign w:val="center"/>
                </w:tcPr>
                <w:p w14:paraId="71FE0AE1">
                  <w:pPr>
                    <w:pStyle w:val="66"/>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textAlignment w:val="auto"/>
                    <w:rPr>
                      <w:rFonts w:hint="default" w:ascii="Times New Roman" w:hAnsi="Times New Roman" w:eastAsia="宋体"/>
                      <w:color w:val="auto"/>
                      <w:sz w:val="21"/>
                      <w:szCs w:val="21"/>
                      <w:lang w:eastAsia="zh-CN"/>
                    </w:rPr>
                  </w:pPr>
                  <w:r>
                    <w:rPr>
                      <w:rFonts w:hint="eastAsia" w:ascii="Times New Roman" w:hAnsi="Times New Roman" w:eastAsia="宋体" w:cs="Times New Roman"/>
                      <w:color w:val="auto"/>
                      <w:kern w:val="0"/>
                      <w:sz w:val="21"/>
                      <w:szCs w:val="21"/>
                      <w:lang w:val="en-US" w:eastAsia="zh-CN"/>
                    </w:rPr>
                    <w:t>0.5t/h</w:t>
                  </w:r>
                </w:p>
              </w:tc>
              <w:tc>
                <w:tcPr>
                  <w:tcW w:w="1863" w:type="pct"/>
                  <w:noWrap w:val="0"/>
                  <w:vAlign w:val="center"/>
                </w:tcPr>
                <w:p w14:paraId="1C49824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厂区现有</w:t>
                  </w:r>
                  <w:r>
                    <w:rPr>
                      <w:rFonts w:hint="default" w:ascii="Times New Roman" w:hAnsi="Times New Roman" w:eastAsia="宋体" w:cs="Times New Roman"/>
                      <w:color w:val="auto"/>
                      <w:kern w:val="0"/>
                      <w:sz w:val="21"/>
                      <w:szCs w:val="21"/>
                      <w:lang w:val="en-US" w:eastAsia="zh-CN"/>
                    </w:rPr>
                    <w:t>焚烧余热锅炉</w:t>
                  </w:r>
                  <w:r>
                    <w:rPr>
                      <w:rFonts w:hint="eastAsia" w:ascii="Times New Roman" w:hAnsi="Times New Roman" w:eastAsia="宋体" w:cs="Times New Roman"/>
                      <w:color w:val="auto"/>
                      <w:kern w:val="0"/>
                      <w:sz w:val="21"/>
                      <w:szCs w:val="21"/>
                      <w:lang w:val="en-US" w:eastAsia="zh-CN"/>
                    </w:rPr>
                    <w:t>提供</w:t>
                  </w:r>
                </w:p>
              </w:tc>
            </w:tr>
            <w:bookmarkEnd w:id="3"/>
          </w:tbl>
          <w:p w14:paraId="6478481B">
            <w:pPr>
              <w:pStyle w:val="14"/>
              <w:keepNext w:val="0"/>
              <w:keepLines w:val="0"/>
              <w:suppressLineNumbers w:val="0"/>
              <w:spacing w:before="0" w:beforeAutospacing="0" w:afterAutospacing="0"/>
              <w:ind w:left="0" w:leftChars="0" w:right="0" w:firstLine="0" w:firstLineChars="0"/>
              <w:jc w:val="both"/>
              <w:rPr>
                <w:rFonts w:hint="default"/>
                <w:color w:val="auto"/>
                <w:lang w:val="en-US" w:eastAsia="zh-CN"/>
              </w:rPr>
            </w:pPr>
          </w:p>
        </w:tc>
      </w:tr>
      <w:tr w14:paraId="1A591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01" w:hRule="atLeast"/>
          <w:jc w:val="center"/>
        </w:trPr>
        <w:tc>
          <w:tcPr>
            <w:tcW w:w="423" w:type="dxa"/>
            <w:noWrap w:val="0"/>
            <w:vAlign w:val="center"/>
          </w:tcPr>
          <w:p w14:paraId="4088B584">
            <w:pPr>
              <w:pStyle w:val="21"/>
              <w:keepNext w:val="0"/>
              <w:keepLines w:val="0"/>
              <w:pageBreakBefore w:val="0"/>
              <w:suppressLineNumbers w:val="0"/>
              <w:kinsoku/>
              <w:wordWrap/>
              <w:overflowPunct/>
              <w:topLinePunct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4"/>
                <w:szCs w:val="24"/>
              </w:rPr>
              <w:t>工艺流程和产排污环节</w:t>
            </w:r>
          </w:p>
        </w:tc>
        <w:tc>
          <w:tcPr>
            <w:tcW w:w="8844" w:type="dxa"/>
            <w:noWrap w:val="0"/>
            <w:vAlign w:val="top"/>
          </w:tcPr>
          <w:p w14:paraId="445DD49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一、施工期工程内容及产排污环节</w:t>
            </w:r>
          </w:p>
          <w:p w14:paraId="4301453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1、施工过程</w:t>
            </w:r>
          </w:p>
          <w:p w14:paraId="392DD9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拟建项目施工期主要为厂房建设，涉及基础工程、主体工程、装修工程、设备安装四个部分</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工艺流程及产污情况见图2-</w:t>
            </w:r>
            <w:r>
              <w:rPr>
                <w:rFonts w:hint="eastAsia" w:ascii="Times New Roman" w:hAnsi="Times New Roman" w:eastAsia="宋体" w:cs="Times New Roman"/>
                <w:color w:val="auto"/>
                <w:kern w:val="0"/>
                <w:szCs w:val="21"/>
                <w:lang w:val="en-US" w:eastAsia="zh-CN"/>
              </w:rPr>
              <w:t>2</w:t>
            </w:r>
            <w:r>
              <w:rPr>
                <w:rFonts w:hint="default" w:ascii="Times New Roman" w:hAnsi="Times New Roman" w:eastAsia="宋体" w:cs="Times New Roman"/>
                <w:color w:val="auto"/>
                <w:kern w:val="0"/>
                <w:szCs w:val="21"/>
                <w:lang w:val="en-US" w:eastAsia="zh-CN"/>
              </w:rPr>
              <w:t>。</w:t>
            </w:r>
          </w:p>
          <w:p w14:paraId="0F9CE4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360" w:lineRule="auto"/>
              <w:ind w:left="0" w:right="0" w:firstLine="0" w:firstLineChars="0"/>
              <w:textAlignment w:val="auto"/>
              <w:rPr>
                <w:rFonts w:hint="default" w:ascii="Times New Roman" w:hAnsi="Times New Roman" w:eastAsia="宋体" w:cs="Times New Roman"/>
                <w:bCs/>
                <w:color w:val="auto"/>
                <w:kern w:val="0"/>
                <w:szCs w:val="21"/>
              </w:rPr>
            </w:pPr>
            <w:r>
              <w:rPr>
                <w:rFonts w:hint="default"/>
                <w:color w:val="auto"/>
              </w:rPr>
              <w:drawing>
                <wp:inline distT="0" distB="0" distL="114300" distR="114300">
                  <wp:extent cx="5476875" cy="1407160"/>
                  <wp:effectExtent l="0" t="0" r="9525" b="2540"/>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18"/>
                          <a:stretch>
                            <a:fillRect/>
                          </a:stretch>
                        </pic:blipFill>
                        <pic:spPr>
                          <a:xfrm>
                            <a:off x="0" y="0"/>
                            <a:ext cx="5476875" cy="1407160"/>
                          </a:xfrm>
                          <a:prstGeom prst="rect">
                            <a:avLst/>
                          </a:prstGeom>
                          <a:noFill/>
                          <a:ln>
                            <a:noFill/>
                          </a:ln>
                        </pic:spPr>
                      </pic:pic>
                    </a:graphicData>
                  </a:graphic>
                </wp:inline>
              </w:drawing>
            </w:r>
          </w:p>
          <w:p w14:paraId="503107F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图</w:t>
            </w:r>
            <w:r>
              <w:rPr>
                <w:rFonts w:hint="eastAsia" w:ascii="Times New Roman" w:hAnsi="Times New Roman" w:eastAsia="宋体" w:cs="Times New Roman"/>
                <w:b/>
                <w:color w:val="auto"/>
                <w:sz w:val="24"/>
                <w:szCs w:val="24"/>
                <w:highlight w:val="none"/>
                <w:lang w:val="en-US" w:eastAsia="zh-CN"/>
              </w:rPr>
              <w:t>2-2</w:t>
            </w:r>
            <w:r>
              <w:rPr>
                <w:rFonts w:hint="default" w:ascii="Times New Roman" w:hAnsi="Times New Roman" w:eastAsia="宋体" w:cs="Times New Roman"/>
                <w:b/>
                <w:color w:val="auto"/>
                <w:sz w:val="24"/>
                <w:szCs w:val="24"/>
                <w:highlight w:val="none"/>
                <w:lang w:val="en-US" w:eastAsia="zh-CN"/>
              </w:rPr>
              <w:t>施工期工艺流程及产污情况图</w:t>
            </w:r>
          </w:p>
          <w:p w14:paraId="6351B72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工艺流程说明</w:t>
            </w:r>
            <w:r>
              <w:rPr>
                <w:rFonts w:hint="eastAsia" w:ascii="Times New Roman" w:hAnsi="Times New Roman" w:eastAsia="宋体" w:cs="Times New Roman"/>
                <w:color w:val="auto"/>
                <w:kern w:val="0"/>
                <w:szCs w:val="21"/>
                <w:lang w:val="en-US" w:eastAsia="zh-CN"/>
              </w:rPr>
              <w:t>：</w:t>
            </w:r>
          </w:p>
          <w:p w14:paraId="3B245FF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2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 w:val="21"/>
                <w:szCs w:val="21"/>
                <w:lang w:val="en-US" w:eastAsia="zh-CN" w:bidi="ar-SA"/>
              </w:rPr>
              <w:t>（</w:t>
            </w:r>
            <w:r>
              <w:rPr>
                <w:rFonts w:hint="default" w:ascii="Times New Roman" w:hAnsi="Times New Roman" w:eastAsia="宋体" w:cs="Times New Roman"/>
                <w:color w:val="auto"/>
                <w:kern w:val="0"/>
                <w:sz w:val="21"/>
                <w:szCs w:val="21"/>
                <w:lang w:val="en-US" w:eastAsia="zh-CN" w:bidi="ar-SA"/>
              </w:rPr>
              <w:t>1</w:t>
            </w:r>
            <w:r>
              <w:rPr>
                <w:rFonts w:hint="eastAsia" w:ascii="Times New Roman" w:hAnsi="Times New Roman" w:eastAsia="宋体" w:cs="Times New Roman"/>
                <w:color w:val="auto"/>
                <w:kern w:val="0"/>
                <w:sz w:val="21"/>
                <w:szCs w:val="21"/>
                <w:lang w:val="en-US" w:eastAsia="zh-CN" w:bidi="ar-SA"/>
              </w:rPr>
              <w:t>）</w:t>
            </w:r>
            <w:r>
              <w:rPr>
                <w:rFonts w:hint="default" w:ascii="Times New Roman" w:hAnsi="Times New Roman" w:eastAsia="宋体" w:cs="Times New Roman"/>
                <w:color w:val="auto"/>
                <w:kern w:val="0"/>
                <w:szCs w:val="21"/>
                <w:lang w:val="en-US" w:eastAsia="zh-CN"/>
              </w:rPr>
              <w:t>基础工程</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基础工程施工阶段包括挖方、填方、地基处理、基础施工等。装卸建材、水泥砂</w:t>
            </w:r>
            <w:r>
              <w:rPr>
                <w:rFonts w:hint="eastAsia" w:cs="Times New Roman"/>
                <w:color w:val="auto"/>
                <w:kern w:val="0"/>
                <w:szCs w:val="21"/>
                <w:lang w:val="en-US" w:eastAsia="zh-CN"/>
              </w:rPr>
              <w:t>搅拌</w:t>
            </w:r>
            <w:r>
              <w:rPr>
                <w:rFonts w:hint="default" w:ascii="Times New Roman" w:hAnsi="Times New Roman" w:eastAsia="宋体" w:cs="Times New Roman"/>
                <w:color w:val="auto"/>
                <w:kern w:val="0"/>
                <w:szCs w:val="21"/>
                <w:lang w:val="en-US" w:eastAsia="zh-CN"/>
              </w:rPr>
              <w:t>和车辆运输等过程会产生</w:t>
            </w:r>
            <w:r>
              <w:rPr>
                <w:rFonts w:hint="eastAsia" w:ascii="Times New Roman" w:hAnsi="Times New Roman" w:eastAsia="宋体" w:cs="Times New Roman"/>
                <w:color w:val="auto"/>
                <w:kern w:val="0"/>
                <w:szCs w:val="21"/>
                <w:lang w:val="en-US" w:eastAsia="zh-CN"/>
              </w:rPr>
              <w:t>G1</w:t>
            </w:r>
            <w:r>
              <w:rPr>
                <w:rFonts w:hint="default" w:ascii="Times New Roman" w:hAnsi="Times New Roman" w:eastAsia="宋体" w:cs="Times New Roman"/>
                <w:color w:val="auto"/>
                <w:kern w:val="0"/>
                <w:szCs w:val="21"/>
                <w:lang w:val="en-US" w:eastAsia="zh-CN"/>
              </w:rPr>
              <w:t>颗粒物，施工机械和运输车辆会产生G2汽车尾气</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土层里的积水和土地开方等施工过程、料罐冲洗过程、车辆进出冲洗过程W1施工废水</w:t>
            </w:r>
            <w:r>
              <w:rPr>
                <w:rFonts w:hint="eastAsia" w:ascii="Times New Roman" w:hAnsi="Times New Roman" w:eastAsia="宋体" w:cs="Times New Roman"/>
                <w:color w:val="auto"/>
                <w:kern w:val="0"/>
                <w:szCs w:val="21"/>
                <w:lang w:val="en-US" w:eastAsia="zh-CN"/>
              </w:rPr>
              <w:t>；</w:t>
            </w:r>
          </w:p>
          <w:p w14:paraId="17FFB9A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2</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主体工程</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主体工程主要是建筑主体的建设，此过程与基础工程相同，会产生</w:t>
            </w:r>
            <w:r>
              <w:rPr>
                <w:rFonts w:hint="eastAsia" w:ascii="Times New Roman" w:hAnsi="Times New Roman" w:eastAsia="宋体" w:cs="Times New Roman"/>
                <w:color w:val="auto"/>
                <w:kern w:val="0"/>
                <w:szCs w:val="21"/>
                <w:lang w:val="en-US" w:eastAsia="zh-CN"/>
              </w:rPr>
              <w:t>G1</w:t>
            </w:r>
            <w:r>
              <w:rPr>
                <w:rFonts w:hint="default" w:ascii="Times New Roman" w:hAnsi="Times New Roman" w:eastAsia="宋体" w:cs="Times New Roman"/>
                <w:color w:val="auto"/>
                <w:kern w:val="0"/>
                <w:szCs w:val="21"/>
                <w:lang w:val="en-US" w:eastAsia="zh-CN"/>
              </w:rPr>
              <w:t>颗粒物、G2汽车尾气、W1施工废水</w:t>
            </w:r>
            <w:r>
              <w:rPr>
                <w:rFonts w:hint="eastAsia" w:ascii="Times New Roman" w:hAnsi="Times New Roman" w:eastAsia="宋体" w:cs="Times New Roman"/>
                <w:color w:val="auto"/>
                <w:kern w:val="0"/>
                <w:szCs w:val="21"/>
                <w:lang w:val="en-US" w:eastAsia="zh-CN"/>
              </w:rPr>
              <w:t>；</w:t>
            </w:r>
          </w:p>
          <w:p w14:paraId="7921A9B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3</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装修工程</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建设完成后需对室内外进行装修，包括表面粉刷、油漆、喷涂等，此过程会产生</w:t>
            </w:r>
            <w:r>
              <w:rPr>
                <w:rFonts w:hint="eastAsia" w:ascii="Times New Roman" w:hAnsi="Times New Roman" w:eastAsia="宋体" w:cs="Times New Roman"/>
                <w:color w:val="auto"/>
                <w:kern w:val="0"/>
                <w:szCs w:val="21"/>
                <w:lang w:val="en-US" w:eastAsia="zh-CN"/>
              </w:rPr>
              <w:t>G1</w:t>
            </w:r>
            <w:r>
              <w:rPr>
                <w:rFonts w:hint="default" w:ascii="Times New Roman" w:hAnsi="Times New Roman" w:eastAsia="宋体" w:cs="Times New Roman"/>
                <w:color w:val="auto"/>
                <w:kern w:val="0"/>
                <w:szCs w:val="21"/>
                <w:lang w:val="en-US" w:eastAsia="zh-CN"/>
              </w:rPr>
              <w:t>颗粒物、</w:t>
            </w:r>
            <w:r>
              <w:rPr>
                <w:rFonts w:hint="eastAsia" w:ascii="Times New Roman" w:hAnsi="Times New Roman" w:eastAsia="宋体" w:cs="Times New Roman"/>
                <w:color w:val="auto"/>
                <w:kern w:val="0"/>
                <w:szCs w:val="21"/>
                <w:lang w:val="en-US" w:eastAsia="zh-CN"/>
              </w:rPr>
              <w:t>G3</w:t>
            </w:r>
            <w:r>
              <w:rPr>
                <w:rFonts w:hint="default" w:ascii="Times New Roman" w:hAnsi="Times New Roman" w:eastAsia="宋体" w:cs="Times New Roman"/>
                <w:color w:val="auto"/>
                <w:kern w:val="0"/>
                <w:szCs w:val="21"/>
                <w:lang w:val="en-US" w:eastAsia="zh-CN"/>
              </w:rPr>
              <w:t>有机废气</w:t>
            </w:r>
            <w:r>
              <w:rPr>
                <w:rFonts w:hint="eastAsia" w:ascii="Times New Roman" w:hAnsi="Times New Roman" w:eastAsia="宋体" w:cs="Times New Roman"/>
                <w:color w:val="auto"/>
                <w:kern w:val="0"/>
                <w:szCs w:val="21"/>
                <w:lang w:val="en-US" w:eastAsia="zh-CN"/>
              </w:rPr>
              <w:t>；</w:t>
            </w:r>
          </w:p>
          <w:p w14:paraId="2AFF13A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4</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设备安装</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装修完成后需进行生产设备、风机等设备的安装工作</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此过程会产生</w:t>
            </w:r>
            <w:r>
              <w:rPr>
                <w:rFonts w:hint="eastAsia" w:ascii="Times New Roman" w:hAnsi="Times New Roman" w:eastAsia="宋体" w:cs="Times New Roman"/>
                <w:color w:val="auto"/>
                <w:kern w:val="0"/>
                <w:szCs w:val="21"/>
                <w:lang w:val="en-US" w:eastAsia="zh-CN"/>
              </w:rPr>
              <w:t>G1</w:t>
            </w:r>
            <w:r>
              <w:rPr>
                <w:rFonts w:hint="default" w:ascii="Times New Roman" w:hAnsi="Times New Roman" w:eastAsia="宋体" w:cs="Times New Roman"/>
                <w:color w:val="auto"/>
                <w:kern w:val="0"/>
                <w:szCs w:val="21"/>
                <w:lang w:val="en-US" w:eastAsia="zh-CN"/>
              </w:rPr>
              <w:t>颗粒物</w:t>
            </w:r>
            <w:r>
              <w:rPr>
                <w:rFonts w:hint="eastAsia" w:ascii="Times New Roman" w:hAnsi="Times New Roman" w:eastAsia="宋体" w:cs="Times New Roman"/>
                <w:color w:val="auto"/>
                <w:kern w:val="0"/>
                <w:szCs w:val="21"/>
                <w:lang w:val="en-US" w:eastAsia="zh-CN"/>
              </w:rPr>
              <w:t>；</w:t>
            </w:r>
          </w:p>
          <w:p w14:paraId="37DE366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5</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竣工验收</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设备安装后进行竣工验收。</w:t>
            </w:r>
          </w:p>
          <w:p w14:paraId="3D63DA5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其他产污环节</w:t>
            </w:r>
            <w:r>
              <w:rPr>
                <w:rFonts w:hint="eastAsia" w:ascii="Times New Roman" w:hAnsi="Times New Roman" w:eastAsia="宋体" w:cs="Times New Roman"/>
                <w:color w:val="auto"/>
                <w:kern w:val="0"/>
                <w:szCs w:val="21"/>
                <w:lang w:val="en-US" w:eastAsia="zh-CN"/>
              </w:rPr>
              <w:t>：</w:t>
            </w:r>
          </w:p>
          <w:p w14:paraId="4C129E0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1</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混凝土输送泵、挖掘机、装载机等运行时产生N噪声。</w:t>
            </w:r>
          </w:p>
          <w:p w14:paraId="7F11C62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bCs/>
                <w:color w:val="auto"/>
                <w:kern w:val="0"/>
                <w:szCs w:val="21"/>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2</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施工期建设过程中S1建筑垃圾、施工人员产生S2生活垃圾、W2生活污水。</w:t>
            </w:r>
          </w:p>
          <w:p w14:paraId="79F7257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二、运营期工程内容及产排污环节</w:t>
            </w:r>
          </w:p>
          <w:p w14:paraId="4143AD9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本项目工艺流程及产污环节分析如下：</w:t>
            </w:r>
          </w:p>
          <w:p w14:paraId="66BAF9D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1</w:t>
            </w:r>
            <w:r>
              <w:rPr>
                <w:rFonts w:hint="eastAsia" w:ascii="Times New Roman" w:hAnsi="Times New Roman" w:eastAsia="宋体" w:cs="Times New Roman"/>
                <w:b/>
                <w:bCs/>
                <w:color w:val="auto"/>
                <w:kern w:val="0"/>
                <w:szCs w:val="21"/>
                <w:lang w:val="en-US" w:eastAsia="zh-CN"/>
              </w:rPr>
              <w:t>、</w:t>
            </w:r>
            <w:r>
              <w:rPr>
                <w:rFonts w:hint="default" w:ascii="Times New Roman" w:hAnsi="Times New Roman" w:eastAsia="宋体" w:cs="Times New Roman"/>
                <w:b/>
                <w:bCs/>
                <w:color w:val="auto"/>
                <w:kern w:val="0"/>
                <w:szCs w:val="21"/>
                <w:lang w:val="en-US" w:eastAsia="zh-CN"/>
              </w:rPr>
              <w:t>200L塑料桶生产线</w:t>
            </w:r>
          </w:p>
          <w:p w14:paraId="749A610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Lines="0" w:afterAutospacing="0" w:line="360" w:lineRule="auto"/>
              <w:ind w:left="0" w:right="0" w:firstLine="0" w:firstLineChars="0"/>
              <w:textAlignment w:val="auto"/>
              <w:rPr>
                <w:rFonts w:hint="default"/>
                <w:color w:val="auto"/>
              </w:rPr>
            </w:pPr>
            <w:r>
              <w:rPr>
                <w:rFonts w:hint="default"/>
                <w:color w:val="auto"/>
              </w:rPr>
              <w:drawing>
                <wp:inline distT="0" distB="0" distL="114300" distR="114300">
                  <wp:extent cx="5470525" cy="4034790"/>
                  <wp:effectExtent l="0" t="0" r="15875" b="381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9"/>
                          <a:stretch>
                            <a:fillRect/>
                          </a:stretch>
                        </pic:blipFill>
                        <pic:spPr>
                          <a:xfrm>
                            <a:off x="0" y="0"/>
                            <a:ext cx="5470525" cy="4034790"/>
                          </a:xfrm>
                          <a:prstGeom prst="rect">
                            <a:avLst/>
                          </a:prstGeom>
                          <a:noFill/>
                          <a:ln>
                            <a:noFill/>
                          </a:ln>
                        </pic:spPr>
                      </pic:pic>
                    </a:graphicData>
                  </a:graphic>
                </wp:inline>
              </w:drawing>
            </w:r>
          </w:p>
          <w:p w14:paraId="5AB152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图2-</w:t>
            </w:r>
            <w:r>
              <w:rPr>
                <w:rFonts w:hint="eastAsia" w:ascii="Times New Roman" w:hAnsi="Times New Roman" w:eastAsia="宋体" w:cs="Times New Roman"/>
                <w:b/>
                <w:color w:val="auto"/>
                <w:sz w:val="24"/>
                <w:szCs w:val="24"/>
                <w:highlight w:val="none"/>
                <w:lang w:val="en-US" w:eastAsia="zh-CN"/>
              </w:rPr>
              <w:t>3200L塑料桶</w:t>
            </w:r>
            <w:r>
              <w:rPr>
                <w:rFonts w:hint="default" w:ascii="Times New Roman" w:hAnsi="Times New Roman" w:eastAsia="宋体" w:cs="Times New Roman"/>
                <w:b/>
                <w:color w:val="auto"/>
                <w:sz w:val="24"/>
                <w:szCs w:val="24"/>
                <w:highlight w:val="none"/>
                <w:lang w:val="en-US" w:eastAsia="zh-CN"/>
              </w:rPr>
              <w:t>工艺流程及产污节点图</w:t>
            </w:r>
          </w:p>
          <w:p w14:paraId="2F2CFA2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工艺流程说明：</w:t>
            </w:r>
          </w:p>
          <w:p w14:paraId="32E50A6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（1）原料混合干燥</w:t>
            </w:r>
            <w:r>
              <w:rPr>
                <w:rFonts w:hint="default" w:ascii="Times New Roman" w:hAnsi="Times New Roman" w:eastAsia="宋体" w:cs="Times New Roman"/>
                <w:color w:val="auto"/>
                <w:kern w:val="0"/>
                <w:szCs w:val="21"/>
                <w:lang w:val="en-US" w:eastAsia="zh-CN"/>
              </w:rPr>
              <w:t>：</w:t>
            </w:r>
            <w:r>
              <w:rPr>
                <w:rFonts w:hint="eastAsia" w:cs="Times New Roman"/>
                <w:color w:val="auto"/>
                <w:kern w:val="0"/>
                <w:szCs w:val="21"/>
                <w:lang w:val="en-US" w:eastAsia="zh-CN"/>
              </w:rPr>
              <w:t>外购的HDPE原料与</w:t>
            </w:r>
            <w:r>
              <w:rPr>
                <w:rFonts w:hint="default" w:ascii="Times New Roman" w:hAnsi="Times New Roman" w:eastAsia="宋体" w:cs="Times New Roman"/>
                <w:color w:val="auto"/>
                <w:kern w:val="0"/>
                <w:szCs w:val="21"/>
                <w:lang w:val="en-US" w:eastAsia="zh-CN"/>
              </w:rPr>
              <w:t>1%~3%色母粒（蓝色、黑色为主）及0.3%~1.0%抗UV/抗老化助剂</w:t>
            </w:r>
            <w:r>
              <w:rPr>
                <w:rFonts w:hint="eastAsia" w:cs="Times New Roman"/>
                <w:color w:val="auto"/>
                <w:kern w:val="0"/>
                <w:szCs w:val="21"/>
                <w:lang w:val="en-US" w:eastAsia="zh-CN"/>
              </w:rPr>
              <w:t>一同经上料口</w:t>
            </w:r>
            <w:r>
              <w:rPr>
                <w:rFonts w:hint="default" w:ascii="Times New Roman" w:hAnsi="Times New Roman" w:eastAsia="宋体" w:cs="Times New Roman"/>
                <w:color w:val="auto"/>
                <w:kern w:val="0"/>
                <w:szCs w:val="21"/>
                <w:lang w:val="en-US" w:eastAsia="zh-CN"/>
              </w:rPr>
              <w:t>投入拌料机</w:t>
            </w:r>
            <w:r>
              <w:rPr>
                <w:rFonts w:hint="eastAsia" w:cs="Times New Roman"/>
                <w:color w:val="auto"/>
                <w:kern w:val="0"/>
                <w:szCs w:val="21"/>
                <w:lang w:val="en-US" w:eastAsia="zh-CN"/>
              </w:rPr>
              <w:t>混合</w:t>
            </w:r>
            <w:r>
              <w:rPr>
                <w:rFonts w:hint="default" w:ascii="Times New Roman" w:hAnsi="Times New Roman" w:eastAsia="宋体" w:cs="Times New Roman"/>
                <w:color w:val="auto"/>
                <w:kern w:val="0"/>
                <w:szCs w:val="21"/>
                <w:lang w:val="en-US" w:eastAsia="zh-CN"/>
              </w:rPr>
              <w:t>，在常温下高速混合，确保色母粒、助剂与HDPE原料均匀分散，避免产品着色不均或性能波动。混合后的原料通过自动上料系统</w:t>
            </w:r>
            <w:r>
              <w:rPr>
                <w:rFonts w:hint="eastAsia" w:cs="Times New Roman"/>
                <w:color w:val="auto"/>
                <w:kern w:val="0"/>
                <w:szCs w:val="21"/>
                <w:lang w:val="en-US" w:eastAsia="zh-CN"/>
              </w:rPr>
              <w:t>经密闭管道</w:t>
            </w:r>
            <w:r>
              <w:rPr>
                <w:rFonts w:hint="default" w:ascii="Times New Roman" w:hAnsi="Times New Roman" w:eastAsia="宋体" w:cs="Times New Roman"/>
                <w:color w:val="auto"/>
                <w:kern w:val="0"/>
                <w:szCs w:val="21"/>
                <w:lang w:val="en-US" w:eastAsia="zh-CN"/>
              </w:rPr>
              <w:t>输送至原料干燥机，</w:t>
            </w:r>
            <w:r>
              <w:rPr>
                <w:rFonts w:hint="eastAsia" w:cs="Times New Roman"/>
                <w:color w:val="auto"/>
                <w:kern w:val="0"/>
                <w:szCs w:val="21"/>
                <w:lang w:val="en-US" w:eastAsia="zh-CN"/>
              </w:rPr>
              <w:t>干燥机内通过电加热至</w:t>
            </w:r>
            <w:r>
              <w:rPr>
                <w:rFonts w:hint="default" w:ascii="Times New Roman" w:hAnsi="Times New Roman" w:eastAsia="宋体" w:cs="Times New Roman"/>
                <w:color w:val="auto"/>
                <w:kern w:val="0"/>
                <w:szCs w:val="21"/>
                <w:lang w:val="en-US" w:eastAsia="zh-CN"/>
              </w:rPr>
              <w:t>80~100℃干燥2~3小时</w:t>
            </w:r>
            <w:r>
              <w:rPr>
                <w:rFonts w:hint="eastAsia" w:cs="Times New Roman"/>
                <w:color w:val="auto"/>
                <w:kern w:val="0"/>
                <w:szCs w:val="21"/>
                <w:lang w:val="en-US" w:eastAsia="zh-CN"/>
              </w:rPr>
              <w:t>，用来控制</w:t>
            </w:r>
            <w:r>
              <w:rPr>
                <w:rFonts w:hint="default" w:ascii="Times New Roman" w:hAnsi="Times New Roman" w:eastAsia="宋体" w:cs="Times New Roman"/>
                <w:color w:val="auto"/>
                <w:kern w:val="0"/>
                <w:szCs w:val="21"/>
                <w:lang w:val="en-US" w:eastAsia="zh-CN"/>
              </w:rPr>
              <w:t>原料含水率≤0.1%，</w:t>
            </w:r>
            <w:r>
              <w:rPr>
                <w:rFonts w:hint="eastAsia" w:cs="Times New Roman"/>
                <w:color w:val="auto"/>
                <w:kern w:val="0"/>
                <w:szCs w:val="21"/>
                <w:lang w:val="en-US" w:eastAsia="zh-CN"/>
              </w:rPr>
              <w:t>以</w:t>
            </w:r>
            <w:r>
              <w:rPr>
                <w:rFonts w:hint="default" w:ascii="Times New Roman" w:hAnsi="Times New Roman" w:eastAsia="宋体" w:cs="Times New Roman"/>
                <w:color w:val="auto"/>
                <w:kern w:val="0"/>
                <w:szCs w:val="21"/>
                <w:lang w:val="en-US" w:eastAsia="zh-CN"/>
              </w:rPr>
              <w:t>防止吹塑过程中产生气泡、针孔等缺陷，保障桶身密封性。</w:t>
            </w:r>
            <w:r>
              <w:rPr>
                <w:rFonts w:hint="eastAsia" w:ascii="Times New Roman" w:hAnsi="Times New Roman" w:eastAsia="宋体" w:cs="Times New Roman"/>
                <w:color w:val="auto"/>
                <w:kern w:val="0"/>
                <w:szCs w:val="21"/>
                <w:lang w:val="en-US" w:eastAsia="zh-CN"/>
              </w:rPr>
              <w:t>该</w:t>
            </w:r>
            <w:r>
              <w:rPr>
                <w:rFonts w:hint="default" w:ascii="Times New Roman" w:hAnsi="Times New Roman" w:eastAsia="宋体" w:cs="Times New Roman"/>
                <w:color w:val="auto"/>
                <w:kern w:val="0"/>
                <w:szCs w:val="21"/>
                <w:lang w:val="en-US" w:eastAsia="zh-CN"/>
              </w:rPr>
              <w:t>过程中产生</w:t>
            </w:r>
            <w:r>
              <w:rPr>
                <w:rFonts w:hint="eastAsia" w:ascii="Times New Roman" w:hAnsi="Times New Roman" w:eastAsia="宋体" w:cs="Times New Roman"/>
                <w:color w:val="auto"/>
                <w:kern w:val="0"/>
                <w:szCs w:val="21"/>
                <w:lang w:val="en-US" w:eastAsia="zh-CN"/>
              </w:rPr>
              <w:t>原料混合干燥废气G</w:t>
            </w:r>
            <w:r>
              <w:rPr>
                <w:rFonts w:hint="default" w:ascii="Times New Roman" w:hAnsi="Times New Roman" w:eastAsia="宋体" w:cs="Times New Roman"/>
                <w:color w:val="auto"/>
                <w:kern w:val="0"/>
                <w:szCs w:val="21"/>
                <w:lang w:val="en-US" w:eastAsia="zh-CN"/>
              </w:rPr>
              <w:t>1</w:t>
            </w:r>
            <w:r>
              <w:rPr>
                <w:rFonts w:hint="eastAsia" w:ascii="Times New Roman" w:hAnsi="Times New Roman" w:eastAsia="宋体" w:cs="Times New Roman"/>
                <w:color w:val="auto"/>
                <w:kern w:val="0"/>
                <w:szCs w:val="21"/>
                <w:lang w:val="en-US" w:eastAsia="zh-CN"/>
              </w:rPr>
              <w:t>（</w:t>
            </w:r>
            <w:r>
              <w:rPr>
                <w:rFonts w:hint="eastAsia" w:ascii="Times New Roman" w:hAnsi="Times New Roman" w:eastAsia="宋体" w:cs="Times New Roman"/>
                <w:b w:val="0"/>
                <w:bCs w:val="0"/>
                <w:color w:val="auto"/>
                <w:szCs w:val="21"/>
                <w:lang w:val="en-US" w:eastAsia="zh-CN"/>
              </w:rPr>
              <w:t>颗粒物</w:t>
            </w:r>
            <w:r>
              <w:rPr>
                <w:rFonts w:hint="eastAsia" w:ascii="Times New Roman" w:hAnsi="Times New Roman" w:eastAsia="宋体" w:cs="Times New Roman"/>
                <w:color w:val="auto"/>
                <w:kern w:val="0"/>
                <w:szCs w:val="21"/>
                <w:lang w:val="en-US" w:eastAsia="zh-CN"/>
              </w:rPr>
              <w:t>、VOCs），</w:t>
            </w:r>
            <w:r>
              <w:rPr>
                <w:rFonts w:hint="default" w:ascii="Times New Roman" w:hAnsi="Times New Roman" w:eastAsia="宋体" w:cs="Times New Roman"/>
                <w:color w:val="auto"/>
                <w:kern w:val="0"/>
                <w:szCs w:val="21"/>
                <w:lang w:val="en-US" w:eastAsia="zh-CN"/>
              </w:rPr>
              <w:t>采取负压收集</w:t>
            </w:r>
            <w:r>
              <w:rPr>
                <w:rFonts w:hint="eastAsia" w:cs="Times New Roman"/>
                <w:color w:val="auto"/>
                <w:kern w:val="0"/>
                <w:szCs w:val="21"/>
                <w:lang w:val="en-US" w:eastAsia="zh-CN"/>
              </w:rPr>
              <w:t>后</w:t>
            </w:r>
            <w:r>
              <w:rPr>
                <w:rFonts w:hint="default" w:ascii="Times New Roman" w:hAnsi="Times New Roman" w:eastAsia="宋体" w:cs="Times New Roman"/>
                <w:color w:val="auto"/>
                <w:kern w:val="0"/>
                <w:szCs w:val="21"/>
                <w:lang w:val="en-US" w:eastAsia="zh-CN"/>
              </w:rPr>
              <w:t>通过集气管道引至废气处理装置</w:t>
            </w:r>
            <w:r>
              <w:rPr>
                <w:rFonts w:hint="eastAsia" w:ascii="Times New Roman" w:hAnsi="Times New Roman" w:eastAsia="宋体" w:cs="Times New Roman"/>
                <w:color w:val="auto"/>
                <w:kern w:val="0"/>
                <w:szCs w:val="21"/>
                <w:lang w:val="en-US" w:eastAsia="zh-CN"/>
              </w:rPr>
              <w:t>，经</w:t>
            </w:r>
            <w:r>
              <w:rPr>
                <w:rFonts w:hint="eastAsia" w:cs="Times New Roman"/>
                <w:color w:val="auto"/>
                <w:kern w:val="0"/>
                <w:sz w:val="24"/>
                <w:szCs w:val="24"/>
                <w:lang w:val="en-US" w:eastAsia="zh-CN"/>
              </w:rPr>
              <w:t>袋式</w:t>
            </w:r>
            <w:r>
              <w:rPr>
                <w:rFonts w:hint="eastAsia" w:ascii="Times New Roman" w:hAnsi="Times New Roman" w:eastAsia="宋体" w:cs="Times New Roman"/>
                <w:color w:val="auto"/>
                <w:kern w:val="0"/>
                <w:szCs w:val="21"/>
                <w:lang w:val="en-US" w:eastAsia="zh-CN"/>
              </w:rPr>
              <w:t>除尘</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光催化</w:t>
            </w:r>
            <w:r>
              <w:rPr>
                <w:rFonts w:hint="eastAsia" w:ascii="Times New Roman" w:hAnsi="Times New Roman" w:cs="Times New Roman"/>
                <w:color w:val="auto"/>
                <w:sz w:val="24"/>
                <w:szCs w:val="24"/>
                <w:lang w:val="en-US" w:eastAsia="zh-CN"/>
              </w:rPr>
              <w:t>+二级</w:t>
            </w:r>
            <w:r>
              <w:rPr>
                <w:rFonts w:hint="eastAsia" w:ascii="Times New Roman" w:hAnsi="Times New Roman" w:eastAsia="宋体" w:cs="Times New Roman"/>
                <w:color w:val="auto"/>
                <w:kern w:val="0"/>
                <w:szCs w:val="21"/>
                <w:lang w:val="en-US" w:eastAsia="zh-CN"/>
              </w:rPr>
              <w:t>活性炭</w:t>
            </w:r>
            <w:r>
              <w:rPr>
                <w:rFonts w:hint="eastAsia" w:cs="Times New Roman"/>
                <w:color w:val="auto"/>
                <w:kern w:val="0"/>
                <w:szCs w:val="21"/>
                <w:lang w:val="en-US" w:eastAsia="zh-CN"/>
              </w:rPr>
              <w:t>吸附</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15</w:t>
            </w:r>
            <w:r>
              <w:rPr>
                <w:rFonts w:hint="eastAsia" w:cs="Times New Roman"/>
                <w:color w:val="auto"/>
                <w:kern w:val="0"/>
                <w:szCs w:val="21"/>
                <w:lang w:val="en-US" w:eastAsia="zh-CN"/>
              </w:rPr>
              <w:t>m</w:t>
            </w:r>
            <w:r>
              <w:rPr>
                <w:rFonts w:hint="eastAsia" w:ascii="Times New Roman" w:hAnsi="Times New Roman" w:eastAsia="宋体" w:cs="Times New Roman"/>
                <w:color w:val="auto"/>
                <w:kern w:val="0"/>
                <w:szCs w:val="21"/>
                <w:lang w:val="en-US" w:eastAsia="zh-CN"/>
              </w:rPr>
              <w:t>排气筒（DA001）排放。</w:t>
            </w:r>
          </w:p>
          <w:p w14:paraId="6150C1C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w:t>
            </w:r>
            <w:r>
              <w:rPr>
                <w:rFonts w:hint="eastAsia" w:cs="Times New Roman"/>
                <w:color w:val="auto"/>
                <w:kern w:val="0"/>
                <w:szCs w:val="21"/>
                <w:lang w:val="en-US" w:eastAsia="zh-CN"/>
              </w:rPr>
              <w:t>吹塑成型</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干燥后的原料</w:t>
            </w:r>
            <w:r>
              <w:rPr>
                <w:rFonts w:hint="eastAsia" w:cs="Times New Roman"/>
                <w:color w:val="auto"/>
                <w:kern w:val="0"/>
                <w:szCs w:val="21"/>
                <w:lang w:val="en-US" w:eastAsia="zh-CN"/>
              </w:rPr>
              <w:t>经密闭管道</w:t>
            </w:r>
            <w:r>
              <w:rPr>
                <w:rFonts w:hint="default" w:ascii="Times New Roman" w:hAnsi="Times New Roman" w:eastAsia="宋体" w:cs="Times New Roman"/>
                <w:color w:val="auto"/>
                <w:kern w:val="0"/>
                <w:szCs w:val="21"/>
                <w:lang w:val="en-US" w:eastAsia="zh-CN"/>
              </w:rPr>
              <w:t>进入全自动中空吹塑成型机的挤出机，</w:t>
            </w:r>
            <w:r>
              <w:rPr>
                <w:rFonts w:hint="eastAsia" w:ascii="Times New Roman" w:hAnsi="Times New Roman" w:eastAsia="宋体" w:cs="Times New Roman"/>
                <w:color w:val="auto"/>
                <w:kern w:val="0"/>
                <w:szCs w:val="21"/>
                <w:lang w:val="en-US" w:eastAsia="zh-CN"/>
              </w:rPr>
              <w:t>HDPE原料在挤出机料筒内分段电加热至180~250℃逐步热熔塑化，固体HDPE颗粒受温度与螺杆剪切作用由固态颗粒熔融转变为连续熔融塑胶熔体，</w:t>
            </w:r>
            <w:r>
              <w:rPr>
                <w:rFonts w:hint="eastAsia" w:cs="Times New Roman"/>
                <w:color w:val="auto"/>
                <w:kern w:val="0"/>
                <w:szCs w:val="21"/>
                <w:lang w:val="en-US" w:eastAsia="zh-CN"/>
              </w:rPr>
              <w:t>使用的高密度聚乙烯(HDPE)裂解温度均在300°C以上，塑料颗粒未达到裂解温度时不会发生热分解，仅少量单体挥发</w:t>
            </w:r>
            <w:r>
              <w:rPr>
                <w:rFonts w:hint="default" w:ascii="Times New Roman" w:hAnsi="Times New Roman" w:eastAsia="宋体" w:cs="Times New Roman"/>
                <w:color w:val="auto"/>
                <w:kern w:val="0"/>
                <w:szCs w:val="21"/>
                <w:lang w:val="en-US" w:eastAsia="zh-CN"/>
              </w:rPr>
              <w:t>。熔融状态的塑料熔体通过机头环形模口，连续挤出形成中空管状型坯，型坯厚度由模口间隙与牵引速度协同控制。型坯挤出至预设长度后，两半铝合金模具（220L双环桶模具）快速闭合，夹住型坯底部形成密封腔。吹气杆从型坯顶部插入，通入</w:t>
            </w:r>
            <w:r>
              <w:rPr>
                <w:rFonts w:hint="eastAsia" w:cs="Times New Roman"/>
                <w:color w:val="auto"/>
                <w:kern w:val="0"/>
                <w:szCs w:val="21"/>
                <w:lang w:val="en-US" w:eastAsia="zh-CN"/>
              </w:rPr>
              <w:t>来自压缩空气气罐的</w:t>
            </w:r>
            <w:r>
              <w:rPr>
                <w:rFonts w:hint="default" w:ascii="Times New Roman" w:hAnsi="Times New Roman" w:eastAsia="宋体" w:cs="Times New Roman"/>
                <w:color w:val="auto"/>
                <w:kern w:val="0"/>
                <w:szCs w:val="21"/>
                <w:lang w:val="en-US" w:eastAsia="zh-CN"/>
              </w:rPr>
              <w:t>0.4~1.0MPa高压空气，使熔融型坯紧贴模具内壁，完整复刻模具内的桶身、把手槽、堆码圈等结构细节。模具内预设冷却水通道，吹胀后的型坯在保压状态下</w:t>
            </w:r>
            <w:r>
              <w:rPr>
                <w:rFonts w:hint="eastAsia" w:cs="Times New Roman"/>
                <w:color w:val="auto"/>
                <w:kern w:val="0"/>
                <w:szCs w:val="21"/>
                <w:lang w:val="en-US" w:eastAsia="zh-CN"/>
              </w:rPr>
              <w:t>间接</w:t>
            </w:r>
            <w:r>
              <w:rPr>
                <w:rFonts w:hint="default" w:ascii="Times New Roman" w:hAnsi="Times New Roman" w:eastAsia="宋体" w:cs="Times New Roman"/>
                <w:color w:val="auto"/>
                <w:kern w:val="0"/>
                <w:szCs w:val="21"/>
                <w:lang w:val="en-US" w:eastAsia="zh-CN"/>
              </w:rPr>
              <w:t>冷却，冷却时间</w:t>
            </w:r>
            <w:r>
              <w:rPr>
                <w:rFonts w:hint="eastAsia" w:cs="Times New Roman"/>
                <w:color w:val="auto"/>
                <w:kern w:val="0"/>
                <w:szCs w:val="21"/>
                <w:lang w:val="en-US" w:eastAsia="zh-CN"/>
              </w:rPr>
              <w:t>约</w:t>
            </w:r>
            <w:r>
              <w:rPr>
                <w:rFonts w:hint="default" w:ascii="Times New Roman" w:hAnsi="Times New Roman" w:eastAsia="宋体" w:cs="Times New Roman"/>
                <w:color w:val="auto"/>
                <w:kern w:val="0"/>
                <w:szCs w:val="21"/>
                <w:lang w:val="en-US" w:eastAsia="zh-CN"/>
              </w:rPr>
              <w:t>通常80~120秒。</w:t>
            </w:r>
            <w:r>
              <w:rPr>
                <w:rFonts w:hint="eastAsia" w:ascii="Times New Roman" w:hAnsi="Times New Roman" w:eastAsia="宋体" w:cs="Times New Roman"/>
                <w:color w:val="auto"/>
                <w:kern w:val="0"/>
                <w:szCs w:val="21"/>
                <w:lang w:val="en-US" w:eastAsia="zh-CN"/>
              </w:rPr>
              <w:t>该</w:t>
            </w:r>
            <w:r>
              <w:rPr>
                <w:rFonts w:hint="default" w:ascii="Times New Roman" w:hAnsi="Times New Roman" w:eastAsia="宋体" w:cs="Times New Roman"/>
                <w:color w:val="auto"/>
                <w:kern w:val="0"/>
                <w:szCs w:val="21"/>
                <w:lang w:val="en-US" w:eastAsia="zh-CN"/>
              </w:rPr>
              <w:t>过程中产生</w:t>
            </w:r>
            <w:r>
              <w:rPr>
                <w:rFonts w:hint="eastAsia" w:cs="Times New Roman"/>
                <w:color w:val="auto"/>
                <w:kern w:val="0"/>
                <w:szCs w:val="21"/>
                <w:lang w:val="en-US" w:eastAsia="zh-CN"/>
              </w:rPr>
              <w:t>吹塑成型</w:t>
            </w:r>
            <w:r>
              <w:rPr>
                <w:rFonts w:hint="eastAsia" w:ascii="Times New Roman" w:hAnsi="Times New Roman" w:eastAsia="宋体" w:cs="Times New Roman"/>
                <w:color w:val="auto"/>
                <w:kern w:val="0"/>
                <w:szCs w:val="21"/>
                <w:lang w:val="en-US" w:eastAsia="zh-CN"/>
              </w:rPr>
              <w:t>废气G</w:t>
            </w:r>
            <w:r>
              <w:rPr>
                <w:rFonts w:hint="eastAsia" w:cs="Times New Roman"/>
                <w:color w:val="auto"/>
                <w:kern w:val="0"/>
                <w:szCs w:val="21"/>
                <w:lang w:val="en-US" w:eastAsia="zh-CN"/>
              </w:rPr>
              <w:t>2</w:t>
            </w:r>
            <w:r>
              <w:rPr>
                <w:rFonts w:hint="eastAsia" w:ascii="Times New Roman" w:hAnsi="Times New Roman" w:eastAsia="宋体" w:cs="Times New Roman"/>
                <w:color w:val="auto"/>
                <w:kern w:val="0"/>
                <w:szCs w:val="21"/>
                <w:lang w:val="en-US" w:eastAsia="zh-CN"/>
              </w:rPr>
              <w:t>（</w:t>
            </w:r>
            <w:r>
              <w:rPr>
                <w:rFonts w:hint="eastAsia" w:ascii="Times New Roman" w:hAnsi="Times New Roman" w:eastAsia="宋体" w:cs="Times New Roman"/>
                <w:b w:val="0"/>
                <w:bCs w:val="0"/>
                <w:color w:val="auto"/>
                <w:szCs w:val="21"/>
                <w:lang w:val="en-US" w:eastAsia="zh-CN"/>
              </w:rPr>
              <w:t>颗粒物</w:t>
            </w:r>
            <w:r>
              <w:rPr>
                <w:rFonts w:hint="eastAsia" w:ascii="Times New Roman" w:hAnsi="Times New Roman" w:eastAsia="宋体" w:cs="Times New Roman"/>
                <w:color w:val="auto"/>
                <w:kern w:val="0"/>
                <w:szCs w:val="21"/>
                <w:lang w:val="en-US" w:eastAsia="zh-CN"/>
              </w:rPr>
              <w:t>、VOCs）</w:t>
            </w:r>
            <w:r>
              <w:rPr>
                <w:rFonts w:hint="default" w:ascii="Times New Roman" w:hAnsi="Times New Roman" w:eastAsia="宋体" w:cs="Times New Roman"/>
                <w:color w:val="auto"/>
                <w:kern w:val="0"/>
                <w:szCs w:val="21"/>
                <w:lang w:val="en-US" w:eastAsia="zh-CN"/>
              </w:rPr>
              <w:t>采取负压收集</w:t>
            </w:r>
            <w:r>
              <w:rPr>
                <w:rFonts w:hint="eastAsia" w:cs="Times New Roman"/>
                <w:color w:val="auto"/>
                <w:kern w:val="0"/>
                <w:szCs w:val="21"/>
                <w:lang w:val="en-US" w:eastAsia="zh-CN"/>
              </w:rPr>
              <w:t>后</w:t>
            </w:r>
            <w:r>
              <w:rPr>
                <w:rFonts w:hint="default" w:ascii="Times New Roman" w:hAnsi="Times New Roman" w:eastAsia="宋体" w:cs="Times New Roman"/>
                <w:color w:val="auto"/>
                <w:kern w:val="0"/>
                <w:szCs w:val="21"/>
                <w:lang w:val="en-US" w:eastAsia="zh-CN"/>
              </w:rPr>
              <w:t>通过集气管道引至废气处理装置</w:t>
            </w:r>
            <w:r>
              <w:rPr>
                <w:rFonts w:hint="eastAsia" w:ascii="Times New Roman" w:hAnsi="Times New Roman" w:eastAsia="宋体" w:cs="Times New Roman"/>
                <w:color w:val="auto"/>
                <w:kern w:val="0"/>
                <w:szCs w:val="21"/>
                <w:lang w:val="en-US" w:eastAsia="zh-CN"/>
              </w:rPr>
              <w:t>，经</w:t>
            </w:r>
            <w:r>
              <w:rPr>
                <w:rFonts w:hint="eastAsia" w:cs="Times New Roman"/>
                <w:color w:val="auto"/>
                <w:kern w:val="0"/>
                <w:sz w:val="24"/>
                <w:szCs w:val="24"/>
                <w:lang w:val="en-US" w:eastAsia="zh-CN"/>
              </w:rPr>
              <w:t>袋式</w:t>
            </w:r>
            <w:r>
              <w:rPr>
                <w:rFonts w:hint="eastAsia" w:ascii="Times New Roman" w:hAnsi="Times New Roman" w:eastAsia="宋体" w:cs="Times New Roman"/>
                <w:color w:val="auto"/>
                <w:kern w:val="0"/>
                <w:szCs w:val="21"/>
                <w:lang w:val="en-US" w:eastAsia="zh-CN"/>
              </w:rPr>
              <w:t>除尘</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光催化</w:t>
            </w:r>
            <w:r>
              <w:rPr>
                <w:rFonts w:hint="eastAsia" w:ascii="Times New Roman" w:hAnsi="Times New Roman" w:cs="Times New Roman"/>
                <w:color w:val="auto"/>
                <w:sz w:val="24"/>
                <w:szCs w:val="24"/>
                <w:lang w:val="en-US" w:eastAsia="zh-CN"/>
              </w:rPr>
              <w:t>+二级</w:t>
            </w:r>
            <w:r>
              <w:rPr>
                <w:rFonts w:hint="eastAsia" w:ascii="Times New Roman" w:hAnsi="Times New Roman" w:eastAsia="宋体" w:cs="Times New Roman"/>
                <w:color w:val="auto"/>
                <w:kern w:val="0"/>
                <w:szCs w:val="21"/>
                <w:lang w:val="en-US" w:eastAsia="zh-CN"/>
              </w:rPr>
              <w:t>活性炭</w:t>
            </w:r>
            <w:r>
              <w:rPr>
                <w:rFonts w:hint="eastAsia" w:cs="Times New Roman"/>
                <w:color w:val="auto"/>
                <w:kern w:val="0"/>
                <w:szCs w:val="21"/>
                <w:lang w:val="en-US" w:eastAsia="zh-CN"/>
              </w:rPr>
              <w:t>吸附</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15</w:t>
            </w:r>
            <w:r>
              <w:rPr>
                <w:rFonts w:hint="eastAsia" w:cs="Times New Roman"/>
                <w:color w:val="auto"/>
                <w:kern w:val="0"/>
                <w:szCs w:val="21"/>
                <w:lang w:val="en-US" w:eastAsia="zh-CN"/>
              </w:rPr>
              <w:t>m</w:t>
            </w:r>
            <w:r>
              <w:rPr>
                <w:rFonts w:hint="eastAsia" w:ascii="Times New Roman" w:hAnsi="Times New Roman" w:eastAsia="宋体" w:cs="Times New Roman"/>
                <w:color w:val="auto"/>
                <w:kern w:val="0"/>
                <w:szCs w:val="21"/>
                <w:lang w:val="en-US" w:eastAsia="zh-CN"/>
              </w:rPr>
              <w:t>排气筒（DA001）排放</w:t>
            </w:r>
            <w:r>
              <w:rPr>
                <w:rFonts w:hint="eastAsia" w:cs="Times New Roman"/>
                <w:color w:val="auto"/>
                <w:kern w:val="0"/>
                <w:szCs w:val="21"/>
                <w:lang w:val="en-US" w:eastAsia="zh-CN"/>
              </w:rPr>
              <w:t>、设备噪声N1。</w:t>
            </w:r>
          </w:p>
          <w:p w14:paraId="088AAAD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r>
              <w:rPr>
                <w:rFonts w:hint="eastAsia" w:cs="Times New Roman"/>
                <w:color w:val="auto"/>
                <w:kern w:val="0"/>
                <w:szCs w:val="21"/>
                <w:lang w:val="en-US" w:eastAsia="zh-CN"/>
              </w:rPr>
              <w:t>3</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开模取件与修边</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冷却完成后模具打开，机械手自动取出成型桶体，转运至修边机。修边机切除桶口、桶底的合模线溢料（飞边）及多余边角，确保产品外观平整，</w:t>
            </w:r>
            <w:r>
              <w:rPr>
                <w:rFonts w:hint="default" w:ascii="宋体" w:hAnsi="宋体" w:eastAsia="宋体" w:cs="宋体"/>
                <w:color w:val="auto"/>
                <w:sz w:val="24"/>
                <w:szCs w:val="24"/>
              </w:rPr>
              <w:t>修边产生的塑料边角料即时密闭收集，统一转运至破碎</w:t>
            </w:r>
            <w:r>
              <w:rPr>
                <w:rFonts w:hint="eastAsia" w:ascii="宋体" w:hAnsi="宋体" w:cs="宋体"/>
                <w:color w:val="auto"/>
                <w:sz w:val="24"/>
                <w:szCs w:val="24"/>
                <w:lang w:val="en-US" w:eastAsia="zh-CN"/>
              </w:rPr>
              <w:t>机</w:t>
            </w:r>
            <w:r>
              <w:rPr>
                <w:rFonts w:hint="default" w:ascii="宋体" w:hAnsi="宋体" w:eastAsia="宋体" w:cs="宋体"/>
                <w:color w:val="auto"/>
                <w:sz w:val="24"/>
                <w:szCs w:val="24"/>
              </w:rPr>
              <w:t>粉碎处理回收</w:t>
            </w:r>
            <w:r>
              <w:rPr>
                <w:rFonts w:hint="eastAsia" w:ascii="宋体" w:hAnsi="宋体" w:cs="宋体"/>
                <w:color w:val="auto"/>
                <w:sz w:val="24"/>
                <w:szCs w:val="24"/>
                <w:lang w:val="en-US" w:eastAsia="zh-CN"/>
              </w:rPr>
              <w:t>利用</w:t>
            </w: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该</w:t>
            </w:r>
            <w:r>
              <w:rPr>
                <w:rFonts w:hint="default" w:ascii="Times New Roman" w:hAnsi="Times New Roman" w:eastAsia="宋体" w:cs="Times New Roman"/>
                <w:color w:val="auto"/>
                <w:kern w:val="0"/>
                <w:szCs w:val="21"/>
                <w:lang w:val="en-US" w:eastAsia="zh-CN"/>
              </w:rPr>
              <w:t>过程中产生</w:t>
            </w:r>
            <w:r>
              <w:rPr>
                <w:rFonts w:hint="eastAsia" w:cs="Times New Roman"/>
                <w:color w:val="auto"/>
                <w:kern w:val="0"/>
                <w:szCs w:val="21"/>
                <w:lang w:val="en-US" w:eastAsia="zh-CN"/>
              </w:rPr>
              <w:t>修边粉碎</w:t>
            </w:r>
            <w:r>
              <w:rPr>
                <w:rFonts w:hint="eastAsia" w:ascii="Times New Roman" w:hAnsi="Times New Roman" w:eastAsia="宋体" w:cs="Times New Roman"/>
                <w:color w:val="auto"/>
                <w:kern w:val="0"/>
                <w:szCs w:val="21"/>
                <w:lang w:val="en-US" w:eastAsia="zh-CN"/>
              </w:rPr>
              <w:t>废气G3（颗粒物），</w:t>
            </w:r>
            <w:r>
              <w:rPr>
                <w:rFonts w:hint="default" w:ascii="Times New Roman" w:hAnsi="Times New Roman" w:eastAsia="宋体" w:cs="Times New Roman"/>
                <w:color w:val="auto"/>
                <w:kern w:val="0"/>
                <w:szCs w:val="21"/>
                <w:lang w:val="en-US" w:eastAsia="zh-CN"/>
              </w:rPr>
              <w:t>采取负压收集</w:t>
            </w:r>
            <w:r>
              <w:rPr>
                <w:rFonts w:hint="eastAsia" w:cs="Times New Roman"/>
                <w:color w:val="auto"/>
                <w:kern w:val="0"/>
                <w:szCs w:val="21"/>
                <w:lang w:val="en-US" w:eastAsia="zh-CN"/>
              </w:rPr>
              <w:t>后</w:t>
            </w:r>
            <w:r>
              <w:rPr>
                <w:rFonts w:hint="default" w:ascii="Times New Roman" w:hAnsi="Times New Roman" w:eastAsia="宋体" w:cs="Times New Roman"/>
                <w:color w:val="auto"/>
                <w:kern w:val="0"/>
                <w:szCs w:val="21"/>
                <w:lang w:val="en-US" w:eastAsia="zh-CN"/>
              </w:rPr>
              <w:t>通过集气管道引至废气处理装置</w:t>
            </w:r>
            <w:r>
              <w:rPr>
                <w:rFonts w:hint="eastAsia" w:ascii="Times New Roman" w:hAnsi="Times New Roman" w:eastAsia="宋体" w:cs="Times New Roman"/>
                <w:color w:val="auto"/>
                <w:kern w:val="0"/>
                <w:szCs w:val="21"/>
                <w:lang w:val="en-US" w:eastAsia="zh-CN"/>
              </w:rPr>
              <w:t>，经</w:t>
            </w:r>
            <w:r>
              <w:rPr>
                <w:rFonts w:hint="eastAsia" w:cs="Times New Roman"/>
                <w:color w:val="auto"/>
                <w:kern w:val="0"/>
                <w:sz w:val="24"/>
                <w:szCs w:val="24"/>
                <w:lang w:val="en-US" w:eastAsia="zh-CN"/>
              </w:rPr>
              <w:t>袋式</w:t>
            </w:r>
            <w:r>
              <w:rPr>
                <w:rFonts w:hint="eastAsia" w:ascii="Times New Roman" w:hAnsi="Times New Roman" w:eastAsia="宋体" w:cs="Times New Roman"/>
                <w:color w:val="auto"/>
                <w:kern w:val="0"/>
                <w:szCs w:val="21"/>
                <w:lang w:val="en-US" w:eastAsia="zh-CN"/>
              </w:rPr>
              <w:t>除尘</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光催化</w:t>
            </w:r>
            <w:r>
              <w:rPr>
                <w:rFonts w:hint="eastAsia" w:ascii="Times New Roman" w:hAnsi="Times New Roman" w:cs="Times New Roman"/>
                <w:color w:val="auto"/>
                <w:sz w:val="24"/>
                <w:szCs w:val="24"/>
                <w:lang w:val="en-US" w:eastAsia="zh-CN"/>
              </w:rPr>
              <w:t>+二级</w:t>
            </w:r>
            <w:r>
              <w:rPr>
                <w:rFonts w:hint="eastAsia" w:ascii="Times New Roman" w:hAnsi="Times New Roman" w:eastAsia="宋体" w:cs="Times New Roman"/>
                <w:color w:val="auto"/>
                <w:kern w:val="0"/>
                <w:szCs w:val="21"/>
                <w:lang w:val="en-US" w:eastAsia="zh-CN"/>
              </w:rPr>
              <w:t>活性炭</w:t>
            </w:r>
            <w:r>
              <w:rPr>
                <w:rFonts w:hint="eastAsia" w:cs="Times New Roman"/>
                <w:color w:val="auto"/>
                <w:kern w:val="0"/>
                <w:szCs w:val="21"/>
                <w:lang w:val="en-US" w:eastAsia="zh-CN"/>
              </w:rPr>
              <w:t>吸附</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15</w:t>
            </w:r>
            <w:r>
              <w:rPr>
                <w:rFonts w:hint="eastAsia" w:cs="Times New Roman"/>
                <w:color w:val="auto"/>
                <w:kern w:val="0"/>
                <w:szCs w:val="21"/>
                <w:lang w:val="en-US" w:eastAsia="zh-CN"/>
              </w:rPr>
              <w:t>m</w:t>
            </w:r>
            <w:r>
              <w:rPr>
                <w:rFonts w:hint="eastAsia" w:ascii="Times New Roman" w:hAnsi="Times New Roman" w:eastAsia="宋体" w:cs="Times New Roman"/>
                <w:color w:val="auto"/>
                <w:kern w:val="0"/>
                <w:szCs w:val="21"/>
                <w:lang w:val="en-US" w:eastAsia="zh-CN"/>
              </w:rPr>
              <w:t>排气筒（DA001）排放。固废S</w:t>
            </w:r>
            <w:r>
              <w:rPr>
                <w:rFonts w:hint="default" w:ascii="Times New Roman" w:hAnsi="Times New Roman" w:eastAsia="宋体" w:cs="Times New Roman"/>
                <w:color w:val="auto"/>
                <w:kern w:val="0"/>
                <w:szCs w:val="21"/>
                <w:lang w:val="en-US" w:eastAsia="zh-CN"/>
              </w:rPr>
              <w:t>1</w:t>
            </w:r>
            <w:r>
              <w:rPr>
                <w:rFonts w:hint="eastAsia" w:ascii="Times New Roman" w:hAnsi="Times New Roman" w:eastAsia="宋体" w:cs="Times New Roman"/>
                <w:color w:val="auto"/>
                <w:kern w:val="0"/>
                <w:szCs w:val="21"/>
                <w:lang w:val="en-US" w:eastAsia="zh-CN"/>
              </w:rPr>
              <w:t>（塑料边角料、修边废料）</w:t>
            </w:r>
            <w:r>
              <w:rPr>
                <w:rFonts w:hint="eastAsia"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活性炭吸附装置</w:t>
            </w:r>
            <w:r>
              <w:rPr>
                <w:rFonts w:hint="eastAsia" w:cs="Times New Roman"/>
                <w:color w:val="auto"/>
                <w:kern w:val="0"/>
                <w:szCs w:val="21"/>
                <w:lang w:val="en-US" w:eastAsia="zh-CN"/>
              </w:rPr>
              <w:t>产生废活性炭S2。</w:t>
            </w:r>
          </w:p>
          <w:p w14:paraId="28A36CF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r>
              <w:rPr>
                <w:rFonts w:hint="eastAsia" w:cs="Times New Roman"/>
                <w:color w:val="auto"/>
                <w:kern w:val="0"/>
                <w:szCs w:val="21"/>
                <w:lang w:val="en-US" w:eastAsia="zh-CN"/>
              </w:rPr>
              <w:t>4</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成品检验与入库</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外观检验、尺寸检验、气密性测试。合格产品贴标，通过叉车转运至</w:t>
            </w:r>
            <w:r>
              <w:rPr>
                <w:rFonts w:hint="eastAsia" w:cs="Times New Roman"/>
                <w:color w:val="auto"/>
                <w:kern w:val="0"/>
                <w:szCs w:val="21"/>
                <w:lang w:val="en-US" w:eastAsia="zh-CN"/>
              </w:rPr>
              <w:t>车间内</w:t>
            </w:r>
            <w:r>
              <w:rPr>
                <w:rFonts w:hint="default" w:ascii="Times New Roman" w:hAnsi="Times New Roman" w:eastAsia="宋体" w:cs="Times New Roman"/>
                <w:color w:val="auto"/>
                <w:kern w:val="0"/>
                <w:szCs w:val="21"/>
                <w:lang w:val="en-US" w:eastAsia="zh-CN"/>
              </w:rPr>
              <w:t>成品区，按规范堆码。</w:t>
            </w:r>
          </w:p>
          <w:p w14:paraId="0C6A44E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2、</w:t>
            </w:r>
            <w:r>
              <w:rPr>
                <w:rFonts w:hint="default" w:ascii="Times New Roman" w:hAnsi="Times New Roman" w:eastAsia="宋体" w:cs="Times New Roman"/>
                <w:b/>
                <w:bCs/>
                <w:color w:val="auto"/>
                <w:kern w:val="0"/>
                <w:szCs w:val="21"/>
                <w:lang w:val="en-US" w:eastAsia="zh-CN"/>
              </w:rPr>
              <w:t>IBC吨桶生产线</w:t>
            </w:r>
          </w:p>
          <w:p w14:paraId="22A0D06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IBC吨桶生产线分为三大环节</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塑料内容器制造</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金属外框架制造</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总装与检测</w:t>
            </w:r>
            <w:r>
              <w:rPr>
                <w:rFonts w:hint="eastAsia" w:ascii="Times New Roman" w:hAnsi="Times New Roman" w:eastAsia="宋体" w:cs="Times New Roman"/>
                <w:color w:val="auto"/>
                <w:kern w:val="0"/>
                <w:szCs w:val="21"/>
                <w:lang w:val="en-US" w:eastAsia="zh-CN"/>
              </w:rPr>
              <w:t>。</w:t>
            </w:r>
          </w:p>
          <w:p w14:paraId="6A9745A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①</w:t>
            </w:r>
            <w:r>
              <w:rPr>
                <w:rFonts w:hint="default" w:ascii="Times New Roman" w:hAnsi="Times New Roman" w:eastAsia="宋体" w:cs="Times New Roman"/>
                <w:color w:val="auto"/>
                <w:kern w:val="0"/>
                <w:szCs w:val="21"/>
                <w:lang w:val="en-US" w:eastAsia="zh-CN"/>
              </w:rPr>
              <w:t>塑料内容器制造</w:t>
            </w:r>
          </w:p>
          <w:p w14:paraId="35A0621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i w:val="0"/>
                <w:color w:val="auto"/>
              </w:rPr>
              <w:t>使用大型中空吹塑机生产，工艺与200L桶类似，但对设备锁模力及模具要求更高。</w:t>
            </w:r>
          </w:p>
          <w:p w14:paraId="4482B4B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jc w:val="left"/>
              <w:textAlignment w:val="auto"/>
              <w:rPr>
                <w:rFonts w:hint="default"/>
                <w:color w:val="auto"/>
              </w:rPr>
            </w:pPr>
            <w:r>
              <w:rPr>
                <w:rFonts w:hint="default"/>
                <w:color w:val="auto"/>
              </w:rPr>
              <w:drawing>
                <wp:inline distT="0" distB="0" distL="114300" distR="114300">
                  <wp:extent cx="5473700" cy="4394200"/>
                  <wp:effectExtent l="0" t="0" r="12700" b="6350"/>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20"/>
                          <a:stretch>
                            <a:fillRect/>
                          </a:stretch>
                        </pic:blipFill>
                        <pic:spPr>
                          <a:xfrm>
                            <a:off x="0" y="0"/>
                            <a:ext cx="5473700" cy="4394200"/>
                          </a:xfrm>
                          <a:prstGeom prst="rect">
                            <a:avLst/>
                          </a:prstGeom>
                          <a:noFill/>
                          <a:ln>
                            <a:noFill/>
                          </a:ln>
                        </pic:spPr>
                      </pic:pic>
                    </a:graphicData>
                  </a:graphic>
                </wp:inline>
              </w:drawing>
            </w:r>
          </w:p>
          <w:p w14:paraId="21A0426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图2-</w:t>
            </w:r>
            <w:r>
              <w:rPr>
                <w:rFonts w:hint="eastAsia" w:ascii="Times New Roman" w:hAnsi="Times New Roman" w:eastAsia="宋体" w:cs="Times New Roman"/>
                <w:b/>
                <w:color w:val="auto"/>
                <w:sz w:val="24"/>
                <w:szCs w:val="24"/>
                <w:highlight w:val="none"/>
                <w:lang w:val="en-US" w:eastAsia="zh-CN"/>
              </w:rPr>
              <w:t>4IBC吨桶塑料内容器生产</w:t>
            </w:r>
            <w:r>
              <w:rPr>
                <w:rFonts w:hint="default" w:ascii="Times New Roman" w:hAnsi="Times New Roman" w:eastAsia="宋体" w:cs="Times New Roman"/>
                <w:b/>
                <w:color w:val="auto"/>
                <w:sz w:val="24"/>
                <w:szCs w:val="24"/>
                <w:highlight w:val="none"/>
                <w:lang w:val="en-US" w:eastAsia="zh-CN"/>
              </w:rPr>
              <w:t>工艺流程及产污节点图</w:t>
            </w:r>
          </w:p>
          <w:p w14:paraId="34C7830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p>
          <w:p w14:paraId="1FB6CA6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（1）原料混合</w:t>
            </w:r>
            <w:r>
              <w:rPr>
                <w:rFonts w:hint="default" w:ascii="Times New Roman" w:hAnsi="Times New Roman" w:eastAsia="宋体" w:cs="Times New Roman"/>
                <w:color w:val="auto"/>
                <w:kern w:val="0"/>
                <w:szCs w:val="21"/>
                <w:lang w:val="en-US" w:eastAsia="zh-CN"/>
              </w:rPr>
              <w:t>干燥：HDPE颗粒与色母粒按比例混合，并干燥去除水分。</w:t>
            </w:r>
            <w:r>
              <w:rPr>
                <w:rFonts w:hint="eastAsia" w:ascii="Times New Roman" w:hAnsi="Times New Roman" w:eastAsia="宋体" w:cs="Times New Roman"/>
                <w:color w:val="auto"/>
                <w:kern w:val="0"/>
                <w:szCs w:val="21"/>
                <w:lang w:val="en-US" w:eastAsia="zh-CN"/>
              </w:rPr>
              <w:t>该</w:t>
            </w:r>
            <w:r>
              <w:rPr>
                <w:rFonts w:hint="default" w:ascii="Times New Roman" w:hAnsi="Times New Roman" w:eastAsia="宋体" w:cs="Times New Roman"/>
                <w:color w:val="auto"/>
                <w:kern w:val="0"/>
                <w:szCs w:val="21"/>
                <w:lang w:val="en-US" w:eastAsia="zh-CN"/>
              </w:rPr>
              <w:t>过程中产生</w:t>
            </w:r>
            <w:r>
              <w:rPr>
                <w:rFonts w:hint="eastAsia" w:ascii="Times New Roman" w:hAnsi="Times New Roman" w:eastAsia="宋体" w:cs="Times New Roman"/>
                <w:color w:val="auto"/>
                <w:kern w:val="0"/>
                <w:szCs w:val="21"/>
                <w:lang w:val="en-US" w:eastAsia="zh-CN"/>
              </w:rPr>
              <w:t>原料</w:t>
            </w:r>
            <w:r>
              <w:rPr>
                <w:rFonts w:hint="default" w:ascii="Times New Roman" w:hAnsi="Times New Roman" w:eastAsia="宋体" w:cs="Times New Roman"/>
                <w:color w:val="auto"/>
                <w:kern w:val="0"/>
                <w:szCs w:val="21"/>
                <w:lang w:val="en-US" w:eastAsia="zh-CN"/>
              </w:rPr>
              <w:t>干燥</w:t>
            </w:r>
            <w:r>
              <w:rPr>
                <w:rFonts w:hint="eastAsia" w:ascii="Times New Roman" w:hAnsi="Times New Roman" w:eastAsia="宋体" w:cs="Times New Roman"/>
                <w:color w:val="auto"/>
                <w:kern w:val="0"/>
                <w:szCs w:val="21"/>
                <w:lang w:val="en-US" w:eastAsia="zh-CN"/>
              </w:rPr>
              <w:t>废气G</w:t>
            </w:r>
            <w:r>
              <w:rPr>
                <w:rFonts w:hint="eastAsia" w:cs="Times New Roman"/>
                <w:color w:val="auto"/>
                <w:kern w:val="0"/>
                <w:szCs w:val="21"/>
                <w:lang w:val="en-US" w:eastAsia="zh-CN"/>
              </w:rPr>
              <w:t>4</w:t>
            </w:r>
            <w:r>
              <w:rPr>
                <w:rFonts w:hint="eastAsia" w:ascii="Times New Roman" w:hAnsi="Times New Roman" w:eastAsia="宋体" w:cs="Times New Roman"/>
                <w:color w:val="auto"/>
                <w:kern w:val="0"/>
                <w:szCs w:val="21"/>
                <w:lang w:val="en-US" w:eastAsia="zh-CN"/>
              </w:rPr>
              <w:t>（</w:t>
            </w:r>
            <w:r>
              <w:rPr>
                <w:rFonts w:hint="eastAsia" w:ascii="Times New Roman" w:hAnsi="Times New Roman" w:eastAsia="宋体" w:cs="Times New Roman"/>
                <w:b w:val="0"/>
                <w:bCs w:val="0"/>
                <w:color w:val="auto"/>
                <w:szCs w:val="21"/>
                <w:lang w:val="en-US" w:eastAsia="zh-CN"/>
              </w:rPr>
              <w:t>颗粒物</w:t>
            </w:r>
            <w:r>
              <w:rPr>
                <w:rFonts w:hint="eastAsia" w:ascii="Times New Roman" w:hAnsi="Times New Roman" w:eastAsia="宋体" w:cs="Times New Roman"/>
                <w:color w:val="auto"/>
                <w:kern w:val="0"/>
                <w:szCs w:val="21"/>
                <w:lang w:val="en-US" w:eastAsia="zh-CN"/>
              </w:rPr>
              <w:t>、VOCs），</w:t>
            </w:r>
            <w:r>
              <w:rPr>
                <w:rFonts w:hint="default" w:ascii="Times New Roman" w:hAnsi="Times New Roman" w:eastAsia="宋体" w:cs="Times New Roman"/>
                <w:color w:val="auto"/>
                <w:kern w:val="0"/>
                <w:szCs w:val="21"/>
                <w:lang w:val="en-US" w:eastAsia="zh-CN"/>
              </w:rPr>
              <w:t>采取负压收集</w:t>
            </w:r>
            <w:r>
              <w:rPr>
                <w:rFonts w:hint="eastAsia" w:cs="Times New Roman"/>
                <w:color w:val="auto"/>
                <w:kern w:val="0"/>
                <w:szCs w:val="21"/>
                <w:lang w:val="en-US" w:eastAsia="zh-CN"/>
              </w:rPr>
              <w:t>后</w:t>
            </w:r>
            <w:r>
              <w:rPr>
                <w:rFonts w:hint="default" w:ascii="Times New Roman" w:hAnsi="Times New Roman" w:eastAsia="宋体" w:cs="Times New Roman"/>
                <w:color w:val="auto"/>
                <w:kern w:val="0"/>
                <w:szCs w:val="21"/>
                <w:lang w:val="en-US" w:eastAsia="zh-CN"/>
              </w:rPr>
              <w:t>通过集气管道引至废气处理装置</w:t>
            </w:r>
            <w:r>
              <w:rPr>
                <w:rFonts w:hint="eastAsia" w:ascii="Times New Roman" w:hAnsi="Times New Roman" w:eastAsia="宋体" w:cs="Times New Roman"/>
                <w:color w:val="auto"/>
                <w:kern w:val="0"/>
                <w:szCs w:val="21"/>
                <w:lang w:val="en-US" w:eastAsia="zh-CN"/>
              </w:rPr>
              <w:t>，经</w:t>
            </w:r>
            <w:r>
              <w:rPr>
                <w:rFonts w:hint="eastAsia" w:cs="Times New Roman"/>
                <w:color w:val="auto"/>
                <w:kern w:val="0"/>
                <w:szCs w:val="21"/>
                <w:lang w:val="en-US" w:eastAsia="zh-CN"/>
              </w:rPr>
              <w:t>袋式</w:t>
            </w:r>
            <w:r>
              <w:rPr>
                <w:rFonts w:hint="eastAsia" w:ascii="Times New Roman" w:hAnsi="Times New Roman" w:eastAsia="宋体" w:cs="Times New Roman"/>
                <w:color w:val="auto"/>
                <w:kern w:val="0"/>
                <w:szCs w:val="21"/>
                <w:lang w:val="en-US" w:eastAsia="zh-CN"/>
              </w:rPr>
              <w:t>除尘</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光催化</w:t>
            </w:r>
            <w:r>
              <w:rPr>
                <w:rFonts w:hint="eastAsia" w:ascii="Times New Roman" w:hAnsi="Times New Roman" w:cs="Times New Roman"/>
                <w:color w:val="auto"/>
                <w:sz w:val="24"/>
                <w:szCs w:val="24"/>
                <w:lang w:val="en-US" w:eastAsia="zh-CN"/>
              </w:rPr>
              <w:t>+二级</w:t>
            </w:r>
            <w:r>
              <w:rPr>
                <w:rFonts w:hint="eastAsia" w:ascii="Times New Roman" w:hAnsi="Times New Roman" w:eastAsia="宋体" w:cs="Times New Roman"/>
                <w:color w:val="auto"/>
                <w:kern w:val="0"/>
                <w:szCs w:val="21"/>
                <w:lang w:val="en-US" w:eastAsia="zh-CN"/>
              </w:rPr>
              <w:t>活性炭</w:t>
            </w:r>
            <w:r>
              <w:rPr>
                <w:rFonts w:hint="eastAsia" w:cs="Times New Roman"/>
                <w:color w:val="auto"/>
                <w:kern w:val="0"/>
                <w:szCs w:val="21"/>
                <w:lang w:val="en-US" w:eastAsia="zh-CN"/>
              </w:rPr>
              <w:t>吸附</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15</w:t>
            </w:r>
            <w:r>
              <w:rPr>
                <w:rFonts w:hint="eastAsia" w:cs="Times New Roman"/>
                <w:color w:val="auto"/>
                <w:kern w:val="0"/>
                <w:szCs w:val="21"/>
                <w:lang w:val="en-US" w:eastAsia="zh-CN"/>
              </w:rPr>
              <w:t>m</w:t>
            </w:r>
            <w:r>
              <w:rPr>
                <w:rFonts w:hint="eastAsia" w:ascii="Times New Roman" w:hAnsi="Times New Roman" w:eastAsia="宋体" w:cs="Times New Roman"/>
                <w:color w:val="auto"/>
                <w:kern w:val="0"/>
                <w:szCs w:val="21"/>
                <w:lang w:val="en-US" w:eastAsia="zh-CN"/>
              </w:rPr>
              <w:t>排气筒（DA001）排放。</w:t>
            </w:r>
          </w:p>
          <w:p w14:paraId="3E283F0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w:t>
            </w:r>
            <w:r>
              <w:rPr>
                <w:rFonts w:hint="eastAsia" w:cs="Times New Roman"/>
                <w:color w:val="auto"/>
                <w:kern w:val="0"/>
                <w:szCs w:val="21"/>
                <w:lang w:val="en-US" w:eastAsia="zh-CN"/>
              </w:rPr>
              <w:t>吹塑成型</w:t>
            </w:r>
            <w:r>
              <w:rPr>
                <w:rFonts w:hint="default" w:ascii="Times New Roman" w:hAnsi="Times New Roman" w:eastAsia="宋体" w:cs="Times New Roman"/>
                <w:color w:val="auto"/>
                <w:kern w:val="0"/>
                <w:szCs w:val="21"/>
                <w:lang w:val="en-US" w:eastAsia="zh-CN"/>
              </w:rPr>
              <w:t>：干燥后的原料</w:t>
            </w:r>
            <w:r>
              <w:rPr>
                <w:rFonts w:hint="eastAsia" w:cs="Times New Roman"/>
                <w:color w:val="auto"/>
                <w:kern w:val="0"/>
                <w:szCs w:val="21"/>
                <w:lang w:val="en-US" w:eastAsia="zh-CN"/>
              </w:rPr>
              <w:t>经密闭管道</w:t>
            </w:r>
            <w:r>
              <w:rPr>
                <w:rFonts w:hint="default" w:ascii="Times New Roman" w:hAnsi="Times New Roman" w:eastAsia="宋体" w:cs="Times New Roman"/>
                <w:color w:val="auto"/>
                <w:kern w:val="0"/>
                <w:szCs w:val="21"/>
                <w:lang w:val="en-US" w:eastAsia="zh-CN"/>
              </w:rPr>
              <w:t>进入全自动中空吹塑成型机的挤出机，</w:t>
            </w:r>
            <w:r>
              <w:rPr>
                <w:rFonts w:hint="eastAsia" w:ascii="Times New Roman" w:hAnsi="Times New Roman" w:eastAsia="宋体" w:cs="Times New Roman"/>
                <w:color w:val="auto"/>
                <w:kern w:val="0"/>
                <w:szCs w:val="21"/>
                <w:lang w:val="en-US" w:eastAsia="zh-CN"/>
              </w:rPr>
              <w:t>HDPE原料在挤出机料筒内分段电加热至180~250℃逐步热熔塑化，固体HDPE颗粒受温度与螺杆剪切作用由固态颗粒熔融转变为连续熔融塑胶熔体</w:t>
            </w:r>
            <w:r>
              <w:rPr>
                <w:rFonts w:hint="default" w:ascii="Times New Roman" w:hAnsi="Times New Roman" w:eastAsia="宋体" w:cs="Times New Roman"/>
                <w:color w:val="auto"/>
                <w:kern w:val="0"/>
                <w:szCs w:val="21"/>
                <w:lang w:val="en-US" w:eastAsia="zh-CN"/>
              </w:rPr>
              <w:t>。熔体通过机头向下挤出形成一个巨大的、中空的管状型坯。两半模具闭合，夹住型坯底部形成密封</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将吹气杆插入型坯顶部，通入高压空气（0.4-1.0MPa），使熔融的型坯紧贴冰冷的模具内壁，形成桶身、进出料口、堆码槽等所有细节。在压力下，通过模具内的冷却水通道进行充分</w:t>
            </w:r>
            <w:r>
              <w:rPr>
                <w:rFonts w:hint="eastAsia" w:cs="Times New Roman"/>
                <w:color w:val="auto"/>
                <w:kern w:val="0"/>
                <w:szCs w:val="21"/>
                <w:lang w:val="en-US" w:eastAsia="zh-CN"/>
              </w:rPr>
              <w:t>间接</w:t>
            </w:r>
            <w:r>
              <w:rPr>
                <w:rFonts w:hint="default" w:ascii="Times New Roman" w:hAnsi="Times New Roman" w:eastAsia="宋体" w:cs="Times New Roman"/>
                <w:color w:val="auto"/>
                <w:kern w:val="0"/>
                <w:szCs w:val="21"/>
                <w:lang w:val="en-US" w:eastAsia="zh-CN"/>
              </w:rPr>
              <w:t>冷却定型。</w:t>
            </w:r>
            <w:r>
              <w:rPr>
                <w:rFonts w:hint="eastAsia" w:ascii="Times New Roman" w:hAnsi="Times New Roman" w:eastAsia="宋体" w:cs="Times New Roman"/>
                <w:color w:val="auto"/>
                <w:kern w:val="0"/>
                <w:szCs w:val="21"/>
                <w:lang w:val="en-US" w:eastAsia="zh-CN"/>
              </w:rPr>
              <w:t>该</w:t>
            </w:r>
            <w:r>
              <w:rPr>
                <w:rFonts w:hint="default" w:ascii="Times New Roman" w:hAnsi="Times New Roman" w:eastAsia="宋体" w:cs="Times New Roman"/>
                <w:color w:val="auto"/>
                <w:kern w:val="0"/>
                <w:szCs w:val="21"/>
                <w:lang w:val="en-US" w:eastAsia="zh-CN"/>
              </w:rPr>
              <w:t>过程中产生</w:t>
            </w:r>
            <w:r>
              <w:rPr>
                <w:rFonts w:hint="eastAsia" w:cs="Times New Roman"/>
                <w:color w:val="auto"/>
                <w:kern w:val="0"/>
                <w:szCs w:val="21"/>
                <w:lang w:val="en-US" w:eastAsia="zh-CN"/>
              </w:rPr>
              <w:t>吹塑成型</w:t>
            </w:r>
            <w:r>
              <w:rPr>
                <w:rFonts w:hint="eastAsia" w:ascii="Times New Roman" w:hAnsi="Times New Roman" w:eastAsia="宋体" w:cs="Times New Roman"/>
                <w:color w:val="auto"/>
                <w:kern w:val="0"/>
                <w:szCs w:val="21"/>
                <w:lang w:val="en-US" w:eastAsia="zh-CN"/>
              </w:rPr>
              <w:t>废气G</w:t>
            </w:r>
            <w:r>
              <w:rPr>
                <w:rFonts w:hint="eastAsia" w:cs="Times New Roman"/>
                <w:color w:val="auto"/>
                <w:kern w:val="0"/>
                <w:szCs w:val="21"/>
                <w:lang w:val="en-US" w:eastAsia="zh-CN"/>
              </w:rPr>
              <w:t>5</w:t>
            </w:r>
            <w:r>
              <w:rPr>
                <w:rFonts w:hint="eastAsia" w:ascii="Times New Roman" w:hAnsi="Times New Roman" w:eastAsia="宋体" w:cs="Times New Roman"/>
                <w:color w:val="auto"/>
                <w:kern w:val="0"/>
                <w:szCs w:val="21"/>
                <w:lang w:val="en-US" w:eastAsia="zh-CN"/>
              </w:rPr>
              <w:t>（</w:t>
            </w:r>
            <w:r>
              <w:rPr>
                <w:rFonts w:hint="eastAsia" w:ascii="Times New Roman" w:hAnsi="Times New Roman" w:eastAsia="宋体" w:cs="Times New Roman"/>
                <w:b w:val="0"/>
                <w:bCs w:val="0"/>
                <w:color w:val="auto"/>
                <w:szCs w:val="21"/>
                <w:lang w:val="en-US" w:eastAsia="zh-CN"/>
              </w:rPr>
              <w:t>颗粒物</w:t>
            </w:r>
            <w:r>
              <w:rPr>
                <w:rFonts w:hint="eastAsia" w:ascii="Times New Roman" w:hAnsi="Times New Roman" w:eastAsia="宋体" w:cs="Times New Roman"/>
                <w:color w:val="auto"/>
                <w:kern w:val="0"/>
                <w:szCs w:val="21"/>
                <w:lang w:val="en-US" w:eastAsia="zh-CN"/>
              </w:rPr>
              <w:t>、VOCs）</w:t>
            </w:r>
            <w:r>
              <w:rPr>
                <w:rFonts w:hint="default" w:ascii="Times New Roman" w:hAnsi="Times New Roman" w:eastAsia="宋体" w:cs="Times New Roman"/>
                <w:color w:val="auto"/>
                <w:kern w:val="0"/>
                <w:szCs w:val="21"/>
                <w:lang w:val="en-US" w:eastAsia="zh-CN"/>
              </w:rPr>
              <w:t>采取负压收集</w:t>
            </w:r>
            <w:r>
              <w:rPr>
                <w:rFonts w:hint="eastAsia" w:cs="Times New Roman"/>
                <w:color w:val="auto"/>
                <w:kern w:val="0"/>
                <w:szCs w:val="21"/>
                <w:lang w:val="en-US" w:eastAsia="zh-CN"/>
              </w:rPr>
              <w:t>后</w:t>
            </w:r>
            <w:r>
              <w:rPr>
                <w:rFonts w:hint="default" w:ascii="Times New Roman" w:hAnsi="Times New Roman" w:eastAsia="宋体" w:cs="Times New Roman"/>
                <w:color w:val="auto"/>
                <w:kern w:val="0"/>
                <w:szCs w:val="21"/>
                <w:lang w:val="en-US" w:eastAsia="zh-CN"/>
              </w:rPr>
              <w:t>通过集气管道引至废气处理装置</w:t>
            </w:r>
            <w:r>
              <w:rPr>
                <w:rFonts w:hint="eastAsia" w:ascii="Times New Roman" w:hAnsi="Times New Roman" w:eastAsia="宋体" w:cs="Times New Roman"/>
                <w:color w:val="auto"/>
                <w:kern w:val="0"/>
                <w:szCs w:val="21"/>
                <w:lang w:val="en-US" w:eastAsia="zh-CN"/>
              </w:rPr>
              <w:t>，经</w:t>
            </w:r>
            <w:r>
              <w:rPr>
                <w:rFonts w:hint="eastAsia" w:cs="Times New Roman"/>
                <w:color w:val="auto"/>
                <w:kern w:val="0"/>
                <w:szCs w:val="21"/>
                <w:lang w:val="en-US" w:eastAsia="zh-CN"/>
              </w:rPr>
              <w:t>袋式</w:t>
            </w:r>
            <w:r>
              <w:rPr>
                <w:rFonts w:hint="eastAsia" w:ascii="Times New Roman" w:hAnsi="Times New Roman" w:eastAsia="宋体" w:cs="Times New Roman"/>
                <w:color w:val="auto"/>
                <w:kern w:val="0"/>
                <w:szCs w:val="21"/>
                <w:lang w:val="en-US" w:eastAsia="zh-CN"/>
              </w:rPr>
              <w:t>除尘</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光催化</w:t>
            </w:r>
            <w:r>
              <w:rPr>
                <w:rFonts w:hint="eastAsia" w:ascii="Times New Roman" w:hAnsi="Times New Roman" w:cs="Times New Roman"/>
                <w:color w:val="auto"/>
                <w:sz w:val="24"/>
                <w:szCs w:val="24"/>
                <w:lang w:val="en-US" w:eastAsia="zh-CN"/>
              </w:rPr>
              <w:t>+二级</w:t>
            </w:r>
            <w:r>
              <w:rPr>
                <w:rFonts w:hint="eastAsia" w:ascii="Times New Roman" w:hAnsi="Times New Roman" w:eastAsia="宋体" w:cs="Times New Roman"/>
                <w:color w:val="auto"/>
                <w:kern w:val="0"/>
                <w:szCs w:val="21"/>
                <w:lang w:val="en-US" w:eastAsia="zh-CN"/>
              </w:rPr>
              <w:t>活性炭</w:t>
            </w:r>
            <w:r>
              <w:rPr>
                <w:rFonts w:hint="eastAsia" w:cs="Times New Roman"/>
                <w:color w:val="auto"/>
                <w:kern w:val="0"/>
                <w:szCs w:val="21"/>
                <w:lang w:val="en-US" w:eastAsia="zh-CN"/>
              </w:rPr>
              <w:t>吸附</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15</w:t>
            </w:r>
            <w:r>
              <w:rPr>
                <w:rFonts w:hint="eastAsia" w:cs="Times New Roman"/>
                <w:color w:val="auto"/>
                <w:kern w:val="0"/>
                <w:szCs w:val="21"/>
                <w:lang w:val="en-US" w:eastAsia="zh-CN"/>
              </w:rPr>
              <w:t>m</w:t>
            </w:r>
            <w:r>
              <w:rPr>
                <w:rFonts w:hint="eastAsia" w:ascii="Times New Roman" w:hAnsi="Times New Roman" w:eastAsia="宋体" w:cs="Times New Roman"/>
                <w:color w:val="auto"/>
                <w:kern w:val="0"/>
                <w:szCs w:val="21"/>
                <w:lang w:val="en-US" w:eastAsia="zh-CN"/>
              </w:rPr>
              <w:t>排气筒（DA001）排放</w:t>
            </w:r>
            <w:r>
              <w:rPr>
                <w:rFonts w:hint="eastAsia" w:cs="Times New Roman"/>
                <w:color w:val="auto"/>
                <w:kern w:val="0"/>
                <w:szCs w:val="21"/>
                <w:lang w:val="en-US" w:eastAsia="zh-CN"/>
              </w:rPr>
              <w:t>、设备噪声N2。</w:t>
            </w:r>
          </w:p>
          <w:p w14:paraId="30D3AA2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color w:val="auto"/>
              </w:rPr>
            </w:pPr>
            <w:r>
              <w:rPr>
                <w:rFonts w:hint="eastAsia" w:ascii="Times New Roman" w:hAnsi="Times New Roman" w:eastAsia="宋体" w:cs="Times New Roman"/>
                <w:color w:val="auto"/>
                <w:kern w:val="0"/>
                <w:szCs w:val="21"/>
                <w:lang w:val="en-US" w:eastAsia="zh-CN"/>
              </w:rPr>
              <w:t>（</w:t>
            </w:r>
            <w:r>
              <w:rPr>
                <w:rFonts w:hint="eastAsia" w:cs="Times New Roman"/>
                <w:color w:val="auto"/>
                <w:kern w:val="0"/>
                <w:szCs w:val="21"/>
                <w:lang w:val="en-US" w:eastAsia="zh-CN"/>
              </w:rPr>
              <w:t>3</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开模取件</w:t>
            </w:r>
            <w:r>
              <w:rPr>
                <w:rFonts w:hint="eastAsia" w:ascii="Times New Roman" w:hAnsi="Times New Roman" w:eastAsia="宋体" w:cs="Times New Roman"/>
                <w:color w:val="auto"/>
                <w:kern w:val="0"/>
                <w:szCs w:val="21"/>
                <w:lang w:val="en-US" w:eastAsia="zh-CN"/>
              </w:rPr>
              <w:t>与修边</w:t>
            </w:r>
            <w:r>
              <w:rPr>
                <w:rFonts w:hint="default" w:ascii="Times New Roman" w:hAnsi="Times New Roman" w:eastAsia="宋体" w:cs="Times New Roman"/>
                <w:color w:val="auto"/>
                <w:kern w:val="0"/>
                <w:szCs w:val="21"/>
                <w:lang w:val="en-US" w:eastAsia="zh-CN"/>
              </w:rPr>
              <w:t>：冷却完成后模具打开，机械手自动取出成型桶体，转运至修边机。修边机切除桶口、桶底的合模线溢料（飞边）及多余边角，确保产品外观平整，</w:t>
            </w:r>
            <w:r>
              <w:rPr>
                <w:rFonts w:hint="default" w:ascii="宋体" w:hAnsi="宋体" w:eastAsia="宋体" w:cs="宋体"/>
                <w:color w:val="auto"/>
                <w:sz w:val="24"/>
                <w:szCs w:val="24"/>
              </w:rPr>
              <w:t>修边产生的塑料边角料即时密闭收集，统一转运至破碎</w:t>
            </w:r>
            <w:r>
              <w:rPr>
                <w:rFonts w:hint="eastAsia" w:ascii="宋体" w:hAnsi="宋体" w:cs="宋体"/>
                <w:color w:val="auto"/>
                <w:sz w:val="24"/>
                <w:szCs w:val="24"/>
                <w:lang w:val="en-US" w:eastAsia="zh-CN"/>
              </w:rPr>
              <w:t>机</w:t>
            </w:r>
            <w:r>
              <w:rPr>
                <w:rFonts w:hint="default" w:ascii="宋体" w:hAnsi="宋体" w:eastAsia="宋体" w:cs="宋体"/>
                <w:color w:val="auto"/>
                <w:sz w:val="24"/>
                <w:szCs w:val="24"/>
              </w:rPr>
              <w:t>粉碎处理回收</w:t>
            </w:r>
            <w:r>
              <w:rPr>
                <w:rFonts w:hint="eastAsia" w:ascii="宋体" w:hAnsi="宋体" w:cs="宋体"/>
                <w:color w:val="auto"/>
                <w:sz w:val="24"/>
                <w:szCs w:val="24"/>
                <w:lang w:val="en-US" w:eastAsia="zh-CN"/>
              </w:rPr>
              <w:t>利用</w:t>
            </w: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该</w:t>
            </w:r>
            <w:r>
              <w:rPr>
                <w:rFonts w:hint="default" w:ascii="Times New Roman" w:hAnsi="Times New Roman" w:eastAsia="宋体" w:cs="Times New Roman"/>
                <w:color w:val="auto"/>
                <w:kern w:val="0"/>
                <w:szCs w:val="21"/>
                <w:lang w:val="en-US" w:eastAsia="zh-CN"/>
              </w:rPr>
              <w:t>过程中产生</w:t>
            </w:r>
            <w:r>
              <w:rPr>
                <w:rFonts w:hint="eastAsia" w:cs="Times New Roman"/>
                <w:color w:val="auto"/>
                <w:kern w:val="0"/>
                <w:szCs w:val="21"/>
                <w:lang w:val="en-US" w:eastAsia="zh-CN"/>
              </w:rPr>
              <w:t>修边粉碎</w:t>
            </w:r>
            <w:r>
              <w:rPr>
                <w:rFonts w:hint="eastAsia" w:ascii="Times New Roman" w:hAnsi="Times New Roman" w:eastAsia="宋体" w:cs="Times New Roman"/>
                <w:color w:val="auto"/>
                <w:kern w:val="0"/>
                <w:szCs w:val="21"/>
                <w:lang w:val="en-US" w:eastAsia="zh-CN"/>
              </w:rPr>
              <w:t>废气G</w:t>
            </w:r>
            <w:r>
              <w:rPr>
                <w:rFonts w:hint="eastAsia" w:cs="Times New Roman"/>
                <w:color w:val="auto"/>
                <w:kern w:val="0"/>
                <w:szCs w:val="21"/>
                <w:lang w:val="en-US" w:eastAsia="zh-CN"/>
              </w:rPr>
              <w:t>6</w:t>
            </w:r>
            <w:r>
              <w:rPr>
                <w:rFonts w:hint="eastAsia" w:ascii="Times New Roman" w:hAnsi="Times New Roman" w:eastAsia="宋体" w:cs="Times New Roman"/>
                <w:color w:val="auto"/>
                <w:kern w:val="0"/>
                <w:szCs w:val="21"/>
                <w:lang w:val="en-US" w:eastAsia="zh-CN"/>
              </w:rPr>
              <w:t>（颗粒物），</w:t>
            </w:r>
            <w:r>
              <w:rPr>
                <w:rFonts w:hint="default" w:ascii="Times New Roman" w:hAnsi="Times New Roman" w:eastAsia="宋体" w:cs="Times New Roman"/>
                <w:color w:val="auto"/>
                <w:kern w:val="0"/>
                <w:szCs w:val="21"/>
                <w:lang w:val="en-US" w:eastAsia="zh-CN"/>
              </w:rPr>
              <w:t>采取负压收集</w:t>
            </w:r>
            <w:r>
              <w:rPr>
                <w:rFonts w:hint="eastAsia" w:cs="Times New Roman"/>
                <w:color w:val="auto"/>
                <w:kern w:val="0"/>
                <w:szCs w:val="21"/>
                <w:lang w:val="en-US" w:eastAsia="zh-CN"/>
              </w:rPr>
              <w:t>后</w:t>
            </w:r>
            <w:r>
              <w:rPr>
                <w:rFonts w:hint="default" w:ascii="Times New Roman" w:hAnsi="Times New Roman" w:eastAsia="宋体" w:cs="Times New Roman"/>
                <w:color w:val="auto"/>
                <w:kern w:val="0"/>
                <w:szCs w:val="21"/>
                <w:lang w:val="en-US" w:eastAsia="zh-CN"/>
              </w:rPr>
              <w:t>通过集气管道引至废气处理装置</w:t>
            </w:r>
            <w:r>
              <w:rPr>
                <w:rFonts w:hint="eastAsia" w:ascii="Times New Roman" w:hAnsi="Times New Roman" w:eastAsia="宋体" w:cs="Times New Roman"/>
                <w:color w:val="auto"/>
                <w:kern w:val="0"/>
                <w:szCs w:val="21"/>
                <w:lang w:val="en-US" w:eastAsia="zh-CN"/>
              </w:rPr>
              <w:t>，经</w:t>
            </w:r>
            <w:r>
              <w:rPr>
                <w:rFonts w:hint="eastAsia" w:cs="Times New Roman"/>
                <w:color w:val="auto"/>
                <w:kern w:val="0"/>
                <w:szCs w:val="21"/>
                <w:lang w:val="en-US" w:eastAsia="zh-CN"/>
              </w:rPr>
              <w:t>袋式</w:t>
            </w:r>
            <w:r>
              <w:rPr>
                <w:rFonts w:hint="eastAsia" w:ascii="Times New Roman" w:hAnsi="Times New Roman" w:eastAsia="宋体" w:cs="Times New Roman"/>
                <w:color w:val="auto"/>
                <w:kern w:val="0"/>
                <w:szCs w:val="21"/>
                <w:lang w:val="en-US" w:eastAsia="zh-CN"/>
              </w:rPr>
              <w:t>除尘</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光催化</w:t>
            </w:r>
            <w:r>
              <w:rPr>
                <w:rFonts w:hint="eastAsia" w:ascii="Times New Roman" w:hAnsi="Times New Roman" w:cs="Times New Roman"/>
                <w:color w:val="auto"/>
                <w:sz w:val="24"/>
                <w:szCs w:val="24"/>
                <w:lang w:val="en-US" w:eastAsia="zh-CN"/>
              </w:rPr>
              <w:t>+二级</w:t>
            </w:r>
            <w:r>
              <w:rPr>
                <w:rFonts w:hint="eastAsia" w:ascii="Times New Roman" w:hAnsi="Times New Roman" w:eastAsia="宋体" w:cs="Times New Roman"/>
                <w:color w:val="auto"/>
                <w:kern w:val="0"/>
                <w:szCs w:val="21"/>
                <w:lang w:val="en-US" w:eastAsia="zh-CN"/>
              </w:rPr>
              <w:t>活性炭</w:t>
            </w:r>
            <w:r>
              <w:rPr>
                <w:rFonts w:hint="eastAsia" w:cs="Times New Roman"/>
                <w:color w:val="auto"/>
                <w:kern w:val="0"/>
                <w:szCs w:val="21"/>
                <w:lang w:val="en-US" w:eastAsia="zh-CN"/>
              </w:rPr>
              <w:t>吸附</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15</w:t>
            </w:r>
            <w:r>
              <w:rPr>
                <w:rFonts w:hint="eastAsia" w:cs="Times New Roman"/>
                <w:color w:val="auto"/>
                <w:kern w:val="0"/>
                <w:szCs w:val="21"/>
                <w:lang w:val="en-US" w:eastAsia="zh-CN"/>
              </w:rPr>
              <w:t>m</w:t>
            </w:r>
            <w:r>
              <w:rPr>
                <w:rFonts w:hint="eastAsia" w:ascii="Times New Roman" w:hAnsi="Times New Roman" w:eastAsia="宋体" w:cs="Times New Roman"/>
                <w:color w:val="auto"/>
                <w:kern w:val="0"/>
                <w:szCs w:val="21"/>
                <w:lang w:val="en-US" w:eastAsia="zh-CN"/>
              </w:rPr>
              <w:t>排气筒（DA001）排放。固废S1（塑料边角料、修边废料）</w:t>
            </w:r>
            <w:r>
              <w:rPr>
                <w:rFonts w:hint="eastAsia" w:cs="Times New Roman"/>
                <w:color w:val="auto"/>
                <w:kern w:val="0"/>
                <w:szCs w:val="21"/>
                <w:lang w:val="en-US" w:eastAsia="zh-CN"/>
              </w:rPr>
              <w:t>。</w:t>
            </w:r>
          </w:p>
          <w:p w14:paraId="7610761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②</w:t>
            </w:r>
            <w:r>
              <w:rPr>
                <w:rFonts w:hint="default" w:ascii="Times New Roman" w:hAnsi="Times New Roman" w:eastAsia="宋体" w:cs="Times New Roman"/>
                <w:color w:val="auto"/>
                <w:kern w:val="0"/>
                <w:szCs w:val="21"/>
                <w:lang w:val="en-US" w:eastAsia="zh-CN"/>
              </w:rPr>
              <w:t>金属外框架</w:t>
            </w:r>
            <w:r>
              <w:rPr>
                <w:rFonts w:hint="eastAsia" w:cs="Times New Roman"/>
                <w:color w:val="auto"/>
                <w:kern w:val="0"/>
                <w:szCs w:val="21"/>
                <w:lang w:val="en-US" w:eastAsia="zh-CN"/>
              </w:rPr>
              <w:t>制作</w:t>
            </w:r>
          </w:p>
          <w:p w14:paraId="048C7E0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i w:val="0"/>
                <w:color w:val="auto"/>
              </w:rPr>
            </w:pPr>
            <w:r>
              <w:rPr>
                <w:rFonts w:hint="default"/>
                <w:i w:val="0"/>
                <w:color w:val="auto"/>
              </w:rPr>
              <w:t>金属框架加工线包括钢管切割</w:t>
            </w:r>
            <w:r>
              <w:rPr>
                <w:rFonts w:hint="eastAsia"/>
                <w:i w:val="0"/>
                <w:color w:val="auto"/>
                <w:lang w:val="en-US" w:eastAsia="zh-CN"/>
              </w:rPr>
              <w:t>与</w:t>
            </w:r>
            <w:r>
              <w:rPr>
                <w:rFonts w:hint="default"/>
                <w:i w:val="0"/>
                <w:color w:val="auto"/>
              </w:rPr>
              <w:t>弯管、焊接、打磨。</w:t>
            </w:r>
          </w:p>
          <w:p w14:paraId="4F6806A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jc w:val="left"/>
              <w:textAlignment w:val="auto"/>
              <w:rPr>
                <w:rFonts w:hint="default"/>
                <w:color w:val="auto"/>
              </w:rPr>
            </w:pPr>
            <w:r>
              <w:rPr>
                <w:rFonts w:hint="default"/>
                <w:color w:val="auto"/>
              </w:rPr>
              <w:drawing>
                <wp:inline distT="0" distB="0" distL="114300" distR="114300">
                  <wp:extent cx="5475605" cy="3815080"/>
                  <wp:effectExtent l="0" t="0" r="10795" b="13970"/>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21"/>
                          <a:stretch>
                            <a:fillRect/>
                          </a:stretch>
                        </pic:blipFill>
                        <pic:spPr>
                          <a:xfrm>
                            <a:off x="0" y="0"/>
                            <a:ext cx="5475605" cy="3815080"/>
                          </a:xfrm>
                          <a:prstGeom prst="rect">
                            <a:avLst/>
                          </a:prstGeom>
                          <a:noFill/>
                          <a:ln>
                            <a:noFill/>
                          </a:ln>
                        </pic:spPr>
                      </pic:pic>
                    </a:graphicData>
                  </a:graphic>
                </wp:inline>
              </w:drawing>
            </w:r>
          </w:p>
          <w:p w14:paraId="306488D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76" w:lineRule="auto"/>
              <w:ind w:left="0" w:right="0" w:firstLine="0" w:firstLineChars="0"/>
              <w:jc w:val="center"/>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图2-</w:t>
            </w:r>
            <w:r>
              <w:rPr>
                <w:rFonts w:hint="eastAsia" w:ascii="Times New Roman" w:hAnsi="Times New Roman" w:eastAsia="宋体" w:cs="Times New Roman"/>
                <w:b/>
                <w:color w:val="auto"/>
                <w:sz w:val="24"/>
                <w:szCs w:val="24"/>
                <w:highlight w:val="none"/>
                <w:lang w:val="en-US" w:eastAsia="zh-CN"/>
              </w:rPr>
              <w:t>5IBC吨桶</w:t>
            </w:r>
            <w:r>
              <w:rPr>
                <w:rFonts w:hint="default" w:ascii="Times New Roman" w:hAnsi="Times New Roman" w:eastAsia="宋体" w:cs="Times New Roman"/>
                <w:b/>
                <w:color w:val="auto"/>
                <w:sz w:val="24"/>
                <w:szCs w:val="24"/>
                <w:highlight w:val="none"/>
                <w:lang w:val="en-US" w:eastAsia="zh-CN"/>
              </w:rPr>
              <w:t>金属外框架</w:t>
            </w:r>
            <w:r>
              <w:rPr>
                <w:rFonts w:hint="eastAsia" w:ascii="Times New Roman" w:hAnsi="Times New Roman" w:eastAsia="宋体" w:cs="Times New Roman"/>
                <w:b/>
                <w:color w:val="auto"/>
                <w:sz w:val="24"/>
                <w:szCs w:val="24"/>
                <w:highlight w:val="none"/>
                <w:lang w:val="en-US" w:eastAsia="zh-CN"/>
              </w:rPr>
              <w:t>制作</w:t>
            </w:r>
            <w:r>
              <w:rPr>
                <w:rFonts w:hint="default" w:ascii="Times New Roman" w:hAnsi="Times New Roman" w:eastAsia="宋体" w:cs="Times New Roman"/>
                <w:b/>
                <w:color w:val="auto"/>
                <w:sz w:val="24"/>
                <w:szCs w:val="24"/>
                <w:highlight w:val="none"/>
                <w:lang w:val="en-US" w:eastAsia="zh-CN"/>
              </w:rPr>
              <w:t>工艺流程及产污节点图</w:t>
            </w:r>
          </w:p>
          <w:p w14:paraId="3DD5781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p>
          <w:p w14:paraId="1EF8D1A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w:t>
            </w:r>
            <w:r>
              <w:rPr>
                <w:rFonts w:hint="default" w:ascii="Times New Roman" w:hAnsi="Times New Roman" w:eastAsia="宋体" w:cs="Times New Roman"/>
                <w:color w:val="auto"/>
                <w:kern w:val="0"/>
                <w:szCs w:val="21"/>
                <w:lang w:val="en-US" w:eastAsia="zh-CN"/>
              </w:rPr>
              <w:t>钢管切割</w:t>
            </w:r>
            <w:r>
              <w:rPr>
                <w:rFonts w:hint="eastAsia" w:ascii="Times New Roman" w:hAnsi="Times New Roman" w:eastAsia="宋体" w:cs="Times New Roman"/>
                <w:color w:val="auto"/>
                <w:kern w:val="0"/>
                <w:szCs w:val="21"/>
                <w:lang w:val="en-US" w:eastAsia="zh-CN"/>
              </w:rPr>
              <w:t>与弯管：</w:t>
            </w:r>
            <w:r>
              <w:rPr>
                <w:rFonts w:hint="default" w:ascii="Times New Roman" w:hAnsi="Times New Roman" w:eastAsia="宋体" w:cs="Times New Roman"/>
                <w:color w:val="auto"/>
                <w:kern w:val="0"/>
                <w:szCs w:val="21"/>
                <w:lang w:val="en-US" w:eastAsia="zh-CN"/>
              </w:rPr>
              <w:t>将</w:t>
            </w:r>
            <w:r>
              <w:rPr>
                <w:rFonts w:hint="eastAsia" w:cs="Times New Roman"/>
                <w:color w:val="auto"/>
                <w:kern w:val="0"/>
                <w:szCs w:val="21"/>
                <w:lang w:val="en-US" w:eastAsia="zh-CN"/>
              </w:rPr>
              <w:t>镀锌钢管</w:t>
            </w:r>
            <w:r>
              <w:rPr>
                <w:rFonts w:hint="default" w:ascii="Times New Roman" w:hAnsi="Times New Roman" w:eastAsia="宋体" w:cs="Times New Roman"/>
                <w:color w:val="auto"/>
                <w:kern w:val="0"/>
                <w:szCs w:val="21"/>
                <w:lang w:val="en-US" w:eastAsia="zh-CN"/>
              </w:rPr>
              <w:t>通过数控切管机，按照框架设计尺寸（立柱、横梁、支撑杆等）进行精确切割</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使用弯管机将切割好的钢管弯折成所需的形状。</w:t>
            </w:r>
            <w:r>
              <w:rPr>
                <w:rFonts w:hint="eastAsia" w:cs="Times New Roman"/>
                <w:color w:val="auto"/>
                <w:kern w:val="0"/>
                <w:szCs w:val="21"/>
                <w:lang w:val="en-US" w:eastAsia="zh-CN"/>
              </w:rPr>
              <w:t>此过程产生固废S3（钢管切割废料）、噪声N3。</w:t>
            </w:r>
          </w:p>
          <w:p w14:paraId="46D03CB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w:t>
            </w:r>
            <w:r>
              <w:rPr>
                <w:rFonts w:hint="default" w:ascii="Times New Roman" w:hAnsi="Times New Roman" w:eastAsia="宋体" w:cs="Times New Roman"/>
                <w:color w:val="auto"/>
                <w:kern w:val="0"/>
                <w:szCs w:val="21"/>
                <w:lang w:val="en-US" w:eastAsia="zh-CN"/>
              </w:rPr>
              <w:t>焊接</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在全自动焊接工装上进行。将切割和弯折好的各个部件（底座网格、四根立柱、顶部龙门架、底部托盘连接件等）精准定位并夹紧。采用MAG焊（CO₂</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kern w:val="0"/>
                <w:szCs w:val="21"/>
                <w:lang w:val="en-US" w:eastAsia="zh-CN"/>
              </w:rPr>
              <w:t>Ar混合气）进行焊接，确保焊点牢固、均匀。</w:t>
            </w:r>
            <w:r>
              <w:rPr>
                <w:rFonts w:hint="eastAsia" w:cs="Times New Roman"/>
                <w:color w:val="auto"/>
                <w:kern w:val="0"/>
                <w:szCs w:val="21"/>
                <w:lang w:val="en-US" w:eastAsia="zh-CN"/>
              </w:rPr>
              <w:t>此过程产生焊接</w:t>
            </w:r>
            <w:r>
              <w:rPr>
                <w:rFonts w:hint="eastAsia" w:ascii="Times New Roman" w:hAnsi="Times New Roman" w:eastAsia="宋体" w:cs="Times New Roman"/>
                <w:color w:val="auto"/>
                <w:kern w:val="0"/>
                <w:szCs w:val="21"/>
                <w:lang w:val="en-US" w:eastAsia="zh-CN"/>
              </w:rPr>
              <w:t>废气G</w:t>
            </w:r>
            <w:r>
              <w:rPr>
                <w:rFonts w:hint="eastAsia" w:cs="Times New Roman"/>
                <w:color w:val="auto"/>
                <w:kern w:val="0"/>
                <w:szCs w:val="21"/>
                <w:lang w:val="en-US" w:eastAsia="zh-CN"/>
              </w:rPr>
              <w:t>7</w:t>
            </w:r>
            <w:r>
              <w:rPr>
                <w:rFonts w:hint="eastAsia" w:ascii="Times New Roman" w:hAnsi="Times New Roman" w:eastAsia="宋体" w:cs="Times New Roman"/>
                <w:color w:val="auto"/>
                <w:kern w:val="0"/>
                <w:szCs w:val="21"/>
                <w:lang w:val="en-US" w:eastAsia="zh-CN"/>
              </w:rPr>
              <w:t>（颗粒物），</w:t>
            </w:r>
            <w:r>
              <w:rPr>
                <w:rFonts w:hint="default" w:ascii="Times New Roman" w:hAnsi="Times New Roman" w:eastAsia="宋体" w:cs="Times New Roman"/>
                <w:color w:val="auto"/>
                <w:kern w:val="0"/>
                <w:szCs w:val="21"/>
                <w:lang w:val="en-US" w:eastAsia="zh-CN"/>
              </w:rPr>
              <w:t>采取负压收集</w:t>
            </w:r>
            <w:r>
              <w:rPr>
                <w:rFonts w:hint="eastAsia" w:cs="Times New Roman"/>
                <w:color w:val="auto"/>
                <w:kern w:val="0"/>
                <w:szCs w:val="21"/>
                <w:lang w:val="en-US" w:eastAsia="zh-CN"/>
              </w:rPr>
              <w:t>后</w:t>
            </w:r>
            <w:r>
              <w:rPr>
                <w:rFonts w:hint="default" w:ascii="Times New Roman" w:hAnsi="Times New Roman" w:eastAsia="宋体" w:cs="Times New Roman"/>
                <w:color w:val="auto"/>
                <w:kern w:val="0"/>
                <w:szCs w:val="21"/>
                <w:lang w:val="en-US" w:eastAsia="zh-CN"/>
              </w:rPr>
              <w:t>通过集气管道引至废气处理装置</w:t>
            </w:r>
            <w:r>
              <w:rPr>
                <w:rFonts w:hint="eastAsia" w:ascii="Times New Roman" w:hAnsi="Times New Roman" w:eastAsia="宋体" w:cs="Times New Roman"/>
                <w:color w:val="auto"/>
                <w:kern w:val="0"/>
                <w:szCs w:val="21"/>
                <w:lang w:val="en-US" w:eastAsia="zh-CN"/>
              </w:rPr>
              <w:t>，经</w:t>
            </w:r>
            <w:r>
              <w:rPr>
                <w:rFonts w:hint="eastAsia" w:cs="Times New Roman"/>
                <w:color w:val="auto"/>
                <w:kern w:val="0"/>
                <w:szCs w:val="21"/>
                <w:lang w:val="en-US" w:eastAsia="zh-CN"/>
              </w:rPr>
              <w:t>袋式</w:t>
            </w:r>
            <w:r>
              <w:rPr>
                <w:rFonts w:hint="eastAsia" w:ascii="Times New Roman" w:hAnsi="Times New Roman" w:eastAsia="宋体" w:cs="Times New Roman"/>
                <w:color w:val="auto"/>
                <w:kern w:val="0"/>
                <w:szCs w:val="21"/>
                <w:lang w:val="en-US" w:eastAsia="zh-CN"/>
              </w:rPr>
              <w:t>除尘</w:t>
            </w:r>
            <w:r>
              <w:rPr>
                <w:rFonts w:hint="eastAsia" w:cs="Times New Roman"/>
                <w:color w:val="auto"/>
                <w:kern w:val="0"/>
                <w:szCs w:val="21"/>
                <w:lang w:val="en-US" w:eastAsia="zh-CN"/>
              </w:rPr>
              <w:t>装置</w:t>
            </w:r>
            <w:r>
              <w:rPr>
                <w:rFonts w:hint="eastAsia" w:cs="Times New Roman"/>
                <w:color w:val="auto"/>
                <w:sz w:val="24"/>
                <w:szCs w:val="24"/>
                <w:lang w:val="en-US" w:eastAsia="zh-CN"/>
              </w:rPr>
              <w:t>处理，最终在</w:t>
            </w:r>
            <w:r>
              <w:rPr>
                <w:rFonts w:hint="eastAsia" w:ascii="Times New Roman" w:hAnsi="Times New Roman" w:eastAsia="宋体" w:cs="Times New Roman"/>
                <w:color w:val="auto"/>
                <w:kern w:val="0"/>
                <w:szCs w:val="21"/>
                <w:lang w:val="en-US" w:eastAsia="zh-CN"/>
              </w:rPr>
              <w:t>15</w:t>
            </w:r>
            <w:r>
              <w:rPr>
                <w:rFonts w:hint="eastAsia" w:cs="Times New Roman"/>
                <w:color w:val="auto"/>
                <w:kern w:val="0"/>
                <w:szCs w:val="21"/>
                <w:lang w:val="en-US" w:eastAsia="zh-CN"/>
              </w:rPr>
              <w:t>m</w:t>
            </w:r>
            <w:r>
              <w:rPr>
                <w:rFonts w:hint="eastAsia" w:ascii="Times New Roman" w:hAnsi="Times New Roman" w:eastAsia="宋体" w:cs="Times New Roman"/>
                <w:color w:val="auto"/>
                <w:kern w:val="0"/>
                <w:szCs w:val="21"/>
                <w:lang w:val="en-US" w:eastAsia="zh-CN"/>
              </w:rPr>
              <w:t>排气筒（DA001）排放</w:t>
            </w:r>
            <w:r>
              <w:rPr>
                <w:rFonts w:hint="eastAsia" w:cs="Times New Roman"/>
                <w:color w:val="auto"/>
                <w:kern w:val="0"/>
                <w:szCs w:val="21"/>
                <w:lang w:val="en-US" w:eastAsia="zh-CN"/>
              </w:rPr>
              <w:t>；噪声N4；固废S4（焊渣）。</w:t>
            </w:r>
          </w:p>
          <w:p w14:paraId="0BDE126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（3）</w:t>
            </w:r>
            <w:r>
              <w:rPr>
                <w:rFonts w:hint="default" w:ascii="Times New Roman" w:hAnsi="Times New Roman" w:eastAsia="宋体" w:cs="Times New Roman"/>
                <w:color w:val="auto"/>
                <w:kern w:val="0"/>
                <w:szCs w:val="21"/>
                <w:lang w:val="en-US" w:eastAsia="zh-CN"/>
              </w:rPr>
              <w:t>打磨</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对焊接产生的焊渣、毛刺、飞溅进行打磨处理，使框架表面光滑。</w:t>
            </w:r>
            <w:r>
              <w:rPr>
                <w:rFonts w:hint="eastAsia" w:cs="Times New Roman"/>
                <w:color w:val="auto"/>
                <w:kern w:val="0"/>
                <w:szCs w:val="21"/>
                <w:lang w:val="en-US" w:eastAsia="zh-CN"/>
              </w:rPr>
              <w:t>此过程产生打磨</w:t>
            </w:r>
            <w:r>
              <w:rPr>
                <w:rFonts w:hint="eastAsia" w:ascii="Times New Roman" w:hAnsi="Times New Roman" w:eastAsia="宋体" w:cs="Times New Roman"/>
                <w:color w:val="auto"/>
                <w:kern w:val="0"/>
                <w:szCs w:val="21"/>
                <w:lang w:val="en-US" w:eastAsia="zh-CN"/>
              </w:rPr>
              <w:t>废气G</w:t>
            </w:r>
            <w:r>
              <w:rPr>
                <w:rFonts w:hint="eastAsia" w:cs="Times New Roman"/>
                <w:color w:val="auto"/>
                <w:kern w:val="0"/>
                <w:szCs w:val="21"/>
                <w:lang w:val="en-US" w:eastAsia="zh-CN"/>
              </w:rPr>
              <w:t>8</w:t>
            </w:r>
            <w:r>
              <w:rPr>
                <w:rFonts w:hint="eastAsia" w:ascii="Times New Roman" w:hAnsi="Times New Roman" w:eastAsia="宋体" w:cs="Times New Roman"/>
                <w:color w:val="auto"/>
                <w:kern w:val="0"/>
                <w:szCs w:val="21"/>
                <w:lang w:val="en-US" w:eastAsia="zh-CN"/>
              </w:rPr>
              <w:t>（颗粒物），</w:t>
            </w:r>
            <w:r>
              <w:rPr>
                <w:rFonts w:hint="default" w:ascii="Times New Roman" w:hAnsi="Times New Roman" w:eastAsia="宋体" w:cs="Times New Roman"/>
                <w:color w:val="auto"/>
                <w:kern w:val="0"/>
                <w:szCs w:val="21"/>
                <w:lang w:val="en-US" w:eastAsia="zh-CN"/>
              </w:rPr>
              <w:t>采取负压收集</w:t>
            </w:r>
            <w:r>
              <w:rPr>
                <w:rFonts w:hint="eastAsia" w:cs="Times New Roman"/>
                <w:color w:val="auto"/>
                <w:kern w:val="0"/>
                <w:szCs w:val="21"/>
                <w:lang w:val="en-US" w:eastAsia="zh-CN"/>
              </w:rPr>
              <w:t>后</w:t>
            </w:r>
            <w:r>
              <w:rPr>
                <w:rFonts w:hint="default" w:ascii="Times New Roman" w:hAnsi="Times New Roman" w:eastAsia="宋体" w:cs="Times New Roman"/>
                <w:color w:val="auto"/>
                <w:kern w:val="0"/>
                <w:szCs w:val="21"/>
                <w:lang w:val="en-US" w:eastAsia="zh-CN"/>
              </w:rPr>
              <w:t>通过集气管道引至废气处理装置</w:t>
            </w:r>
            <w:r>
              <w:rPr>
                <w:rFonts w:hint="eastAsia" w:ascii="Times New Roman" w:hAnsi="Times New Roman" w:eastAsia="宋体" w:cs="Times New Roman"/>
                <w:color w:val="auto"/>
                <w:kern w:val="0"/>
                <w:szCs w:val="21"/>
                <w:lang w:val="en-US" w:eastAsia="zh-CN"/>
              </w:rPr>
              <w:t>，经</w:t>
            </w:r>
            <w:r>
              <w:rPr>
                <w:rFonts w:hint="eastAsia" w:cs="Times New Roman"/>
                <w:color w:val="auto"/>
                <w:kern w:val="0"/>
                <w:szCs w:val="21"/>
                <w:lang w:val="en-US" w:eastAsia="zh-CN"/>
              </w:rPr>
              <w:t>袋式</w:t>
            </w:r>
            <w:r>
              <w:rPr>
                <w:rFonts w:hint="eastAsia" w:ascii="Times New Roman" w:hAnsi="Times New Roman" w:eastAsia="宋体" w:cs="Times New Roman"/>
                <w:color w:val="auto"/>
                <w:kern w:val="0"/>
                <w:szCs w:val="21"/>
                <w:lang w:val="en-US" w:eastAsia="zh-CN"/>
              </w:rPr>
              <w:t>除尘</w:t>
            </w:r>
            <w:r>
              <w:rPr>
                <w:rFonts w:hint="eastAsia" w:cs="Times New Roman"/>
                <w:color w:val="auto"/>
                <w:kern w:val="0"/>
                <w:szCs w:val="21"/>
                <w:lang w:val="en-US" w:eastAsia="zh-CN"/>
              </w:rPr>
              <w:t>装置</w:t>
            </w:r>
            <w:r>
              <w:rPr>
                <w:rFonts w:hint="eastAsia" w:cs="Times New Roman"/>
                <w:color w:val="auto"/>
                <w:sz w:val="24"/>
                <w:szCs w:val="24"/>
                <w:lang w:val="en-US" w:eastAsia="zh-CN"/>
              </w:rPr>
              <w:t>处理，最终</w:t>
            </w:r>
            <w:r>
              <w:rPr>
                <w:rFonts w:hint="eastAsia" w:ascii="Times New Roman" w:hAnsi="Times New Roman" w:eastAsia="宋体" w:cs="Times New Roman"/>
                <w:color w:val="auto"/>
                <w:kern w:val="0"/>
                <w:szCs w:val="21"/>
                <w:lang w:val="en-US" w:eastAsia="zh-CN"/>
              </w:rPr>
              <w:t>15</w:t>
            </w:r>
            <w:r>
              <w:rPr>
                <w:rFonts w:hint="eastAsia" w:cs="Times New Roman"/>
                <w:color w:val="auto"/>
                <w:kern w:val="0"/>
                <w:szCs w:val="21"/>
                <w:lang w:val="en-US" w:eastAsia="zh-CN"/>
              </w:rPr>
              <w:t>m</w:t>
            </w:r>
            <w:r>
              <w:rPr>
                <w:rFonts w:hint="eastAsia" w:ascii="Times New Roman" w:hAnsi="Times New Roman" w:eastAsia="宋体" w:cs="Times New Roman"/>
                <w:color w:val="auto"/>
                <w:kern w:val="0"/>
                <w:szCs w:val="21"/>
                <w:lang w:val="en-US" w:eastAsia="zh-CN"/>
              </w:rPr>
              <w:t>排气筒（DA001）排放</w:t>
            </w:r>
            <w:r>
              <w:rPr>
                <w:rFonts w:hint="eastAsia" w:cs="Times New Roman"/>
                <w:color w:val="auto"/>
                <w:kern w:val="0"/>
                <w:szCs w:val="21"/>
                <w:lang w:val="en-US" w:eastAsia="zh-CN"/>
              </w:rPr>
              <w:t>；噪声N5；固废S5（打磨收尘）。</w:t>
            </w:r>
          </w:p>
          <w:p w14:paraId="1318033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③</w:t>
            </w:r>
            <w:r>
              <w:rPr>
                <w:rFonts w:hint="default" w:ascii="Times New Roman" w:hAnsi="Times New Roman" w:eastAsia="宋体" w:cs="Times New Roman"/>
                <w:color w:val="auto"/>
                <w:kern w:val="0"/>
                <w:szCs w:val="21"/>
                <w:lang w:val="en-US" w:eastAsia="zh-CN"/>
              </w:rPr>
              <w:t>总装与检测</w:t>
            </w:r>
          </w:p>
          <w:p w14:paraId="33CABAD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将吹塑成型并检验合格的内容器放入外框架中。安装阀门（底部排料阀、顶部进料盖/透气盖）。安装底部托盘（如果是可拆卸式或固定式）。拧紧所有连接件，确保框架与内容器紧密配合，无不当应力。</w:t>
            </w:r>
            <w:r>
              <w:rPr>
                <w:rFonts w:hint="eastAsia" w:ascii="Times New Roman" w:hAnsi="Times New Roman" w:eastAsia="宋体" w:cs="Times New Roman"/>
                <w:color w:val="auto"/>
                <w:kern w:val="0"/>
                <w:szCs w:val="21"/>
                <w:lang w:val="en-US" w:eastAsia="zh-CN"/>
              </w:rPr>
              <w:t>进行</w:t>
            </w:r>
            <w:r>
              <w:rPr>
                <w:rFonts w:hint="default" w:ascii="Times New Roman" w:hAnsi="Times New Roman" w:eastAsia="宋体" w:cs="Times New Roman"/>
                <w:color w:val="auto"/>
                <w:kern w:val="0"/>
                <w:szCs w:val="21"/>
                <w:lang w:val="en-US" w:eastAsia="zh-CN"/>
              </w:rPr>
              <w:t>最终</w:t>
            </w:r>
            <w:r>
              <w:rPr>
                <w:rFonts w:hint="eastAsia" w:cs="Times New Roman"/>
                <w:color w:val="auto"/>
                <w:kern w:val="0"/>
                <w:szCs w:val="21"/>
                <w:lang w:val="en-US" w:eastAsia="zh-CN"/>
              </w:rPr>
              <w:t>气密性测试</w:t>
            </w:r>
            <w:r>
              <w:rPr>
                <w:rFonts w:hint="default" w:ascii="Times New Roman" w:hAnsi="Times New Roman" w:eastAsia="宋体" w:cs="Times New Roman"/>
                <w:color w:val="auto"/>
                <w:kern w:val="0"/>
                <w:szCs w:val="21"/>
                <w:lang w:val="en-US" w:eastAsia="zh-CN"/>
              </w:rPr>
              <w:t>与包装</w:t>
            </w:r>
            <w:r>
              <w:rPr>
                <w:rFonts w:hint="eastAsia" w:ascii="Times New Roman" w:hAnsi="Times New Roman" w:eastAsia="宋体" w:cs="Times New Roman"/>
                <w:color w:val="auto"/>
                <w:kern w:val="0"/>
                <w:szCs w:val="21"/>
                <w:lang w:val="en-US" w:eastAsia="zh-CN"/>
              </w:rPr>
              <w:t>。</w:t>
            </w:r>
          </w:p>
          <w:p w14:paraId="58B9CB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表2-</w:t>
            </w:r>
            <w:r>
              <w:rPr>
                <w:rFonts w:hint="eastAsia" w:ascii="Times New Roman" w:hAnsi="Times New Roman" w:eastAsia="宋体" w:cs="Times New Roman"/>
                <w:b/>
                <w:bCs/>
                <w:color w:val="auto"/>
                <w:sz w:val="24"/>
                <w:lang w:val="en-US" w:eastAsia="zh-CN"/>
              </w:rPr>
              <w:t>7</w:t>
            </w:r>
            <w:r>
              <w:rPr>
                <w:rFonts w:hint="default" w:ascii="Times New Roman" w:hAnsi="Times New Roman" w:eastAsia="宋体" w:cs="Times New Roman"/>
                <w:b/>
                <w:bCs/>
                <w:color w:val="auto"/>
                <w:sz w:val="24"/>
                <w:lang w:val="en-US" w:eastAsia="zh-CN"/>
              </w:rPr>
              <w:t>运营期产污节点及污染物</w:t>
            </w:r>
          </w:p>
          <w:tbl>
            <w:tblPr>
              <w:tblStyle w:val="24"/>
              <w:tblW w:w="86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945"/>
              <w:gridCol w:w="1661"/>
              <w:gridCol w:w="3803"/>
              <w:gridCol w:w="1794"/>
            </w:tblGrid>
            <w:tr w14:paraId="317A2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dxa"/>
                  <w:noWrap w:val="0"/>
                  <w:vAlign w:val="center"/>
                </w:tcPr>
                <w:p w14:paraId="49B0572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类型</w:t>
                  </w:r>
                </w:p>
              </w:tc>
              <w:tc>
                <w:tcPr>
                  <w:tcW w:w="945" w:type="dxa"/>
                  <w:noWrap w:val="0"/>
                  <w:vAlign w:val="center"/>
                </w:tcPr>
                <w:p w14:paraId="28B430D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编号</w:t>
                  </w:r>
                </w:p>
              </w:tc>
              <w:tc>
                <w:tcPr>
                  <w:tcW w:w="1661" w:type="dxa"/>
                  <w:noWrap w:val="0"/>
                  <w:vAlign w:val="center"/>
                </w:tcPr>
                <w:p w14:paraId="58195C7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污染源名称</w:t>
                  </w:r>
                </w:p>
              </w:tc>
              <w:tc>
                <w:tcPr>
                  <w:tcW w:w="3803" w:type="dxa"/>
                  <w:noWrap w:val="0"/>
                  <w:vAlign w:val="center"/>
                </w:tcPr>
                <w:p w14:paraId="368B411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产污环节</w:t>
                  </w:r>
                </w:p>
              </w:tc>
              <w:tc>
                <w:tcPr>
                  <w:tcW w:w="1794" w:type="dxa"/>
                  <w:noWrap w:val="0"/>
                  <w:vAlign w:val="center"/>
                </w:tcPr>
                <w:p w14:paraId="32164EC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主要污染物</w:t>
                  </w:r>
                </w:p>
              </w:tc>
            </w:tr>
            <w:tr w14:paraId="7DE3D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426" w:type="dxa"/>
                  <w:vMerge w:val="restart"/>
                  <w:noWrap w:val="0"/>
                  <w:vAlign w:val="center"/>
                </w:tcPr>
                <w:p w14:paraId="5682AF6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废气</w:t>
                  </w:r>
                </w:p>
              </w:tc>
              <w:tc>
                <w:tcPr>
                  <w:tcW w:w="945" w:type="dxa"/>
                  <w:noWrap w:val="0"/>
                  <w:vAlign w:val="center"/>
                </w:tcPr>
                <w:p w14:paraId="2BA6366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G</w:t>
                  </w:r>
                  <w:r>
                    <w:rPr>
                      <w:rFonts w:hint="eastAsia" w:ascii="Times New Roman" w:hAnsi="Times New Roman" w:eastAsia="宋体" w:cs="Times New Roman"/>
                      <w:b w:val="0"/>
                      <w:bCs w:val="0"/>
                      <w:color w:val="auto"/>
                      <w:sz w:val="21"/>
                      <w:szCs w:val="21"/>
                      <w:lang w:val="en-US" w:eastAsia="zh-CN"/>
                    </w:rPr>
                    <w:t>1</w:t>
                  </w:r>
                </w:p>
              </w:tc>
              <w:tc>
                <w:tcPr>
                  <w:tcW w:w="1661" w:type="dxa"/>
                  <w:noWrap w:val="0"/>
                  <w:vAlign w:val="center"/>
                </w:tcPr>
                <w:p w14:paraId="543F0D2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原料混合干燥废气</w:t>
                  </w:r>
                </w:p>
              </w:tc>
              <w:tc>
                <w:tcPr>
                  <w:tcW w:w="3803" w:type="dxa"/>
                  <w:noWrap w:val="0"/>
                  <w:vAlign w:val="center"/>
                </w:tcPr>
                <w:p w14:paraId="6A218CD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200L塑料桶生产线原料混合干燥阶段</w:t>
                  </w:r>
                </w:p>
              </w:tc>
              <w:tc>
                <w:tcPr>
                  <w:tcW w:w="1794" w:type="dxa"/>
                  <w:noWrap w:val="0"/>
                  <w:vAlign w:val="center"/>
                </w:tcPr>
                <w:p w14:paraId="286EE2D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颗粒物、VOCs</w:t>
                  </w:r>
                </w:p>
              </w:tc>
            </w:tr>
            <w:tr w14:paraId="6C4B4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426" w:type="dxa"/>
                  <w:vMerge w:val="continue"/>
                  <w:noWrap w:val="0"/>
                  <w:vAlign w:val="center"/>
                </w:tcPr>
                <w:p w14:paraId="6D9C5DB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olor w:val="auto"/>
                      <w:sz w:val="21"/>
                      <w:szCs w:val="21"/>
                    </w:rPr>
                  </w:pPr>
                </w:p>
              </w:tc>
              <w:tc>
                <w:tcPr>
                  <w:tcW w:w="945" w:type="dxa"/>
                  <w:noWrap w:val="0"/>
                  <w:vAlign w:val="center"/>
                </w:tcPr>
                <w:p w14:paraId="3E7E341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G</w:t>
                  </w:r>
                  <w:r>
                    <w:rPr>
                      <w:rFonts w:hint="eastAsia" w:ascii="Times New Roman" w:hAnsi="Times New Roman" w:eastAsia="宋体" w:cs="Times New Roman"/>
                      <w:b w:val="0"/>
                      <w:bCs w:val="0"/>
                      <w:color w:val="auto"/>
                      <w:sz w:val="21"/>
                      <w:szCs w:val="21"/>
                      <w:lang w:val="en-US" w:eastAsia="zh-CN"/>
                    </w:rPr>
                    <w:t>2</w:t>
                  </w:r>
                </w:p>
              </w:tc>
              <w:tc>
                <w:tcPr>
                  <w:tcW w:w="1661" w:type="dxa"/>
                  <w:noWrap w:val="0"/>
                  <w:vAlign w:val="center"/>
                </w:tcPr>
                <w:p w14:paraId="2CA3468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吹塑成型废气</w:t>
                  </w:r>
                </w:p>
              </w:tc>
              <w:tc>
                <w:tcPr>
                  <w:tcW w:w="3803" w:type="dxa"/>
                  <w:noWrap w:val="0"/>
                  <w:vAlign w:val="center"/>
                </w:tcPr>
                <w:p w14:paraId="36E1159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200L塑料桶生产线吹塑成型阶段</w:t>
                  </w:r>
                </w:p>
              </w:tc>
              <w:tc>
                <w:tcPr>
                  <w:tcW w:w="1794" w:type="dxa"/>
                  <w:noWrap w:val="0"/>
                  <w:vAlign w:val="center"/>
                </w:tcPr>
                <w:p w14:paraId="79EC3EA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颗粒物、VOCs</w:t>
                  </w:r>
                  <w:r>
                    <w:rPr>
                      <w:rFonts w:hint="eastAsia" w:cs="Times New Roman"/>
                      <w:b w:val="0"/>
                      <w:bCs w:val="0"/>
                      <w:color w:val="auto"/>
                      <w:sz w:val="21"/>
                      <w:szCs w:val="21"/>
                      <w:lang w:val="en-US" w:eastAsia="zh-CN"/>
                    </w:rPr>
                    <w:t>、臭气浓度</w:t>
                  </w:r>
                </w:p>
              </w:tc>
            </w:tr>
            <w:tr w14:paraId="69845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426" w:type="dxa"/>
                  <w:vMerge w:val="continue"/>
                  <w:noWrap w:val="0"/>
                  <w:vAlign w:val="center"/>
                </w:tcPr>
                <w:p w14:paraId="3190353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c>
                <w:tcPr>
                  <w:tcW w:w="945" w:type="dxa"/>
                  <w:noWrap w:val="0"/>
                  <w:vAlign w:val="center"/>
                </w:tcPr>
                <w:p w14:paraId="05266B8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G</w:t>
                  </w:r>
                  <w:r>
                    <w:rPr>
                      <w:rFonts w:hint="eastAsia" w:ascii="Times New Roman" w:hAnsi="Times New Roman" w:eastAsia="宋体" w:cs="Times New Roman"/>
                      <w:b w:val="0"/>
                      <w:bCs w:val="0"/>
                      <w:color w:val="auto"/>
                      <w:sz w:val="21"/>
                      <w:szCs w:val="21"/>
                      <w:lang w:val="en-US" w:eastAsia="zh-CN"/>
                    </w:rPr>
                    <w:t>3</w:t>
                  </w:r>
                </w:p>
              </w:tc>
              <w:tc>
                <w:tcPr>
                  <w:tcW w:w="1661" w:type="dxa"/>
                  <w:noWrap w:val="0"/>
                  <w:vAlign w:val="center"/>
                </w:tcPr>
                <w:p w14:paraId="0F61F94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修边粉碎废气</w:t>
                  </w:r>
                </w:p>
              </w:tc>
              <w:tc>
                <w:tcPr>
                  <w:tcW w:w="3803" w:type="dxa"/>
                  <w:noWrap w:val="0"/>
                  <w:vAlign w:val="center"/>
                </w:tcPr>
                <w:p w14:paraId="0A7903D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200L塑料桶生产线开模取件修边阶段</w:t>
                  </w:r>
                </w:p>
              </w:tc>
              <w:tc>
                <w:tcPr>
                  <w:tcW w:w="1794" w:type="dxa"/>
                  <w:noWrap w:val="0"/>
                  <w:vAlign w:val="center"/>
                </w:tcPr>
                <w:p w14:paraId="69D56DF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颗粒物</w:t>
                  </w:r>
                </w:p>
              </w:tc>
            </w:tr>
            <w:tr w14:paraId="3259D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426" w:type="dxa"/>
                  <w:vMerge w:val="continue"/>
                  <w:noWrap w:val="0"/>
                  <w:vAlign w:val="center"/>
                </w:tcPr>
                <w:p w14:paraId="435DE9F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olor w:val="auto"/>
                      <w:sz w:val="21"/>
                      <w:szCs w:val="21"/>
                    </w:rPr>
                  </w:pPr>
                </w:p>
              </w:tc>
              <w:tc>
                <w:tcPr>
                  <w:tcW w:w="945" w:type="dxa"/>
                  <w:noWrap w:val="0"/>
                  <w:vAlign w:val="center"/>
                </w:tcPr>
                <w:p w14:paraId="604C709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G</w:t>
                  </w:r>
                  <w:r>
                    <w:rPr>
                      <w:rFonts w:hint="eastAsia" w:ascii="Times New Roman" w:hAnsi="Times New Roman" w:eastAsia="宋体" w:cs="Times New Roman"/>
                      <w:b w:val="0"/>
                      <w:bCs w:val="0"/>
                      <w:color w:val="auto"/>
                      <w:sz w:val="21"/>
                      <w:szCs w:val="21"/>
                      <w:lang w:val="en-US" w:eastAsia="zh-CN"/>
                    </w:rPr>
                    <w:t>4</w:t>
                  </w:r>
                </w:p>
              </w:tc>
              <w:tc>
                <w:tcPr>
                  <w:tcW w:w="1661" w:type="dxa"/>
                  <w:noWrap w:val="0"/>
                  <w:vAlign w:val="center"/>
                </w:tcPr>
                <w:p w14:paraId="3FC2979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原料干燥废气</w:t>
                  </w:r>
                </w:p>
              </w:tc>
              <w:tc>
                <w:tcPr>
                  <w:tcW w:w="3803" w:type="dxa"/>
                  <w:noWrap w:val="0"/>
                  <w:vAlign w:val="center"/>
                </w:tcPr>
                <w:p w14:paraId="6B93E27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Style w:val="27"/>
                      <w:rFonts w:hint="default" w:ascii="Times New Roman" w:hAnsi="Times New Roman" w:eastAsia="宋体"/>
                      <w:b w:val="0"/>
                      <w:i w:val="0"/>
                      <w:color w:val="auto"/>
                      <w:sz w:val="21"/>
                      <w:szCs w:val="21"/>
                    </w:rPr>
                    <w:t>IBC吨桶</w:t>
                  </w:r>
                  <w:r>
                    <w:rPr>
                      <w:rFonts w:hint="eastAsia" w:ascii="Times New Roman" w:hAnsi="Times New Roman" w:eastAsia="宋体" w:cs="Times New Roman"/>
                      <w:b w:val="0"/>
                      <w:bCs w:val="0"/>
                      <w:color w:val="auto"/>
                      <w:sz w:val="21"/>
                      <w:szCs w:val="21"/>
                      <w:lang w:val="en-US" w:eastAsia="zh-CN"/>
                    </w:rPr>
                    <w:t>生产线原料混合干燥阶段</w:t>
                  </w:r>
                </w:p>
              </w:tc>
              <w:tc>
                <w:tcPr>
                  <w:tcW w:w="1794" w:type="dxa"/>
                  <w:noWrap w:val="0"/>
                  <w:vAlign w:val="center"/>
                </w:tcPr>
                <w:p w14:paraId="03E75C5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颗粒物、VOCs</w:t>
                  </w:r>
                </w:p>
              </w:tc>
            </w:tr>
            <w:tr w14:paraId="6B6E2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26" w:type="dxa"/>
                  <w:vMerge w:val="continue"/>
                  <w:noWrap w:val="0"/>
                  <w:vAlign w:val="center"/>
                </w:tcPr>
                <w:p w14:paraId="41D6012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c>
                <w:tcPr>
                  <w:tcW w:w="945" w:type="dxa"/>
                  <w:noWrap w:val="0"/>
                  <w:vAlign w:val="center"/>
                </w:tcPr>
                <w:p w14:paraId="527F483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G</w:t>
                  </w:r>
                  <w:r>
                    <w:rPr>
                      <w:rFonts w:hint="eastAsia" w:ascii="Times New Roman" w:hAnsi="Times New Roman" w:eastAsia="宋体" w:cs="Times New Roman"/>
                      <w:b w:val="0"/>
                      <w:bCs w:val="0"/>
                      <w:color w:val="auto"/>
                      <w:sz w:val="21"/>
                      <w:szCs w:val="21"/>
                      <w:lang w:val="en-US" w:eastAsia="zh-CN"/>
                    </w:rPr>
                    <w:t>5</w:t>
                  </w:r>
                </w:p>
              </w:tc>
              <w:tc>
                <w:tcPr>
                  <w:tcW w:w="1661" w:type="dxa"/>
                  <w:noWrap w:val="0"/>
                  <w:vAlign w:val="center"/>
                </w:tcPr>
                <w:p w14:paraId="2BDEF7B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吹塑成型废气</w:t>
                  </w:r>
                </w:p>
              </w:tc>
              <w:tc>
                <w:tcPr>
                  <w:tcW w:w="3803" w:type="dxa"/>
                  <w:noWrap w:val="0"/>
                  <w:vAlign w:val="center"/>
                </w:tcPr>
                <w:p w14:paraId="50BA972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Style w:val="27"/>
                      <w:rFonts w:hint="default" w:ascii="Times New Roman" w:hAnsi="Times New Roman" w:eastAsia="宋体"/>
                      <w:b w:val="0"/>
                      <w:i w:val="0"/>
                      <w:color w:val="auto"/>
                      <w:sz w:val="21"/>
                      <w:szCs w:val="21"/>
                    </w:rPr>
                    <w:t>IBC吨桶</w:t>
                  </w:r>
                  <w:r>
                    <w:rPr>
                      <w:rFonts w:hint="eastAsia" w:ascii="Times New Roman" w:hAnsi="Times New Roman" w:eastAsia="宋体" w:cs="Times New Roman"/>
                      <w:b w:val="0"/>
                      <w:bCs w:val="0"/>
                      <w:color w:val="auto"/>
                      <w:sz w:val="21"/>
                      <w:szCs w:val="21"/>
                      <w:lang w:val="en-US" w:eastAsia="zh-CN"/>
                    </w:rPr>
                    <w:t>生产线吹塑成型阶段</w:t>
                  </w:r>
                </w:p>
              </w:tc>
              <w:tc>
                <w:tcPr>
                  <w:tcW w:w="1794" w:type="dxa"/>
                  <w:noWrap w:val="0"/>
                  <w:vAlign w:val="center"/>
                </w:tcPr>
                <w:p w14:paraId="57631B8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颗粒物、VOCs</w:t>
                  </w:r>
                  <w:r>
                    <w:rPr>
                      <w:rFonts w:hint="eastAsia" w:cs="Times New Roman"/>
                      <w:b w:val="0"/>
                      <w:bCs w:val="0"/>
                      <w:color w:val="auto"/>
                      <w:sz w:val="21"/>
                      <w:szCs w:val="21"/>
                      <w:lang w:val="en-US" w:eastAsia="zh-CN"/>
                    </w:rPr>
                    <w:t>、臭气浓度</w:t>
                  </w:r>
                </w:p>
              </w:tc>
            </w:tr>
            <w:tr w14:paraId="6CF25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7" w:hRule="atLeast"/>
                <w:jc w:val="center"/>
              </w:trPr>
              <w:tc>
                <w:tcPr>
                  <w:tcW w:w="426" w:type="dxa"/>
                  <w:vMerge w:val="continue"/>
                  <w:noWrap w:val="0"/>
                  <w:vAlign w:val="center"/>
                </w:tcPr>
                <w:p w14:paraId="4B19F9F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c>
                <w:tcPr>
                  <w:tcW w:w="945" w:type="dxa"/>
                  <w:noWrap w:val="0"/>
                  <w:vAlign w:val="center"/>
                </w:tcPr>
                <w:p w14:paraId="5F288E5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G</w:t>
                  </w:r>
                  <w:r>
                    <w:rPr>
                      <w:rFonts w:hint="eastAsia" w:ascii="Times New Roman" w:hAnsi="Times New Roman" w:eastAsia="宋体" w:cs="Times New Roman"/>
                      <w:b w:val="0"/>
                      <w:bCs w:val="0"/>
                      <w:color w:val="auto"/>
                      <w:sz w:val="21"/>
                      <w:szCs w:val="21"/>
                      <w:lang w:val="en-US" w:eastAsia="zh-CN"/>
                    </w:rPr>
                    <w:t>6</w:t>
                  </w:r>
                </w:p>
              </w:tc>
              <w:tc>
                <w:tcPr>
                  <w:tcW w:w="1661" w:type="dxa"/>
                  <w:noWrap w:val="0"/>
                  <w:vAlign w:val="center"/>
                </w:tcPr>
                <w:p w14:paraId="32B43CF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修边粉碎废气</w:t>
                  </w:r>
                </w:p>
              </w:tc>
              <w:tc>
                <w:tcPr>
                  <w:tcW w:w="3803" w:type="dxa"/>
                  <w:noWrap w:val="0"/>
                  <w:vAlign w:val="center"/>
                </w:tcPr>
                <w:p w14:paraId="7D3E036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Style w:val="27"/>
                      <w:rFonts w:hint="default" w:ascii="Times New Roman" w:hAnsi="Times New Roman" w:eastAsia="宋体"/>
                      <w:b w:val="0"/>
                      <w:i w:val="0"/>
                      <w:color w:val="auto"/>
                      <w:sz w:val="21"/>
                      <w:szCs w:val="21"/>
                    </w:rPr>
                    <w:t>IBC吨桶</w:t>
                  </w:r>
                  <w:r>
                    <w:rPr>
                      <w:rFonts w:hint="eastAsia" w:ascii="Times New Roman" w:hAnsi="Times New Roman" w:eastAsia="宋体" w:cs="Times New Roman"/>
                      <w:b w:val="0"/>
                      <w:bCs w:val="0"/>
                      <w:color w:val="auto"/>
                      <w:sz w:val="21"/>
                      <w:szCs w:val="21"/>
                      <w:lang w:val="en-US" w:eastAsia="zh-CN"/>
                    </w:rPr>
                    <w:t>生产线开模取件修边阶段</w:t>
                  </w:r>
                </w:p>
              </w:tc>
              <w:tc>
                <w:tcPr>
                  <w:tcW w:w="1794" w:type="dxa"/>
                  <w:noWrap w:val="0"/>
                  <w:vAlign w:val="center"/>
                </w:tcPr>
                <w:p w14:paraId="55B5A05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颗粒物</w:t>
                  </w:r>
                </w:p>
              </w:tc>
            </w:tr>
            <w:tr w14:paraId="224C3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7" w:hRule="atLeast"/>
                <w:jc w:val="center"/>
              </w:trPr>
              <w:tc>
                <w:tcPr>
                  <w:tcW w:w="426" w:type="dxa"/>
                  <w:vMerge w:val="continue"/>
                  <w:noWrap w:val="0"/>
                  <w:vAlign w:val="center"/>
                </w:tcPr>
                <w:p w14:paraId="2524C98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c>
                <w:tcPr>
                  <w:tcW w:w="945" w:type="dxa"/>
                  <w:noWrap w:val="0"/>
                  <w:vAlign w:val="center"/>
                </w:tcPr>
                <w:p w14:paraId="12418EA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G</w:t>
                  </w:r>
                  <w:r>
                    <w:rPr>
                      <w:rFonts w:hint="eastAsia" w:ascii="Times New Roman" w:hAnsi="Times New Roman" w:eastAsia="宋体" w:cs="Times New Roman"/>
                      <w:b w:val="0"/>
                      <w:bCs w:val="0"/>
                      <w:color w:val="auto"/>
                      <w:sz w:val="21"/>
                      <w:szCs w:val="21"/>
                      <w:lang w:val="en-US" w:eastAsia="zh-CN"/>
                    </w:rPr>
                    <w:t>7</w:t>
                  </w:r>
                </w:p>
              </w:tc>
              <w:tc>
                <w:tcPr>
                  <w:tcW w:w="1661" w:type="dxa"/>
                  <w:noWrap w:val="0"/>
                  <w:vAlign w:val="center"/>
                </w:tcPr>
                <w:p w14:paraId="070BDA9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焊接废气</w:t>
                  </w:r>
                </w:p>
              </w:tc>
              <w:tc>
                <w:tcPr>
                  <w:tcW w:w="3803" w:type="dxa"/>
                  <w:noWrap w:val="0"/>
                  <w:vAlign w:val="center"/>
                </w:tcPr>
                <w:p w14:paraId="799AC91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金属框架焊接阶段</w:t>
                  </w:r>
                </w:p>
              </w:tc>
              <w:tc>
                <w:tcPr>
                  <w:tcW w:w="1794" w:type="dxa"/>
                  <w:noWrap w:val="0"/>
                  <w:vAlign w:val="center"/>
                </w:tcPr>
                <w:p w14:paraId="0F8EA34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颗粒物</w:t>
                  </w:r>
                </w:p>
              </w:tc>
            </w:tr>
            <w:tr w14:paraId="7181C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7" w:hRule="atLeast"/>
                <w:jc w:val="center"/>
              </w:trPr>
              <w:tc>
                <w:tcPr>
                  <w:tcW w:w="426" w:type="dxa"/>
                  <w:vMerge w:val="continue"/>
                  <w:noWrap w:val="0"/>
                  <w:vAlign w:val="center"/>
                </w:tcPr>
                <w:p w14:paraId="2D86AB5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c>
                <w:tcPr>
                  <w:tcW w:w="945" w:type="dxa"/>
                  <w:noWrap w:val="0"/>
                  <w:vAlign w:val="center"/>
                </w:tcPr>
                <w:p w14:paraId="0CB042B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G</w:t>
                  </w:r>
                  <w:r>
                    <w:rPr>
                      <w:rFonts w:hint="eastAsia" w:ascii="Times New Roman" w:hAnsi="Times New Roman" w:eastAsia="宋体" w:cs="Times New Roman"/>
                      <w:b w:val="0"/>
                      <w:bCs w:val="0"/>
                      <w:color w:val="auto"/>
                      <w:sz w:val="21"/>
                      <w:szCs w:val="21"/>
                      <w:lang w:val="en-US" w:eastAsia="zh-CN"/>
                    </w:rPr>
                    <w:t>8</w:t>
                  </w:r>
                </w:p>
              </w:tc>
              <w:tc>
                <w:tcPr>
                  <w:tcW w:w="1661" w:type="dxa"/>
                  <w:noWrap w:val="0"/>
                  <w:vAlign w:val="center"/>
                </w:tcPr>
                <w:p w14:paraId="66E94BB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打磨废气</w:t>
                  </w:r>
                </w:p>
              </w:tc>
              <w:tc>
                <w:tcPr>
                  <w:tcW w:w="3803" w:type="dxa"/>
                  <w:noWrap w:val="0"/>
                  <w:vAlign w:val="center"/>
                </w:tcPr>
                <w:p w14:paraId="4D0CD87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金属框架打磨阶段</w:t>
                  </w:r>
                </w:p>
              </w:tc>
              <w:tc>
                <w:tcPr>
                  <w:tcW w:w="1794" w:type="dxa"/>
                  <w:noWrap w:val="0"/>
                  <w:vAlign w:val="center"/>
                </w:tcPr>
                <w:p w14:paraId="0A91C53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颗粒物</w:t>
                  </w:r>
                </w:p>
              </w:tc>
            </w:tr>
            <w:tr w14:paraId="605B9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dxa"/>
                  <w:noWrap w:val="0"/>
                  <w:vAlign w:val="center"/>
                </w:tcPr>
                <w:p w14:paraId="6EE6A05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噪声</w:t>
                  </w:r>
                </w:p>
              </w:tc>
              <w:tc>
                <w:tcPr>
                  <w:tcW w:w="945" w:type="dxa"/>
                  <w:noWrap w:val="0"/>
                  <w:vAlign w:val="center"/>
                </w:tcPr>
                <w:p w14:paraId="17604D3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N</w:t>
                  </w:r>
                  <w:r>
                    <w:rPr>
                      <w:rFonts w:hint="eastAsia" w:ascii="Times New Roman" w:hAnsi="Times New Roman" w:eastAsia="宋体" w:cs="Times New Roman"/>
                      <w:b w:val="0"/>
                      <w:bCs w:val="0"/>
                      <w:color w:val="auto"/>
                      <w:sz w:val="21"/>
                      <w:szCs w:val="21"/>
                      <w:lang w:val="en-US" w:eastAsia="zh-CN"/>
                    </w:rPr>
                    <w:t>1~N5</w:t>
                  </w:r>
                </w:p>
              </w:tc>
              <w:tc>
                <w:tcPr>
                  <w:tcW w:w="1661" w:type="dxa"/>
                  <w:noWrap w:val="0"/>
                  <w:vAlign w:val="center"/>
                </w:tcPr>
                <w:p w14:paraId="20D3259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设备噪声</w:t>
                  </w:r>
                </w:p>
              </w:tc>
              <w:tc>
                <w:tcPr>
                  <w:tcW w:w="3803" w:type="dxa"/>
                  <w:noWrap w:val="0"/>
                  <w:vAlign w:val="center"/>
                </w:tcPr>
                <w:p w14:paraId="58CACE7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生产设备</w:t>
                  </w:r>
                </w:p>
              </w:tc>
              <w:tc>
                <w:tcPr>
                  <w:tcW w:w="1794" w:type="dxa"/>
                  <w:noWrap w:val="0"/>
                  <w:vAlign w:val="center"/>
                </w:tcPr>
                <w:p w14:paraId="4EB10B8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等效连续A声级（Leq）</w:t>
                  </w:r>
                </w:p>
              </w:tc>
            </w:tr>
            <w:tr w14:paraId="13758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dxa"/>
                  <w:vMerge w:val="restart"/>
                  <w:noWrap w:val="0"/>
                  <w:vAlign w:val="center"/>
                </w:tcPr>
                <w:p w14:paraId="4C1FEFA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固废</w:t>
                  </w:r>
                </w:p>
              </w:tc>
              <w:tc>
                <w:tcPr>
                  <w:tcW w:w="945" w:type="dxa"/>
                  <w:noWrap w:val="0"/>
                  <w:vAlign w:val="center"/>
                </w:tcPr>
                <w:p w14:paraId="42F1A9C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S1</w:t>
                  </w:r>
                </w:p>
              </w:tc>
              <w:tc>
                <w:tcPr>
                  <w:tcW w:w="1661" w:type="dxa"/>
                  <w:noWrap w:val="0"/>
                  <w:vAlign w:val="center"/>
                </w:tcPr>
                <w:p w14:paraId="01A6580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废塑料</w:t>
                  </w:r>
                </w:p>
              </w:tc>
              <w:tc>
                <w:tcPr>
                  <w:tcW w:w="3803" w:type="dxa"/>
                  <w:noWrap w:val="0"/>
                  <w:vAlign w:val="center"/>
                </w:tcPr>
                <w:p w14:paraId="4A66254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塑料容器生产</w:t>
                  </w:r>
                </w:p>
              </w:tc>
              <w:tc>
                <w:tcPr>
                  <w:tcW w:w="1794" w:type="dxa"/>
                  <w:noWrap w:val="0"/>
                  <w:vAlign w:val="center"/>
                </w:tcPr>
                <w:p w14:paraId="688655A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塑料边角料、修边废料</w:t>
                  </w:r>
                </w:p>
              </w:tc>
            </w:tr>
            <w:tr w14:paraId="19A4E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dxa"/>
                  <w:vMerge w:val="continue"/>
                  <w:noWrap w:val="0"/>
                  <w:vAlign w:val="center"/>
                </w:tcPr>
                <w:p w14:paraId="589FFF6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c>
                <w:tcPr>
                  <w:tcW w:w="945" w:type="dxa"/>
                  <w:noWrap w:val="0"/>
                  <w:vAlign w:val="center"/>
                </w:tcPr>
                <w:p w14:paraId="5E60F97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S</w:t>
                  </w:r>
                  <w:r>
                    <w:rPr>
                      <w:rFonts w:hint="eastAsia" w:ascii="Times New Roman" w:hAnsi="Times New Roman" w:eastAsia="宋体" w:cs="Times New Roman"/>
                      <w:b w:val="0"/>
                      <w:bCs w:val="0"/>
                      <w:color w:val="auto"/>
                      <w:sz w:val="21"/>
                      <w:szCs w:val="21"/>
                      <w:lang w:val="en-US" w:eastAsia="zh-CN"/>
                    </w:rPr>
                    <w:t>2</w:t>
                  </w:r>
                </w:p>
              </w:tc>
              <w:tc>
                <w:tcPr>
                  <w:tcW w:w="1661" w:type="dxa"/>
                  <w:noWrap w:val="0"/>
                  <w:vAlign w:val="center"/>
                </w:tcPr>
                <w:p w14:paraId="758A687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废活性炭</w:t>
                  </w:r>
                </w:p>
              </w:tc>
              <w:tc>
                <w:tcPr>
                  <w:tcW w:w="3803" w:type="dxa"/>
                  <w:noWrap w:val="0"/>
                  <w:vAlign w:val="center"/>
                </w:tcPr>
                <w:p w14:paraId="1D7513E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活性炭吸附装置</w:t>
                  </w:r>
                </w:p>
              </w:tc>
              <w:tc>
                <w:tcPr>
                  <w:tcW w:w="1794" w:type="dxa"/>
                  <w:noWrap w:val="0"/>
                  <w:vAlign w:val="center"/>
                </w:tcPr>
                <w:p w14:paraId="44126C2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废活性炭</w:t>
                  </w:r>
                </w:p>
              </w:tc>
            </w:tr>
            <w:tr w14:paraId="6FBB4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dxa"/>
                  <w:vMerge w:val="continue"/>
                  <w:noWrap w:val="0"/>
                  <w:vAlign w:val="center"/>
                </w:tcPr>
                <w:p w14:paraId="2AEB15C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c>
                <w:tcPr>
                  <w:tcW w:w="945" w:type="dxa"/>
                  <w:noWrap w:val="0"/>
                  <w:vAlign w:val="center"/>
                </w:tcPr>
                <w:p w14:paraId="5930373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S</w:t>
                  </w:r>
                  <w:r>
                    <w:rPr>
                      <w:rFonts w:hint="eastAsia" w:ascii="Times New Roman" w:hAnsi="Times New Roman" w:eastAsia="宋体" w:cs="Times New Roman"/>
                      <w:b w:val="0"/>
                      <w:bCs w:val="0"/>
                      <w:color w:val="auto"/>
                      <w:sz w:val="21"/>
                      <w:szCs w:val="21"/>
                      <w:lang w:val="en-US" w:eastAsia="zh-CN"/>
                    </w:rPr>
                    <w:t>3</w:t>
                  </w:r>
                </w:p>
              </w:tc>
              <w:tc>
                <w:tcPr>
                  <w:tcW w:w="1661" w:type="dxa"/>
                  <w:noWrap w:val="0"/>
                  <w:vAlign w:val="center"/>
                </w:tcPr>
                <w:p w14:paraId="602AB6C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废钢管</w:t>
                  </w:r>
                </w:p>
              </w:tc>
              <w:tc>
                <w:tcPr>
                  <w:tcW w:w="3803" w:type="dxa"/>
                  <w:noWrap w:val="0"/>
                  <w:vAlign w:val="center"/>
                </w:tcPr>
                <w:p w14:paraId="0366A70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钢管切割与弯管</w:t>
                  </w:r>
                </w:p>
              </w:tc>
              <w:tc>
                <w:tcPr>
                  <w:tcW w:w="1794" w:type="dxa"/>
                  <w:noWrap w:val="0"/>
                  <w:vAlign w:val="center"/>
                </w:tcPr>
                <w:p w14:paraId="186781D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钢管切割废料</w:t>
                  </w:r>
                </w:p>
              </w:tc>
            </w:tr>
            <w:tr w14:paraId="024DE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dxa"/>
                  <w:vMerge w:val="continue"/>
                  <w:noWrap w:val="0"/>
                  <w:vAlign w:val="center"/>
                </w:tcPr>
                <w:p w14:paraId="075532F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c>
                <w:tcPr>
                  <w:tcW w:w="945" w:type="dxa"/>
                  <w:noWrap w:val="0"/>
                  <w:vAlign w:val="center"/>
                </w:tcPr>
                <w:p w14:paraId="4F029AE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S</w:t>
                  </w:r>
                  <w:r>
                    <w:rPr>
                      <w:rFonts w:hint="eastAsia" w:ascii="Times New Roman" w:hAnsi="Times New Roman" w:eastAsia="宋体" w:cs="Times New Roman"/>
                      <w:b w:val="0"/>
                      <w:bCs w:val="0"/>
                      <w:color w:val="auto"/>
                      <w:sz w:val="21"/>
                      <w:szCs w:val="21"/>
                      <w:lang w:val="en-US" w:eastAsia="zh-CN"/>
                    </w:rPr>
                    <w:t>4</w:t>
                  </w:r>
                </w:p>
              </w:tc>
              <w:tc>
                <w:tcPr>
                  <w:tcW w:w="1661" w:type="dxa"/>
                  <w:noWrap w:val="0"/>
                  <w:vAlign w:val="center"/>
                </w:tcPr>
                <w:p w14:paraId="2FFFE15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焊接焊渣</w:t>
                  </w:r>
                </w:p>
              </w:tc>
              <w:tc>
                <w:tcPr>
                  <w:tcW w:w="3803" w:type="dxa"/>
                  <w:noWrap w:val="0"/>
                  <w:vAlign w:val="center"/>
                </w:tcPr>
                <w:p w14:paraId="776D1AB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金属框架焊接</w:t>
                  </w:r>
                </w:p>
              </w:tc>
              <w:tc>
                <w:tcPr>
                  <w:tcW w:w="1794" w:type="dxa"/>
                  <w:noWrap w:val="0"/>
                  <w:vAlign w:val="center"/>
                </w:tcPr>
                <w:p w14:paraId="099689D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焊渣</w:t>
                  </w:r>
                </w:p>
              </w:tc>
            </w:tr>
            <w:tr w14:paraId="551DA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dxa"/>
                  <w:vMerge w:val="continue"/>
                  <w:noWrap w:val="0"/>
                  <w:vAlign w:val="center"/>
                </w:tcPr>
                <w:p w14:paraId="52312F4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p>
              </w:tc>
              <w:tc>
                <w:tcPr>
                  <w:tcW w:w="945" w:type="dxa"/>
                  <w:noWrap w:val="0"/>
                  <w:vAlign w:val="center"/>
                </w:tcPr>
                <w:p w14:paraId="0EC385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S</w:t>
                  </w:r>
                  <w:r>
                    <w:rPr>
                      <w:rFonts w:hint="eastAsia" w:ascii="Times New Roman" w:hAnsi="Times New Roman" w:eastAsia="宋体" w:cs="Times New Roman"/>
                      <w:b w:val="0"/>
                      <w:bCs w:val="0"/>
                      <w:color w:val="auto"/>
                      <w:sz w:val="21"/>
                      <w:szCs w:val="21"/>
                      <w:lang w:val="en-US" w:eastAsia="zh-CN"/>
                    </w:rPr>
                    <w:t>5</w:t>
                  </w:r>
                </w:p>
              </w:tc>
              <w:tc>
                <w:tcPr>
                  <w:tcW w:w="1661" w:type="dxa"/>
                  <w:noWrap w:val="0"/>
                  <w:vAlign w:val="center"/>
                </w:tcPr>
                <w:p w14:paraId="250E4E0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打磨粉尘</w:t>
                  </w:r>
                </w:p>
              </w:tc>
              <w:tc>
                <w:tcPr>
                  <w:tcW w:w="3803" w:type="dxa"/>
                  <w:noWrap w:val="0"/>
                  <w:vAlign w:val="center"/>
                </w:tcPr>
                <w:p w14:paraId="3359A0B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金属框架打磨</w:t>
                  </w:r>
                </w:p>
              </w:tc>
              <w:tc>
                <w:tcPr>
                  <w:tcW w:w="1794" w:type="dxa"/>
                  <w:noWrap w:val="0"/>
                  <w:vAlign w:val="center"/>
                </w:tcPr>
                <w:p w14:paraId="5E2790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打磨收尘</w:t>
                  </w:r>
                </w:p>
              </w:tc>
            </w:tr>
          </w:tbl>
          <w:p w14:paraId="1316CC45">
            <w:pPr>
              <w:keepNext w:val="0"/>
              <w:keepLines w:val="0"/>
              <w:pageBreakBefore w:val="0"/>
              <w:suppressLineNumbers w:val="0"/>
              <w:kinsoku/>
              <w:wordWrap/>
              <w:overflowPunct/>
              <w:topLinePunct w:val="0"/>
              <w:bidi w:val="0"/>
              <w:adjustRightInd w:val="0"/>
              <w:snapToGrid w:val="0"/>
              <w:spacing w:before="0" w:beforeAutospacing="0" w:after="0" w:afterLines="0" w:afterAutospacing="0" w:line="276" w:lineRule="auto"/>
              <w:ind w:left="0" w:right="0"/>
              <w:textAlignment w:val="auto"/>
              <w:rPr>
                <w:rFonts w:hint="default" w:ascii="Times New Roman" w:hAnsi="Times New Roman" w:eastAsia="宋体" w:cs="Times New Roman"/>
                <w:bCs/>
                <w:color w:val="auto"/>
                <w:szCs w:val="21"/>
              </w:rPr>
            </w:pPr>
          </w:p>
        </w:tc>
      </w:tr>
      <w:tr w14:paraId="7AFDD2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423" w:type="dxa"/>
            <w:noWrap w:val="0"/>
            <w:vAlign w:val="center"/>
          </w:tcPr>
          <w:p w14:paraId="0F04345E">
            <w:pPr>
              <w:pStyle w:val="21"/>
              <w:keepNext w:val="0"/>
              <w:keepLines w:val="0"/>
              <w:pageBreakBefore w:val="0"/>
              <w:suppressLineNumbers w:val="0"/>
              <w:kinsoku/>
              <w:wordWrap/>
              <w:overflowPunct/>
              <w:topLinePunct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kern w:val="2"/>
                <w:sz w:val="24"/>
                <w:szCs w:val="24"/>
              </w:rPr>
              <w:t>与项目有关的原有环境污染问题</w:t>
            </w:r>
          </w:p>
        </w:tc>
        <w:tc>
          <w:tcPr>
            <w:tcW w:w="8844" w:type="dxa"/>
            <w:noWrap w:val="0"/>
            <w:vAlign w:val="top"/>
          </w:tcPr>
          <w:p w14:paraId="20A1075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本项目为新建项目，位于</w:t>
            </w:r>
            <w:r>
              <w:rPr>
                <w:rFonts w:hint="default" w:ascii="Times New Roman" w:hAnsi="Times New Roman" w:eastAsia="宋体" w:cs="Times New Roman"/>
                <w:color w:val="auto"/>
                <w:kern w:val="0"/>
                <w:szCs w:val="21"/>
                <w:lang w:val="en-US" w:eastAsia="zh-CN"/>
              </w:rPr>
              <w:t>内蒙古美力坚清蓝危废处置有限公司处置区预留土地</w:t>
            </w:r>
            <w:r>
              <w:rPr>
                <w:rFonts w:hint="eastAsia" w:ascii="Times New Roman" w:hAnsi="Times New Roman" w:eastAsia="宋体" w:cs="Times New Roman"/>
                <w:color w:val="auto"/>
                <w:kern w:val="0"/>
                <w:szCs w:val="21"/>
                <w:lang w:val="en-US" w:eastAsia="zh-CN"/>
              </w:rPr>
              <w:t>上，办公依托已有办公楼；供水供电依托厂区现有供水及供电设施，由园区供给；厂区已建一座</w:t>
            </w:r>
            <w:r>
              <w:rPr>
                <w:rFonts w:hint="default" w:ascii="Times New Roman" w:hAnsi="Times New Roman" w:eastAsia="宋体" w:cs="Times New Roman"/>
                <w:color w:val="auto"/>
                <w:kern w:val="0"/>
                <w:szCs w:val="21"/>
                <w:lang w:val="en-US" w:eastAsia="zh-CN"/>
              </w:rPr>
              <w:t>规模为200</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Cs w:val="21"/>
                <w:lang w:val="en-US" w:eastAsia="zh-CN"/>
              </w:rPr>
              <w:t>/d</w:t>
            </w:r>
            <w:r>
              <w:rPr>
                <w:rFonts w:hint="eastAsia" w:ascii="Times New Roman" w:hAnsi="Times New Roman" w:eastAsia="宋体" w:cs="Times New Roman"/>
                <w:color w:val="auto"/>
                <w:kern w:val="0"/>
                <w:szCs w:val="21"/>
                <w:lang w:val="en-US" w:eastAsia="zh-CN"/>
              </w:rPr>
              <w:t>的</w:t>
            </w:r>
            <w:r>
              <w:rPr>
                <w:rFonts w:hint="default" w:ascii="Times New Roman" w:hAnsi="Times New Roman" w:eastAsia="宋体" w:cs="Times New Roman"/>
                <w:color w:val="auto"/>
                <w:kern w:val="0"/>
                <w:szCs w:val="21"/>
                <w:lang w:val="en-US" w:eastAsia="zh-CN"/>
              </w:rPr>
              <w:t>污水处理站</w:t>
            </w:r>
            <w:r>
              <w:rPr>
                <w:rFonts w:hint="eastAsia" w:ascii="Times New Roman" w:hAnsi="Times New Roman" w:eastAsia="宋体" w:cs="Times New Roman"/>
                <w:color w:val="auto"/>
                <w:kern w:val="0"/>
                <w:szCs w:val="21"/>
                <w:lang w:val="en-US" w:eastAsia="zh-CN"/>
              </w:rPr>
              <w:t>，和</w:t>
            </w:r>
            <w:r>
              <w:rPr>
                <w:rFonts w:hint="default" w:ascii="Times New Roman" w:hAnsi="Times New Roman" w:eastAsia="宋体" w:cs="Times New Roman"/>
                <w:color w:val="auto"/>
                <w:kern w:val="0"/>
                <w:szCs w:val="21"/>
                <w:lang w:val="en-US" w:eastAsia="zh-CN"/>
              </w:rPr>
              <w:t>一座有效容积为1000</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Cs w:val="21"/>
                <w:lang w:val="en-US" w:eastAsia="zh-CN"/>
              </w:rPr>
              <w:t>的事故水池兼做消防废水收集池</w:t>
            </w:r>
            <w:r>
              <w:rPr>
                <w:rFonts w:hint="eastAsia" w:ascii="Times New Roman" w:hAnsi="Times New Roman" w:eastAsia="宋体" w:cs="Times New Roman"/>
                <w:color w:val="auto"/>
                <w:kern w:val="0"/>
                <w:szCs w:val="21"/>
                <w:lang w:val="en-US" w:eastAsia="zh-CN"/>
              </w:rPr>
              <w:t>。</w:t>
            </w:r>
          </w:p>
          <w:p w14:paraId="45EFF95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color w:val="auto"/>
              </w:rPr>
            </w:pPr>
            <w:r>
              <w:rPr>
                <w:rFonts w:hint="eastAsia" w:cs="Times New Roman"/>
                <w:color w:val="auto"/>
                <w:kern w:val="0"/>
                <w:szCs w:val="21"/>
                <w:highlight w:val="none"/>
                <w:lang w:val="en-US" w:eastAsia="zh-CN"/>
              </w:rPr>
              <w:t>根据例行监测报告可知，现有厂区厂界无组织废气氟化物、氯化物、颗粒物、硫酸雾、非甲烷总烃排放满足《大气污染物综合排放标准》（GB16297-1996）表2限值要求，氨、硫化氢排放满足《恶臭污染物排放标准》（GB14554-93）表1限值要求；厂界噪声昼间在51dB~54dB之间，夜间在42dB~46dB之间，排放满足</w:t>
            </w:r>
            <w:r>
              <w:rPr>
                <w:rFonts w:hint="eastAsia" w:ascii="Times New Roman" w:hAnsi="Times New Roman" w:eastAsia="宋体" w:cs="Times New Roman"/>
                <w:color w:val="auto"/>
                <w:kern w:val="0"/>
                <w:szCs w:val="21"/>
                <w:highlight w:val="none"/>
                <w:lang w:val="en-US" w:eastAsia="zh-CN"/>
              </w:rPr>
              <w:t>《工业企业厂界环境噪声排放标准》（GB12348-2008）</w:t>
            </w:r>
            <w:r>
              <w:rPr>
                <w:rFonts w:hint="eastAsia" w:cs="Times New Roman"/>
                <w:color w:val="auto"/>
                <w:kern w:val="0"/>
                <w:szCs w:val="21"/>
                <w:highlight w:val="none"/>
                <w:lang w:val="en-US" w:eastAsia="zh-CN"/>
              </w:rPr>
              <w:t>3类限值要求；厂区废水经厂区现有污水处理站处理后的废水，满足</w:t>
            </w:r>
            <w:r>
              <w:rPr>
                <w:rFonts w:hint="eastAsia" w:ascii="Times New Roman" w:hAnsi="Times New Roman" w:eastAsia="宋体" w:cs="Times New Roman"/>
                <w:b w:val="0"/>
                <w:bCs w:val="0"/>
                <w:color w:val="auto"/>
                <w:szCs w:val="21"/>
                <w:highlight w:val="none"/>
                <w:lang w:val="en-US" w:eastAsia="zh-CN"/>
              </w:rPr>
              <w:t>《城市污水再生利用工业用水水质》</w:t>
            </w:r>
            <w:r>
              <w:rPr>
                <w:rFonts w:hint="default" w:ascii="Times New Roman" w:hAnsi="Times New Roman" w:eastAsia="宋体" w:cs="Times New Roman"/>
                <w:b w:val="0"/>
                <w:bCs w:val="0"/>
                <w:color w:val="auto"/>
                <w:szCs w:val="21"/>
                <w:highlight w:val="none"/>
                <w:lang w:val="en-US" w:eastAsia="zh-CN"/>
              </w:rPr>
              <w:t>(GB/T19923-20</w:t>
            </w:r>
            <w:r>
              <w:rPr>
                <w:rFonts w:hint="eastAsia" w:ascii="Times New Roman" w:hAnsi="Times New Roman" w:eastAsia="宋体" w:cs="Times New Roman"/>
                <w:b w:val="0"/>
                <w:bCs w:val="0"/>
                <w:color w:val="auto"/>
                <w:szCs w:val="21"/>
                <w:highlight w:val="none"/>
                <w:lang w:val="en-US" w:eastAsia="zh-CN"/>
              </w:rPr>
              <w:t>24</w:t>
            </w:r>
            <w:r>
              <w:rPr>
                <w:rFonts w:hint="default" w:ascii="Times New Roman" w:hAnsi="Times New Roman" w:eastAsia="宋体" w:cs="Times New Roman"/>
                <w:b w:val="0"/>
                <w:bCs w:val="0"/>
                <w:color w:val="auto"/>
                <w:szCs w:val="21"/>
                <w:highlight w:val="none"/>
                <w:lang w:val="en-US" w:eastAsia="zh-CN"/>
              </w:rPr>
              <w:t>)</w:t>
            </w:r>
            <w:r>
              <w:rPr>
                <w:rFonts w:hint="eastAsia" w:ascii="Times New Roman" w:hAnsi="Times New Roman" w:eastAsia="宋体" w:cs="Times New Roman"/>
                <w:b w:val="0"/>
                <w:bCs w:val="0"/>
                <w:color w:val="auto"/>
                <w:szCs w:val="21"/>
                <w:highlight w:val="none"/>
                <w:lang w:val="en-US" w:eastAsia="zh-CN"/>
              </w:rPr>
              <w:t>中表</w:t>
            </w:r>
            <w:r>
              <w:rPr>
                <w:rFonts w:hint="default" w:ascii="Times New Roman" w:hAnsi="Times New Roman" w:eastAsia="宋体" w:cs="Times New Roman"/>
                <w:b w:val="0"/>
                <w:bCs w:val="0"/>
                <w:color w:val="auto"/>
                <w:szCs w:val="21"/>
                <w:highlight w:val="none"/>
                <w:lang w:val="en-US" w:eastAsia="zh-CN"/>
              </w:rPr>
              <w:t>1</w:t>
            </w:r>
            <w:r>
              <w:rPr>
                <w:rFonts w:hint="eastAsia" w:ascii="Times New Roman" w:hAnsi="Times New Roman" w:eastAsia="宋体" w:cs="Times New Roman"/>
                <w:b w:val="0"/>
                <w:bCs w:val="0"/>
                <w:color w:val="auto"/>
                <w:szCs w:val="21"/>
                <w:highlight w:val="none"/>
                <w:lang w:val="en-US" w:eastAsia="zh-CN"/>
              </w:rPr>
              <w:t>限值要求后，</w:t>
            </w:r>
            <w:r>
              <w:rPr>
                <w:rFonts w:hint="default" w:ascii="Times New Roman" w:hAnsi="Times New Roman" w:eastAsia="宋体" w:cs="Times New Roman"/>
                <w:color w:val="auto"/>
                <w:kern w:val="0"/>
                <w:sz w:val="24"/>
                <w:szCs w:val="24"/>
                <w:highlight w:val="none"/>
                <w:lang w:val="en-US" w:eastAsia="zh-CN"/>
              </w:rPr>
              <w:t>全部回用于固化及焚烧车间，浓水排入物化车间污水处理系统，不外排</w:t>
            </w:r>
            <w:r>
              <w:rPr>
                <w:rFonts w:hint="eastAsia" w:ascii="Times New Roman" w:hAnsi="Times New Roman" w:eastAsia="宋体" w:cs="Times New Roman"/>
                <w:color w:val="auto"/>
                <w:kern w:val="0"/>
                <w:szCs w:val="21"/>
                <w:highlight w:val="none"/>
                <w:lang w:val="en-US" w:eastAsia="zh-CN"/>
              </w:rPr>
              <w:t>。</w:t>
            </w:r>
          </w:p>
          <w:p w14:paraId="6270FBB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根据内蒙古美力坚清蓝危废处置有限公司</w:t>
            </w:r>
            <w:r>
              <w:rPr>
                <w:rFonts w:hint="eastAsia" w:cs="Times New Roman"/>
                <w:color w:val="auto"/>
                <w:kern w:val="0"/>
                <w:szCs w:val="21"/>
                <w:lang w:val="en-US" w:eastAsia="zh-CN"/>
              </w:rPr>
              <w:t>2026年3月8日~11日</w:t>
            </w:r>
            <w:r>
              <w:rPr>
                <w:rFonts w:hint="eastAsia" w:ascii="Times New Roman" w:hAnsi="Times New Roman" w:eastAsia="宋体" w:cs="Times New Roman"/>
                <w:color w:val="auto"/>
                <w:kern w:val="0"/>
                <w:szCs w:val="21"/>
                <w:lang w:val="en-US" w:eastAsia="zh-CN"/>
              </w:rPr>
              <w:t>地下水例行监测报告，</w:t>
            </w:r>
            <w:r>
              <w:rPr>
                <w:rFonts w:hint="eastAsia" w:cs="Times New Roman"/>
                <w:color w:val="auto"/>
                <w:kern w:val="0"/>
                <w:szCs w:val="21"/>
                <w:lang w:val="en-US" w:eastAsia="zh-CN"/>
              </w:rPr>
              <w:t>全厂共设置了3个地下水监测井，分别</w:t>
            </w:r>
            <w:r>
              <w:rPr>
                <w:rFonts w:hint="eastAsia" w:ascii="Times New Roman" w:hAnsi="Times New Roman" w:eastAsia="宋体" w:cs="Times New Roman"/>
                <w:color w:val="auto"/>
                <w:kern w:val="0"/>
                <w:szCs w:val="21"/>
                <w:lang w:val="en-US" w:eastAsia="zh-CN"/>
              </w:rPr>
              <w:t>位于综合厂厂区东侧围墙外10m(上游对照井)</w:t>
            </w:r>
            <w:r>
              <w:rPr>
                <w:rFonts w:hint="eastAsia" w:cs="Times New Roman"/>
                <w:color w:val="auto"/>
                <w:kern w:val="0"/>
                <w:szCs w:val="21"/>
                <w:lang w:val="en-US" w:eastAsia="zh-CN"/>
              </w:rPr>
              <w:t>、厂区危废暂存库西侧靠近厂区边界下游监测井、远期预留用地西侧靠近厂区边界下游监测井，其中</w:t>
            </w:r>
            <w:r>
              <w:rPr>
                <w:rFonts w:hint="eastAsia" w:ascii="Times New Roman" w:hAnsi="Times New Roman" w:eastAsia="宋体" w:cs="Times New Roman"/>
                <w:color w:val="auto"/>
                <w:kern w:val="0"/>
                <w:szCs w:val="21"/>
                <w:lang w:val="en-US" w:eastAsia="zh-CN"/>
              </w:rPr>
              <w:t>地下水溶解性总固体（超标1个点）、硫酸盐（超标1个点）、氯化物（超标3个点）、氟化物（超标3个点）、钠（超标2个点）超标。除此之外，其它监测点其它监测因子皆满足《地下水质量标准》（GB/T14848-2017）中Ⅲ类标准。</w:t>
            </w:r>
          </w:p>
          <w:p w14:paraId="1DF1E93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color w:val="auto"/>
              </w:rPr>
            </w:pPr>
            <w:r>
              <w:rPr>
                <w:rFonts w:hint="eastAsia" w:ascii="Times New Roman"/>
                <w:color w:val="auto"/>
                <w:lang w:val="en-US" w:eastAsia="zh-CN"/>
              </w:rPr>
              <w:t>根据</w:t>
            </w:r>
            <w:r>
              <w:rPr>
                <w:rFonts w:hint="default" w:ascii="Times New Roman"/>
                <w:color w:val="auto"/>
              </w:rPr>
              <w:t>《内蒙古蒙西高新技术工业园区地下水环境状况初步调查评估报告》</w:t>
            </w:r>
            <w:r>
              <w:rPr>
                <w:rFonts w:hint="eastAsia" w:ascii="Times New Roman"/>
                <w:color w:val="auto"/>
                <w:lang w:eastAsia="zh-CN"/>
              </w:rPr>
              <w:t>，</w:t>
            </w:r>
            <w:r>
              <w:rPr>
                <w:rFonts w:hint="default" w:ascii="Times New Roman"/>
                <w:color w:val="auto"/>
              </w:rPr>
              <w:t>该调查评估报告结合蒙西地区历史监测数据对超标因子超标原因进行了分析，结论为：蒙西镇位于千里山西侧和黄河东岸，地形为山前冲洪积平原，地下水系统属于山前台地与黄河冲积平原地下水系统，分为松散岩类孔隙潜水和半承压水，含水层为中更新统冲积、洪积层，岩性为浅黄色卵砾石、砂砾石、粗砂及中细砂，地下水径流方向由东向西，最终排泄于黄河。地下水在从山前到平原径流排泄过程中，水岩作用使含水层介质中大量的盐分溶解至地下水中，同时平原区地下水径流水力梯度变小（约为0.7‰），地下水径流滞缓，地下水的蒸发浓缩作用强烈，大量的溶质富集，造成盐类超标。因此，结合蒙西地区地下水历史监测数据分析和区域地质背景，蒙西地下水中溶解性总固体、总硬度、氯化物、氟化物、钠、硫酸盐背景值较高，存在超标现象。</w:t>
            </w:r>
          </w:p>
          <w:p w14:paraId="6AE450E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color w:val="auto"/>
              </w:rPr>
            </w:pPr>
            <w:r>
              <w:rPr>
                <w:rFonts w:hint="default" w:ascii="Times New Roman"/>
                <w:color w:val="auto"/>
              </w:rPr>
              <w:t>根据调查评估报告可知，蒙西园区所在区域地下水中总硬度、溶解性总固体、氟化物、硫酸盐、钠和氯化物均存在超标</w:t>
            </w:r>
            <w:r>
              <w:rPr>
                <w:rFonts w:hint="eastAsia"/>
                <w:color w:val="auto"/>
                <w:lang w:val="en-US" w:eastAsia="zh-CN"/>
              </w:rPr>
              <w:t>现象</w:t>
            </w:r>
            <w:r>
              <w:rPr>
                <w:rFonts w:hint="default" w:ascii="Times New Roman"/>
                <w:color w:val="auto"/>
              </w:rPr>
              <w:t>，超标原因为该区域内天然水文地质条件所致。</w:t>
            </w:r>
          </w:p>
          <w:p w14:paraId="040F4AE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olor w:val="auto"/>
                <w:lang w:val="zh-CN" w:eastAsia="zh-CN"/>
              </w:rPr>
            </w:pPr>
            <w:r>
              <w:rPr>
                <w:rFonts w:hint="eastAsia" w:ascii="Times New Roman" w:hAnsi="Times New Roman" w:eastAsia="宋体"/>
                <w:color w:val="auto"/>
                <w:lang w:val="en-US" w:eastAsia="zh-CN"/>
              </w:rPr>
              <w:t>根据引用土壤监测结果可知，土壤各点位检测因子均</w:t>
            </w:r>
            <w:r>
              <w:rPr>
                <w:rFonts w:hint="default" w:ascii="Times New Roman" w:hAnsi="Times New Roman" w:eastAsia="宋体"/>
                <w:color w:val="auto"/>
                <w:lang w:val="en-US" w:eastAsia="zh-CN"/>
              </w:rPr>
              <w:t>满足</w:t>
            </w:r>
            <w:r>
              <w:rPr>
                <w:rFonts w:hint="eastAsia" w:ascii="Times New Roman" w:hAnsi="Times New Roman" w:eastAsia="宋体"/>
                <w:color w:val="auto"/>
                <w:lang w:val="en-US" w:eastAsia="zh-CN"/>
              </w:rPr>
              <w:t>《</w:t>
            </w:r>
            <w:r>
              <w:rPr>
                <w:rFonts w:hint="eastAsia" w:ascii="Times New Roman" w:hAnsi="Times New Roman" w:eastAsia="宋体"/>
                <w:color w:val="auto"/>
                <w:lang w:val="zh-CN" w:eastAsia="zh-CN"/>
              </w:rPr>
              <w:t>土壤环境质量建设用地土壤污染风险管控标准</w:t>
            </w:r>
            <w:r>
              <w:rPr>
                <w:rFonts w:hint="eastAsia" w:ascii="Times New Roman" w:hAnsi="Times New Roman" w:eastAsia="宋体"/>
                <w:color w:val="auto"/>
                <w:lang w:val="en-US" w:eastAsia="zh-CN"/>
              </w:rPr>
              <w:t>》</w:t>
            </w:r>
            <w:r>
              <w:rPr>
                <w:rFonts w:hint="eastAsia" w:ascii="Times New Roman" w:hAnsi="Times New Roman" w:eastAsia="宋体"/>
                <w:color w:val="auto"/>
                <w:lang w:val="zh-CN" w:eastAsia="zh-CN"/>
              </w:rPr>
              <w:t>GB36600-2018</w:t>
            </w:r>
            <w:r>
              <w:rPr>
                <w:rFonts w:hint="eastAsia" w:ascii="Times New Roman" w:hAnsi="Times New Roman" w:eastAsia="宋体"/>
                <w:color w:val="auto"/>
                <w:lang w:val="en-US" w:eastAsia="zh-CN"/>
              </w:rPr>
              <w:t>中</w:t>
            </w:r>
            <w:r>
              <w:rPr>
                <w:rFonts w:hint="eastAsia" w:ascii="Times New Roman" w:hAnsi="Times New Roman" w:eastAsia="宋体"/>
                <w:color w:val="auto"/>
                <w:lang w:val="zh-CN" w:eastAsia="zh-CN"/>
              </w:rPr>
              <w:t>筛选值第二类标准限值要求。</w:t>
            </w:r>
          </w:p>
          <w:p w14:paraId="1989B3B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color w:val="auto"/>
                <w:lang w:val="en-US" w:eastAsia="zh-CN"/>
              </w:rPr>
            </w:pPr>
            <w:r>
              <w:rPr>
                <w:rFonts w:hint="eastAsia" w:ascii="Times New Roman" w:hAnsi="Times New Roman" w:eastAsia="宋体"/>
                <w:color w:val="auto"/>
                <w:lang w:val="en-US" w:eastAsia="zh-CN"/>
              </w:rPr>
              <w:t>因此本项目无原有环境污染问题。</w:t>
            </w:r>
          </w:p>
        </w:tc>
      </w:tr>
    </w:tbl>
    <w:p w14:paraId="5D73C0D0">
      <w:pPr>
        <w:pStyle w:val="21"/>
        <w:keepNext w:val="0"/>
        <w:keepLines w:val="0"/>
        <w:pageBreakBefore w:val="0"/>
        <w:kinsoku/>
        <w:overflowPunct/>
        <w:bidi w:val="0"/>
        <w:spacing w:before="0" w:beforeAutospacing="0" w:after="0" w:afterLines="0" w:afterAutospacing="0"/>
        <w:jc w:val="center"/>
        <w:textAlignment w:val="auto"/>
        <w:rPr>
          <w:rFonts w:ascii="Times New Roman" w:hAnsi="Times New Roman" w:eastAsia="宋体"/>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7318ADAE">
      <w:pPr>
        <w:pStyle w:val="21"/>
        <w:keepNext w:val="0"/>
        <w:keepLines w:val="0"/>
        <w:pageBreakBefore w:val="0"/>
        <w:kinsoku/>
        <w:overflowPunct/>
        <w:bidi w:val="0"/>
        <w:adjustRightInd w:val="0"/>
        <w:snapToGrid w:val="0"/>
        <w:spacing w:before="0" w:beforeAutospacing="0" w:after="0" w:afterLines="0" w:afterAutospacing="0" w:line="15" w:lineRule="auto"/>
        <w:jc w:val="center"/>
        <w:textAlignment w:val="auto"/>
        <w:rPr>
          <w:rFonts w:ascii="Times New Roman" w:hAnsi="Times New Roman" w:eastAsia="宋体"/>
          <w:snapToGrid w:val="0"/>
          <w:color w:val="auto"/>
          <w:sz w:val="30"/>
          <w:szCs w:val="30"/>
        </w:rPr>
      </w:pPr>
    </w:p>
    <w:p w14:paraId="214FBD58">
      <w:pPr>
        <w:pStyle w:val="21"/>
        <w:keepNext w:val="0"/>
        <w:keepLines w:val="0"/>
        <w:pageBreakBefore w:val="0"/>
        <w:kinsoku/>
        <w:overflowPunct/>
        <w:bidi w:val="0"/>
        <w:spacing w:before="0" w:beforeAutospacing="0" w:after="0" w:afterLines="0" w:afterAutospacing="0"/>
        <w:jc w:val="center"/>
        <w:textAlignment w:val="auto"/>
        <w:outlineLvl w:val="0"/>
        <w:rPr>
          <w:rFonts w:ascii="Times New Roman" w:hAnsi="Times New Roman" w:eastAsia="宋体"/>
          <w:snapToGrid w:val="0"/>
          <w:color w:val="auto"/>
          <w:sz w:val="30"/>
          <w:szCs w:val="30"/>
        </w:rPr>
      </w:pPr>
      <w:r>
        <w:rPr>
          <w:rFonts w:ascii="Times New Roman" w:hAnsi="Times New Roman" w:eastAsia="宋体"/>
          <w:snapToGrid w:val="0"/>
          <w:color w:val="auto"/>
          <w:sz w:val="30"/>
          <w:szCs w:val="30"/>
        </w:rPr>
        <w:t>三、区域环境质量现状、环境保护目标及评价标准</w:t>
      </w:r>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66"/>
        <w:gridCol w:w="8524"/>
      </w:tblGrid>
      <w:tr w14:paraId="7E1079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466" w:type="dxa"/>
            <w:noWrap w:val="0"/>
            <w:vAlign w:val="center"/>
          </w:tcPr>
          <w:p w14:paraId="65FA4960">
            <w:pPr>
              <w:keepNext w:val="0"/>
              <w:keepLines w:val="0"/>
              <w:pageBreakBefore w:val="0"/>
              <w:suppressLineNumbers w:val="0"/>
              <w:kinsoku/>
              <w:wordWrap/>
              <w:overflowPunct/>
              <w:topLinePunct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kern w:val="0"/>
                <w:szCs w:val="21"/>
              </w:rPr>
            </w:pPr>
            <w:r>
              <w:rPr>
                <w:rFonts w:hint="default" w:ascii="Times New Roman" w:hAnsi="Times New Roman" w:eastAsia="宋体"/>
                <w:color w:val="auto"/>
                <w:kern w:val="0"/>
                <w:sz w:val="24"/>
                <w:szCs w:val="24"/>
              </w:rPr>
              <w:t>区域环境质量现状</w:t>
            </w:r>
          </w:p>
        </w:tc>
        <w:tc>
          <w:tcPr>
            <w:tcW w:w="8524" w:type="dxa"/>
            <w:noWrap w:val="0"/>
            <w:vAlign w:val="center"/>
          </w:tcPr>
          <w:p w14:paraId="5BD1711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kern w:val="0"/>
                <w:szCs w:val="21"/>
                <w:lang w:val="zh-CN" w:eastAsia="zh-CN"/>
              </w:rPr>
            </w:pPr>
            <w:r>
              <w:rPr>
                <w:rFonts w:hint="eastAsia" w:ascii="Times New Roman" w:hAnsi="Times New Roman" w:eastAsia="宋体" w:cs="Times New Roman"/>
                <w:b/>
                <w:bCs/>
                <w:color w:val="auto"/>
                <w:kern w:val="0"/>
                <w:szCs w:val="21"/>
                <w:lang w:val="zh-CN" w:eastAsia="zh-CN"/>
              </w:rPr>
              <w:t>1、环境空气质量现状</w:t>
            </w:r>
          </w:p>
          <w:p w14:paraId="3CFA32A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（1）拟建项目所在地环境空气质量区域达标判定</w:t>
            </w:r>
          </w:p>
          <w:p w14:paraId="2B045208">
            <w:pPr>
              <w:keepNext w:val="0"/>
              <w:keepLines w:val="0"/>
              <w:pageBreakBefore w:val="0"/>
              <w:widowControl w:val="0"/>
              <w:numPr>
                <w:ilvl w:val="-1"/>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宋体"/>
                <w:color w:val="auto"/>
                <w:sz w:val="24"/>
              </w:rPr>
            </w:pPr>
            <w:r>
              <w:rPr>
                <w:rFonts w:hint="default" w:ascii="Times New Roman" w:hAnsi="Times New Roman" w:eastAsia="宋体" w:cs="Times New Roman"/>
                <w:color w:val="auto"/>
                <w:sz w:val="24"/>
              </w:rPr>
              <w:t>根据</w:t>
            </w:r>
            <w:r>
              <w:rPr>
                <w:rFonts w:hint="eastAsia" w:ascii="Times New Roman" w:hAnsi="Times New Roman" w:eastAsia="宋体" w:cs="Times New Roman"/>
                <w:color w:val="auto"/>
                <w:sz w:val="24"/>
              </w:rPr>
              <w:t>2026年6月2日</w:t>
            </w:r>
            <w:r>
              <w:rPr>
                <w:rFonts w:hint="default" w:ascii="Times New Roman" w:hAnsi="Times New Roman" w:eastAsia="宋体" w:cs="Times New Roman"/>
                <w:color w:val="auto"/>
                <w:sz w:val="24"/>
              </w:rPr>
              <w:t>发布的</w:t>
            </w:r>
            <w:r>
              <w:rPr>
                <w:rFonts w:hint="eastAsia" w:ascii="Times New Roman" w:hAnsi="Times New Roman" w:eastAsia="宋体" w:cs="Times New Roman"/>
                <w:color w:val="auto"/>
                <w:sz w:val="24"/>
              </w:rPr>
              <w:t>《2025年内蒙古自治区生态环境状况公报》，</w:t>
            </w:r>
            <w:r>
              <w:rPr>
                <w:rFonts w:hint="default" w:ascii="Times New Roman" w:hAnsi="Times New Roman" w:eastAsia="宋体" w:cs="Times New Roman"/>
                <w:color w:val="auto"/>
                <w:sz w:val="24"/>
              </w:rPr>
              <w:t>202</w:t>
            </w:r>
            <w:r>
              <w:rPr>
                <w:rFonts w:hint="eastAsia" w:ascii="Times New Roman" w:hAnsi="Times New Roman" w:eastAsia="宋体" w:cs="Times New Roman"/>
                <w:color w:val="auto"/>
                <w:sz w:val="24"/>
              </w:rPr>
              <w:t>5</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rPr>
              <w:t>全区环境空气六项污染物年均浓度均达标。</w:t>
            </w:r>
            <w:r>
              <w:rPr>
                <w:rFonts w:hint="eastAsia" w:ascii="Times New Roman" w:hAnsi="Times New Roman" w:eastAsia="宋体" w:cs="宋体"/>
                <w:color w:val="auto"/>
                <w:sz w:val="24"/>
              </w:rPr>
              <w:t>项目所在区域为达标区域。</w:t>
            </w:r>
          </w:p>
          <w:p w14:paraId="20F1901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（2）特征污染物现状监测</w:t>
            </w:r>
          </w:p>
          <w:p w14:paraId="311168A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环境空气特征污染物非甲烷总烃、颗粒物，本次非甲烷总烃引用《内蒙古美力坚科技化工有限公司30000吨/年多功能化学助剂项目环境影响报告书》中监测数据，该数据由内蒙古长达监测有限公司于2024年4月18~24日进行环境质量现状监测，监测点位于本项目西北方向2.7km处；颗粒物引用《内蒙古美力坚科技化工有限公司产品多元化提质改造项目环境影响报告书》中监测数据，该数据由内蒙古华清环境检测有限公司于2025年1月13~19日进行环境质量现状监测，监测点位于本项目西北方向2.7km处，满足《建设项目环境影响报告表编制技术指南》（污染影响类）（试行）中“排放国家、地方环境空气质量标准中有标准限值要求的特征污染物时，引用建设项目周周边5千米范围内近3年的现有监测数据”的相关要求。</w:t>
            </w:r>
          </w:p>
          <w:p w14:paraId="6F7800A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①监测点位</w:t>
            </w:r>
          </w:p>
          <w:p w14:paraId="64A897D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监测布点情况如下表。本项目的监测布点图见图3-1。</w:t>
            </w:r>
          </w:p>
          <w:p w14:paraId="6F9211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eastAsia" w:ascii="Times New Roman" w:hAnsi="Times New Roman" w:eastAsia="宋体" w:cs="Times New Roman"/>
                <w:b/>
                <w:bCs/>
                <w:color w:val="auto"/>
                <w:sz w:val="24"/>
                <w:lang w:val="zh-CN" w:eastAsia="zh-CN"/>
              </w:rPr>
            </w:pPr>
            <w:r>
              <w:rPr>
                <w:rFonts w:hint="eastAsia" w:ascii="Times New Roman" w:hAnsi="Times New Roman" w:eastAsia="宋体" w:cs="Times New Roman"/>
                <w:b/>
                <w:bCs/>
                <w:color w:val="auto"/>
                <w:sz w:val="24"/>
                <w:lang w:val="zh-CN" w:eastAsia="zh-CN"/>
              </w:rPr>
              <w:t>表3-</w:t>
            </w:r>
            <w:r>
              <w:rPr>
                <w:rFonts w:hint="eastAsia" w:ascii="Times New Roman" w:hAnsi="Times New Roman" w:eastAsia="宋体" w:cs="Times New Roman"/>
                <w:b/>
                <w:bCs/>
                <w:color w:val="auto"/>
                <w:sz w:val="24"/>
                <w:lang w:val="en-US" w:eastAsia="zh-CN"/>
              </w:rPr>
              <w:t>2</w:t>
            </w:r>
            <w:r>
              <w:rPr>
                <w:rFonts w:hint="eastAsia" w:ascii="Times New Roman" w:hAnsi="Times New Roman" w:eastAsia="宋体" w:cs="Times New Roman"/>
                <w:b/>
                <w:bCs/>
                <w:color w:val="auto"/>
                <w:sz w:val="24"/>
                <w:lang w:val="zh-CN" w:eastAsia="zh-CN"/>
              </w:rPr>
              <w:t>环境空气质量现状监测点位表</w:t>
            </w:r>
          </w:p>
          <w:tbl>
            <w:tblPr>
              <w:tblStyle w:val="24"/>
              <w:tblW w:w="4995"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9"/>
              <w:gridCol w:w="1171"/>
              <w:gridCol w:w="1252"/>
              <w:gridCol w:w="1417"/>
              <w:gridCol w:w="2818"/>
              <w:gridCol w:w="912"/>
            </w:tblGrid>
            <w:tr w14:paraId="2AC73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33" w:type="pct"/>
                  <w:noWrap w:val="0"/>
                  <w:vAlign w:val="center"/>
                </w:tcPr>
                <w:p w14:paraId="10EAE6A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zh-CN" w:eastAsia="zh-CN"/>
                    </w:rPr>
                  </w:pPr>
                  <w:r>
                    <w:rPr>
                      <w:rFonts w:hint="eastAsia" w:ascii="Times New Roman" w:hAnsi="Times New Roman" w:eastAsia="宋体" w:cs="Times New Roman"/>
                      <w:b w:val="0"/>
                      <w:bCs w:val="0"/>
                      <w:color w:val="auto"/>
                      <w:sz w:val="21"/>
                      <w:szCs w:val="21"/>
                      <w:lang w:val="zh-CN" w:eastAsia="zh-CN"/>
                    </w:rPr>
                    <w:t>编号</w:t>
                  </w:r>
                </w:p>
              </w:tc>
              <w:tc>
                <w:tcPr>
                  <w:tcW w:w="706" w:type="pct"/>
                  <w:noWrap w:val="0"/>
                  <w:vAlign w:val="center"/>
                </w:tcPr>
                <w:p w14:paraId="6EE78BD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zh-CN" w:eastAsia="zh-CN"/>
                    </w:rPr>
                  </w:pPr>
                  <w:r>
                    <w:rPr>
                      <w:rFonts w:hint="eastAsia" w:ascii="Times New Roman" w:hAnsi="Times New Roman" w:eastAsia="宋体" w:cs="Times New Roman"/>
                      <w:b w:val="0"/>
                      <w:bCs w:val="0"/>
                      <w:color w:val="auto"/>
                      <w:sz w:val="21"/>
                      <w:szCs w:val="21"/>
                      <w:lang w:val="zh-CN" w:eastAsia="zh-CN"/>
                    </w:rPr>
                    <w:t>监测点</w:t>
                  </w:r>
                </w:p>
              </w:tc>
              <w:tc>
                <w:tcPr>
                  <w:tcW w:w="755" w:type="pct"/>
                  <w:noWrap w:val="0"/>
                  <w:vAlign w:val="center"/>
                </w:tcPr>
                <w:p w14:paraId="242B6D1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相对方位</w:t>
                  </w:r>
                </w:p>
              </w:tc>
              <w:tc>
                <w:tcPr>
                  <w:tcW w:w="854" w:type="pct"/>
                  <w:noWrap w:val="0"/>
                  <w:vAlign w:val="center"/>
                </w:tcPr>
                <w:p w14:paraId="5C9794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距离</w:t>
                  </w:r>
                  <w:r>
                    <w:rPr>
                      <w:rFonts w:hint="eastAsia" w:ascii="Times New Roman" w:hAnsi="Times New Roman" w:eastAsia="宋体" w:cs="Times New Roman"/>
                      <w:b w:val="0"/>
                      <w:bCs w:val="0"/>
                      <w:color w:val="auto"/>
                      <w:sz w:val="21"/>
                      <w:szCs w:val="21"/>
                      <w:lang w:val="zh-CN" w:eastAsia="zh-CN"/>
                    </w:rPr>
                    <w:t>（</w:t>
                  </w:r>
                  <w:r>
                    <w:rPr>
                      <w:rFonts w:hint="eastAsia" w:ascii="Times New Roman" w:hAnsi="Times New Roman" w:eastAsia="宋体" w:cs="Times New Roman"/>
                      <w:b w:val="0"/>
                      <w:bCs w:val="0"/>
                      <w:color w:val="auto"/>
                      <w:sz w:val="21"/>
                      <w:szCs w:val="21"/>
                      <w:lang w:val="en-US" w:eastAsia="zh-CN"/>
                    </w:rPr>
                    <w:t>k</w:t>
                  </w:r>
                  <w:r>
                    <w:rPr>
                      <w:rFonts w:hint="default" w:ascii="Times New Roman" w:hAnsi="Times New Roman" w:eastAsia="宋体" w:cs="Times New Roman"/>
                      <w:b w:val="0"/>
                      <w:bCs w:val="0"/>
                      <w:color w:val="auto"/>
                      <w:sz w:val="21"/>
                      <w:szCs w:val="21"/>
                      <w:lang w:val="zh-CN" w:eastAsia="zh-CN"/>
                    </w:rPr>
                    <w:t>m</w:t>
                  </w:r>
                  <w:r>
                    <w:rPr>
                      <w:rFonts w:hint="eastAsia" w:ascii="Times New Roman" w:hAnsi="Times New Roman" w:eastAsia="宋体" w:cs="Times New Roman"/>
                      <w:b w:val="0"/>
                      <w:bCs w:val="0"/>
                      <w:color w:val="auto"/>
                      <w:sz w:val="21"/>
                      <w:szCs w:val="21"/>
                      <w:lang w:val="zh-CN" w:eastAsia="zh-CN"/>
                    </w:rPr>
                    <w:t>）</w:t>
                  </w:r>
                </w:p>
              </w:tc>
              <w:tc>
                <w:tcPr>
                  <w:tcW w:w="1699" w:type="pct"/>
                  <w:noWrap w:val="0"/>
                  <w:vAlign w:val="center"/>
                </w:tcPr>
                <w:p w14:paraId="194A6E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zh-CN" w:eastAsia="zh-CN"/>
                    </w:rPr>
                  </w:pPr>
                  <w:r>
                    <w:rPr>
                      <w:rFonts w:hint="eastAsia" w:ascii="Times New Roman" w:hAnsi="Times New Roman" w:eastAsia="宋体" w:cs="Times New Roman"/>
                      <w:b w:val="0"/>
                      <w:bCs w:val="0"/>
                      <w:color w:val="auto"/>
                      <w:sz w:val="21"/>
                      <w:szCs w:val="21"/>
                      <w:lang w:val="zh-CN" w:eastAsia="zh-CN"/>
                    </w:rPr>
                    <w:t>检测因子</w:t>
                  </w:r>
                </w:p>
              </w:tc>
              <w:tc>
                <w:tcPr>
                  <w:tcW w:w="549" w:type="pct"/>
                  <w:noWrap w:val="0"/>
                  <w:vAlign w:val="center"/>
                </w:tcPr>
                <w:p w14:paraId="106B58C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zh-CN" w:eastAsia="zh-CN"/>
                    </w:rPr>
                  </w:pPr>
                  <w:r>
                    <w:rPr>
                      <w:rFonts w:hint="eastAsia" w:ascii="Times New Roman" w:hAnsi="Times New Roman" w:eastAsia="宋体" w:cs="Times New Roman"/>
                      <w:b w:val="0"/>
                      <w:bCs w:val="0"/>
                      <w:color w:val="auto"/>
                      <w:sz w:val="21"/>
                      <w:szCs w:val="21"/>
                      <w:lang w:val="zh-CN" w:eastAsia="zh-CN"/>
                    </w:rPr>
                    <w:t>备注</w:t>
                  </w:r>
                </w:p>
              </w:tc>
            </w:tr>
            <w:tr w14:paraId="1244C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433" w:type="pct"/>
                  <w:noWrap w:val="0"/>
                  <w:vAlign w:val="center"/>
                </w:tcPr>
                <w:p w14:paraId="3BB0D26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zh-CN" w:eastAsia="zh-CN"/>
                    </w:rPr>
                    <w:t>1#</w:t>
                  </w:r>
                </w:p>
              </w:tc>
              <w:tc>
                <w:tcPr>
                  <w:tcW w:w="706" w:type="pct"/>
                  <w:noWrap w:val="0"/>
                  <w:vAlign w:val="center"/>
                </w:tcPr>
                <w:p w14:paraId="60795A6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zh-CN" w:eastAsia="zh-CN"/>
                    </w:rPr>
                    <w:t>蒙西镇</w:t>
                  </w:r>
                </w:p>
              </w:tc>
              <w:tc>
                <w:tcPr>
                  <w:tcW w:w="755" w:type="pct"/>
                  <w:noWrap w:val="0"/>
                  <w:vAlign w:val="center"/>
                </w:tcPr>
                <w:p w14:paraId="45D7CFE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eastAsia" w:ascii="Times New Roman" w:hAnsi="Times New Roman" w:eastAsia="宋体" w:cs="Times New Roman"/>
                      <w:b w:val="0"/>
                      <w:bCs w:val="0"/>
                      <w:color w:val="auto"/>
                      <w:sz w:val="21"/>
                      <w:szCs w:val="21"/>
                      <w:lang w:val="en-US" w:eastAsia="zh-CN"/>
                    </w:rPr>
                    <w:t>N</w:t>
                  </w:r>
                  <w:r>
                    <w:rPr>
                      <w:rFonts w:hint="default" w:ascii="Times New Roman" w:hAnsi="Times New Roman" w:eastAsia="宋体" w:cs="Times New Roman"/>
                      <w:b w:val="0"/>
                      <w:bCs w:val="0"/>
                      <w:color w:val="auto"/>
                      <w:sz w:val="21"/>
                      <w:szCs w:val="21"/>
                      <w:lang w:val="zh-CN" w:eastAsia="zh-CN"/>
                    </w:rPr>
                    <w:t>W</w:t>
                  </w:r>
                </w:p>
              </w:tc>
              <w:tc>
                <w:tcPr>
                  <w:tcW w:w="854" w:type="pct"/>
                  <w:noWrap w:val="0"/>
                  <w:vAlign w:val="center"/>
                </w:tcPr>
                <w:p w14:paraId="3F77E2F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2.7</w:t>
                  </w:r>
                </w:p>
              </w:tc>
              <w:tc>
                <w:tcPr>
                  <w:tcW w:w="1699" w:type="pct"/>
                  <w:noWrap w:val="0"/>
                  <w:vAlign w:val="center"/>
                </w:tcPr>
                <w:p w14:paraId="3867FD2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颗粒物、</w:t>
                  </w:r>
                  <w:r>
                    <w:rPr>
                      <w:rFonts w:hint="eastAsia" w:ascii="Times New Roman" w:hAnsi="Times New Roman" w:eastAsia="宋体" w:cs="Times New Roman"/>
                      <w:b w:val="0"/>
                      <w:bCs w:val="0"/>
                      <w:color w:val="auto"/>
                      <w:sz w:val="21"/>
                      <w:szCs w:val="21"/>
                      <w:lang w:val="zh-CN" w:eastAsia="zh-CN"/>
                    </w:rPr>
                    <w:t>非甲烷总烃</w:t>
                  </w:r>
                </w:p>
              </w:tc>
              <w:tc>
                <w:tcPr>
                  <w:tcW w:w="549" w:type="pct"/>
                  <w:noWrap w:val="0"/>
                  <w:vAlign w:val="center"/>
                </w:tcPr>
                <w:p w14:paraId="01C6505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1"/>
                      <w:szCs w:val="21"/>
                      <w:lang w:val="zh-CN" w:eastAsia="zh-CN"/>
                    </w:rPr>
                  </w:pPr>
                </w:p>
              </w:tc>
            </w:tr>
          </w:tbl>
          <w:p w14:paraId="4668EF77">
            <w:pPr>
              <w:pStyle w:val="31"/>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auto"/>
              <w:rPr>
                <w:rFonts w:hint="eastAsia" w:eastAsia="宋体"/>
                <w:color w:val="auto"/>
                <w:lang w:eastAsia="zh-CN"/>
              </w:rPr>
            </w:pPr>
            <w:r>
              <w:rPr>
                <w:rFonts w:hint="eastAsia" w:eastAsia="宋体"/>
                <w:color w:val="auto"/>
                <w:lang w:eastAsia="zh-CN"/>
              </w:rPr>
              <w:drawing>
                <wp:inline distT="0" distB="0" distL="114300" distR="114300">
                  <wp:extent cx="4713605" cy="2699385"/>
                  <wp:effectExtent l="0" t="0" r="10795" b="5715"/>
                  <wp:docPr id="8" name="图片 8" descr="环境空气监测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环境空气监测点(1)"/>
                          <pic:cNvPicPr>
                            <a:picLocks noChangeAspect="1"/>
                          </pic:cNvPicPr>
                        </pic:nvPicPr>
                        <pic:blipFill>
                          <a:blip r:embed="rId22"/>
                          <a:stretch>
                            <a:fillRect/>
                          </a:stretch>
                        </pic:blipFill>
                        <pic:spPr>
                          <a:xfrm>
                            <a:off x="0" y="0"/>
                            <a:ext cx="4713605" cy="2699385"/>
                          </a:xfrm>
                          <a:prstGeom prst="rect">
                            <a:avLst/>
                          </a:prstGeom>
                        </pic:spPr>
                      </pic:pic>
                    </a:graphicData>
                  </a:graphic>
                </wp:inline>
              </w:drawing>
            </w:r>
          </w:p>
          <w:p w14:paraId="1019B90D">
            <w:pPr>
              <w:keepNext w:val="0"/>
              <w:keepLines w:val="0"/>
              <w:pageBreakBefore w:val="0"/>
              <w:suppressLineNumbers w:val="0"/>
              <w:kinsoku/>
              <w:overflowPunct/>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图3-1现状监测点位</w:t>
            </w:r>
            <w:r>
              <w:rPr>
                <w:rFonts w:hint="eastAsia" w:ascii="Times New Roman" w:hAnsi="Times New Roman" w:eastAsia="宋体" w:cs="Times New Roman"/>
                <w:b/>
                <w:color w:val="auto"/>
                <w:sz w:val="24"/>
                <w:szCs w:val="24"/>
                <w:highlight w:val="none"/>
                <w:lang w:val="en-US" w:eastAsia="zh-CN"/>
              </w:rPr>
              <w:t>图</w:t>
            </w:r>
          </w:p>
          <w:p w14:paraId="41D8DB3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②监测项目</w:t>
            </w:r>
          </w:p>
          <w:p w14:paraId="10F3DE4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监测因子：非甲烷总烃、TSP。监测期间同步观测风向、风速、气温、气压和等气象资料。</w:t>
            </w:r>
          </w:p>
          <w:p w14:paraId="2EE6BF5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③监测时间及监测频率</w:t>
            </w:r>
          </w:p>
          <w:p w14:paraId="7B08313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非甲烷总烃监测时间：</w:t>
            </w:r>
            <w:r>
              <w:rPr>
                <w:rFonts w:hint="default" w:ascii="Times New Roman"/>
                <w:color w:val="auto"/>
                <w:kern w:val="2"/>
                <w:szCs w:val="24"/>
              </w:rPr>
              <w:t>2024年4月18日至4月24日</w:t>
            </w:r>
            <w:r>
              <w:rPr>
                <w:rFonts w:hint="eastAsia" w:ascii="Times New Roman" w:hAnsi="Times New Roman" w:eastAsia="宋体" w:cs="Times New Roman"/>
                <w:color w:val="auto"/>
                <w:kern w:val="0"/>
                <w:szCs w:val="21"/>
                <w:lang w:val="en-US" w:eastAsia="zh-CN"/>
              </w:rPr>
              <w:t>，连续7天。</w:t>
            </w:r>
          </w:p>
          <w:p w14:paraId="725807A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颗粒物监测时间：</w:t>
            </w:r>
            <w:r>
              <w:rPr>
                <w:rFonts w:hint="default" w:ascii="Times New Roman"/>
                <w:color w:val="auto"/>
                <w:kern w:val="2"/>
                <w:szCs w:val="24"/>
              </w:rPr>
              <w:t>2025年1月13日至1月19日</w:t>
            </w:r>
            <w:r>
              <w:rPr>
                <w:rFonts w:hint="eastAsia" w:ascii="Times New Roman"/>
                <w:color w:val="auto"/>
                <w:kern w:val="2"/>
                <w:szCs w:val="24"/>
                <w:lang w:eastAsia="zh-CN"/>
              </w:rPr>
              <w:t>，</w:t>
            </w:r>
            <w:r>
              <w:rPr>
                <w:rFonts w:hint="eastAsia" w:ascii="Times New Roman" w:hAnsi="Times New Roman" w:eastAsia="宋体" w:cs="Times New Roman"/>
                <w:color w:val="auto"/>
                <w:kern w:val="0"/>
                <w:szCs w:val="21"/>
                <w:lang w:val="en-US" w:eastAsia="zh-CN"/>
              </w:rPr>
              <w:t>连续7天。</w:t>
            </w:r>
          </w:p>
          <w:p w14:paraId="5FCBD45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color w:val="auto"/>
                <w:kern w:val="2"/>
                <w:szCs w:val="24"/>
                <w:lang w:eastAsia="zh-CN" w:bidi="ar"/>
              </w:rPr>
            </w:pPr>
            <w:r>
              <w:rPr>
                <w:rFonts w:hint="eastAsia" w:ascii="Times New Roman" w:hAnsi="Times New Roman" w:eastAsia="宋体" w:cs="Times New Roman"/>
                <w:color w:val="auto"/>
                <w:kern w:val="0"/>
                <w:szCs w:val="21"/>
                <w:lang w:val="en-US" w:eastAsia="zh-CN"/>
              </w:rPr>
              <w:t>监测频率：</w:t>
            </w:r>
            <w:r>
              <w:rPr>
                <w:rFonts w:hint="default" w:ascii="Times New Roman" w:hAnsi="Times New Roman" w:cs="Times New Roman"/>
                <w:color w:val="auto"/>
                <w:highlight w:val="none"/>
                <w:lang w:val="en-US" w:eastAsia="zh-CN"/>
              </w:rPr>
              <w:t>非甲烷总烃监测1小时平均浓度，每小时至少45分钟采样时间，每日监测4次</w:t>
            </w:r>
            <w:r>
              <w:rPr>
                <w:rFonts w:hint="eastAsia" w:ascii="Times New Roman" w:hAnsi="Times New Roman" w:eastAsia="宋体"/>
                <w:color w:val="auto"/>
                <w:szCs w:val="21"/>
                <w:lang w:eastAsia="zh-CN"/>
              </w:rPr>
              <w:t>；</w:t>
            </w:r>
            <w:r>
              <w:rPr>
                <w:rFonts w:hint="eastAsia" w:ascii="Times New Roman" w:hAnsi="Times New Roman" w:eastAsia="宋体"/>
                <w:color w:val="auto"/>
                <w:szCs w:val="21"/>
                <w:lang w:val="en-US" w:eastAsia="zh-CN"/>
              </w:rPr>
              <w:t>颗粒物监测</w:t>
            </w:r>
            <w:r>
              <w:rPr>
                <w:rFonts w:hint="default" w:ascii="Times New Roman"/>
                <w:color w:val="auto"/>
                <w:kern w:val="2"/>
                <w:szCs w:val="24"/>
                <w:lang w:bidi="ar"/>
              </w:rPr>
              <w:t>日平均浓度</w:t>
            </w:r>
            <w:r>
              <w:rPr>
                <w:rFonts w:hint="eastAsia" w:ascii="Times New Roman"/>
                <w:color w:val="auto"/>
                <w:kern w:val="2"/>
                <w:szCs w:val="24"/>
                <w:lang w:eastAsia="zh-CN" w:bidi="ar"/>
              </w:rPr>
              <w:t>。</w:t>
            </w:r>
          </w:p>
          <w:p w14:paraId="15AE1F5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④气象参数</w:t>
            </w:r>
          </w:p>
          <w:p w14:paraId="745654B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同步观测风速、风向、气温、气压等常规气象参数，详见表3-3。</w:t>
            </w:r>
          </w:p>
          <w:p w14:paraId="356DFC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表3-3监测时段气象参数一览表</w:t>
            </w:r>
          </w:p>
          <w:tbl>
            <w:tblPr>
              <w:tblStyle w:val="2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79" w:type="dxa"/>
                <w:bottom w:w="0" w:type="dxa"/>
                <w:right w:w="79" w:type="dxa"/>
              </w:tblCellMar>
            </w:tblPr>
            <w:tblGrid>
              <w:gridCol w:w="1153"/>
              <w:gridCol w:w="1121"/>
              <w:gridCol w:w="1746"/>
              <w:gridCol w:w="1545"/>
              <w:gridCol w:w="1545"/>
              <w:gridCol w:w="1185"/>
            </w:tblGrid>
            <w:tr w14:paraId="51A69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tblHeader/>
                <w:jc w:val="center"/>
              </w:trPr>
              <w:tc>
                <w:tcPr>
                  <w:tcW w:w="1370" w:type="pct"/>
                  <w:gridSpan w:val="2"/>
                  <w:tcBorders>
                    <w:tl2br w:val="nil"/>
                    <w:tr2bl w:val="nil"/>
                  </w:tcBorders>
                  <w:vAlign w:val="center"/>
                </w:tcPr>
                <w:p w14:paraId="0E51FEB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采样时间</w:t>
                  </w:r>
                </w:p>
              </w:tc>
              <w:tc>
                <w:tcPr>
                  <w:tcW w:w="1052" w:type="pct"/>
                  <w:tcBorders>
                    <w:tl2br w:val="nil"/>
                    <w:tr2bl w:val="nil"/>
                  </w:tcBorders>
                  <w:vAlign w:val="center"/>
                </w:tcPr>
                <w:p w14:paraId="7AA5CC6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风向（方位）</w:t>
                  </w:r>
                </w:p>
              </w:tc>
              <w:tc>
                <w:tcPr>
                  <w:tcW w:w="931" w:type="pct"/>
                  <w:tcBorders>
                    <w:tl2br w:val="nil"/>
                    <w:tr2bl w:val="nil"/>
                  </w:tcBorders>
                  <w:vAlign w:val="center"/>
                </w:tcPr>
                <w:p w14:paraId="459EA8E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风速（m/s）</w:t>
                  </w:r>
                </w:p>
              </w:tc>
              <w:tc>
                <w:tcPr>
                  <w:tcW w:w="931" w:type="pct"/>
                  <w:tcBorders>
                    <w:tl2br w:val="nil"/>
                    <w:tr2bl w:val="nil"/>
                  </w:tcBorders>
                  <w:vAlign w:val="center"/>
                </w:tcPr>
                <w:p w14:paraId="72C1EBD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气温（℃）</w:t>
                  </w:r>
                </w:p>
              </w:tc>
              <w:tc>
                <w:tcPr>
                  <w:tcW w:w="714" w:type="pct"/>
                  <w:tcBorders>
                    <w:tl2br w:val="nil"/>
                    <w:tr2bl w:val="nil"/>
                  </w:tcBorders>
                  <w:vAlign w:val="center"/>
                </w:tcPr>
                <w:p w14:paraId="1481C67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气压（hPa）</w:t>
                  </w:r>
                </w:p>
              </w:tc>
            </w:tr>
            <w:tr w14:paraId="3CDA5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restart"/>
                  <w:tcBorders>
                    <w:tl2br w:val="nil"/>
                    <w:tr2bl w:val="nil"/>
                  </w:tcBorders>
                  <w:vAlign w:val="center"/>
                </w:tcPr>
                <w:p w14:paraId="7E3CDA2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2025.01.13</w:t>
                  </w:r>
                </w:p>
              </w:tc>
              <w:tc>
                <w:tcPr>
                  <w:tcW w:w="675" w:type="pct"/>
                  <w:tcBorders>
                    <w:tl2br w:val="nil"/>
                    <w:tr2bl w:val="nil"/>
                  </w:tcBorders>
                  <w:vAlign w:val="center"/>
                </w:tcPr>
                <w:p w14:paraId="7F88F7A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02:00</w:t>
                  </w:r>
                </w:p>
              </w:tc>
              <w:tc>
                <w:tcPr>
                  <w:tcW w:w="1052" w:type="pct"/>
                  <w:tcBorders>
                    <w:tl2br w:val="nil"/>
                    <w:tr2bl w:val="nil"/>
                  </w:tcBorders>
                  <w:vAlign w:val="center"/>
                </w:tcPr>
                <w:p w14:paraId="4492CA5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4E6A513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1.3</w:t>
                  </w:r>
                </w:p>
              </w:tc>
              <w:tc>
                <w:tcPr>
                  <w:tcW w:w="931" w:type="pct"/>
                  <w:tcBorders>
                    <w:tl2br w:val="nil"/>
                    <w:tr2bl w:val="nil"/>
                  </w:tcBorders>
                  <w:vAlign w:val="center"/>
                </w:tcPr>
                <w:p w14:paraId="5FBB69E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-5.0</w:t>
                  </w:r>
                </w:p>
              </w:tc>
              <w:tc>
                <w:tcPr>
                  <w:tcW w:w="714" w:type="pct"/>
                  <w:tcBorders>
                    <w:tl2br w:val="nil"/>
                    <w:tr2bl w:val="nil"/>
                  </w:tcBorders>
                  <w:vAlign w:val="center"/>
                </w:tcPr>
                <w:p w14:paraId="33D9929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863.9</w:t>
                  </w:r>
                </w:p>
              </w:tc>
            </w:tr>
            <w:tr w14:paraId="73489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1FF59F9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2CF70B2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08:00</w:t>
                  </w:r>
                </w:p>
              </w:tc>
              <w:tc>
                <w:tcPr>
                  <w:tcW w:w="1052" w:type="pct"/>
                  <w:tcBorders>
                    <w:tl2br w:val="nil"/>
                    <w:tr2bl w:val="nil"/>
                  </w:tcBorders>
                  <w:vAlign w:val="center"/>
                </w:tcPr>
                <w:p w14:paraId="1C74186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西南</w:t>
                  </w:r>
                </w:p>
              </w:tc>
              <w:tc>
                <w:tcPr>
                  <w:tcW w:w="931" w:type="pct"/>
                  <w:tcBorders>
                    <w:tl2br w:val="nil"/>
                    <w:tr2bl w:val="nil"/>
                  </w:tcBorders>
                  <w:vAlign w:val="center"/>
                </w:tcPr>
                <w:p w14:paraId="2CD938E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1.5</w:t>
                  </w:r>
                </w:p>
              </w:tc>
              <w:tc>
                <w:tcPr>
                  <w:tcW w:w="931" w:type="pct"/>
                  <w:tcBorders>
                    <w:tl2br w:val="nil"/>
                    <w:tr2bl w:val="nil"/>
                  </w:tcBorders>
                  <w:vAlign w:val="center"/>
                </w:tcPr>
                <w:p w14:paraId="2469D29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-11.7</w:t>
                  </w:r>
                </w:p>
              </w:tc>
              <w:tc>
                <w:tcPr>
                  <w:tcW w:w="714" w:type="pct"/>
                  <w:tcBorders>
                    <w:tl2br w:val="nil"/>
                    <w:tr2bl w:val="nil"/>
                  </w:tcBorders>
                  <w:vAlign w:val="center"/>
                </w:tcPr>
                <w:p w14:paraId="0ABF987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863.2</w:t>
                  </w:r>
                </w:p>
              </w:tc>
            </w:tr>
            <w:tr w14:paraId="0872E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4310F6B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7CD6C6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14:00</w:t>
                  </w:r>
                </w:p>
              </w:tc>
              <w:tc>
                <w:tcPr>
                  <w:tcW w:w="1052" w:type="pct"/>
                  <w:tcBorders>
                    <w:tl2br w:val="nil"/>
                    <w:tr2bl w:val="nil"/>
                  </w:tcBorders>
                  <w:vAlign w:val="center"/>
                </w:tcPr>
                <w:p w14:paraId="56933A3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692C5B9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1.8</w:t>
                  </w:r>
                </w:p>
              </w:tc>
              <w:tc>
                <w:tcPr>
                  <w:tcW w:w="931" w:type="pct"/>
                  <w:tcBorders>
                    <w:tl2br w:val="nil"/>
                    <w:tr2bl w:val="nil"/>
                  </w:tcBorders>
                  <w:vAlign w:val="center"/>
                </w:tcPr>
                <w:p w14:paraId="65C392D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0.3</w:t>
                  </w:r>
                </w:p>
              </w:tc>
              <w:tc>
                <w:tcPr>
                  <w:tcW w:w="714" w:type="pct"/>
                  <w:tcBorders>
                    <w:tl2br w:val="nil"/>
                    <w:tr2bl w:val="nil"/>
                  </w:tcBorders>
                  <w:vAlign w:val="center"/>
                </w:tcPr>
                <w:p w14:paraId="1AE619A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862.7</w:t>
                  </w:r>
                </w:p>
              </w:tc>
            </w:tr>
            <w:tr w14:paraId="698EF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3C3BB9A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5A4EA5E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20:00</w:t>
                  </w:r>
                </w:p>
              </w:tc>
              <w:tc>
                <w:tcPr>
                  <w:tcW w:w="1052" w:type="pct"/>
                  <w:tcBorders>
                    <w:tl2br w:val="nil"/>
                    <w:tr2bl w:val="nil"/>
                  </w:tcBorders>
                  <w:vAlign w:val="center"/>
                </w:tcPr>
                <w:p w14:paraId="163F14B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西北</w:t>
                  </w:r>
                </w:p>
              </w:tc>
              <w:tc>
                <w:tcPr>
                  <w:tcW w:w="931" w:type="pct"/>
                  <w:tcBorders>
                    <w:tl2br w:val="nil"/>
                    <w:tr2bl w:val="nil"/>
                  </w:tcBorders>
                  <w:vAlign w:val="center"/>
                </w:tcPr>
                <w:p w14:paraId="0D097D4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0.9</w:t>
                  </w:r>
                </w:p>
              </w:tc>
              <w:tc>
                <w:tcPr>
                  <w:tcW w:w="931" w:type="pct"/>
                  <w:tcBorders>
                    <w:tl2br w:val="nil"/>
                    <w:tr2bl w:val="nil"/>
                  </w:tcBorders>
                  <w:vAlign w:val="center"/>
                </w:tcPr>
                <w:p w14:paraId="4016EDD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-7.9</w:t>
                  </w:r>
                </w:p>
              </w:tc>
              <w:tc>
                <w:tcPr>
                  <w:tcW w:w="714" w:type="pct"/>
                  <w:tcBorders>
                    <w:tl2br w:val="nil"/>
                    <w:tr2bl w:val="nil"/>
                  </w:tcBorders>
                  <w:vAlign w:val="center"/>
                </w:tcPr>
                <w:p w14:paraId="4AB053E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867.5</w:t>
                  </w:r>
                </w:p>
              </w:tc>
            </w:tr>
            <w:tr w14:paraId="1B44F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restart"/>
                  <w:tcBorders>
                    <w:tl2br w:val="nil"/>
                    <w:tr2bl w:val="nil"/>
                  </w:tcBorders>
                  <w:vAlign w:val="center"/>
                </w:tcPr>
                <w:p w14:paraId="2CA92B9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2025.01.14</w:t>
                  </w:r>
                </w:p>
              </w:tc>
              <w:tc>
                <w:tcPr>
                  <w:tcW w:w="675" w:type="pct"/>
                  <w:tcBorders>
                    <w:tl2br w:val="nil"/>
                    <w:tr2bl w:val="nil"/>
                  </w:tcBorders>
                  <w:vAlign w:val="center"/>
                </w:tcPr>
                <w:p w14:paraId="70F9B5E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02:00</w:t>
                  </w:r>
                </w:p>
              </w:tc>
              <w:tc>
                <w:tcPr>
                  <w:tcW w:w="1052" w:type="pct"/>
                  <w:tcBorders>
                    <w:tl2br w:val="nil"/>
                    <w:tr2bl w:val="nil"/>
                  </w:tcBorders>
                  <w:vAlign w:val="center"/>
                </w:tcPr>
                <w:p w14:paraId="36C3BF9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西北</w:t>
                  </w:r>
                </w:p>
              </w:tc>
              <w:tc>
                <w:tcPr>
                  <w:tcW w:w="931" w:type="pct"/>
                  <w:tcBorders>
                    <w:tl2br w:val="nil"/>
                    <w:tr2bl w:val="nil"/>
                  </w:tcBorders>
                  <w:vAlign w:val="center"/>
                </w:tcPr>
                <w:p w14:paraId="0E9A2D6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1.2</w:t>
                  </w:r>
                </w:p>
              </w:tc>
              <w:tc>
                <w:tcPr>
                  <w:tcW w:w="931" w:type="pct"/>
                  <w:tcBorders>
                    <w:tl2br w:val="nil"/>
                    <w:tr2bl w:val="nil"/>
                  </w:tcBorders>
                  <w:vAlign w:val="center"/>
                </w:tcPr>
                <w:p w14:paraId="4BCD3DB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-11.2</w:t>
                  </w:r>
                </w:p>
              </w:tc>
              <w:tc>
                <w:tcPr>
                  <w:tcW w:w="714" w:type="pct"/>
                  <w:tcBorders>
                    <w:tl2br w:val="nil"/>
                    <w:tr2bl w:val="nil"/>
                  </w:tcBorders>
                  <w:vAlign w:val="center"/>
                </w:tcPr>
                <w:p w14:paraId="1BC6234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872.8</w:t>
                  </w:r>
                </w:p>
              </w:tc>
            </w:tr>
            <w:tr w14:paraId="34491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3FE40BA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2A9EFF4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08:00</w:t>
                  </w:r>
                </w:p>
              </w:tc>
              <w:tc>
                <w:tcPr>
                  <w:tcW w:w="1052" w:type="pct"/>
                  <w:tcBorders>
                    <w:tl2br w:val="nil"/>
                    <w:tr2bl w:val="nil"/>
                  </w:tcBorders>
                  <w:vAlign w:val="center"/>
                </w:tcPr>
                <w:p w14:paraId="30B2F2F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西北</w:t>
                  </w:r>
                </w:p>
              </w:tc>
              <w:tc>
                <w:tcPr>
                  <w:tcW w:w="931" w:type="pct"/>
                  <w:tcBorders>
                    <w:tl2br w:val="nil"/>
                    <w:tr2bl w:val="nil"/>
                  </w:tcBorders>
                  <w:vAlign w:val="center"/>
                </w:tcPr>
                <w:p w14:paraId="5C20013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1.0</w:t>
                  </w:r>
                </w:p>
              </w:tc>
              <w:tc>
                <w:tcPr>
                  <w:tcW w:w="931" w:type="pct"/>
                  <w:tcBorders>
                    <w:tl2br w:val="nil"/>
                    <w:tr2bl w:val="nil"/>
                  </w:tcBorders>
                  <w:vAlign w:val="center"/>
                </w:tcPr>
                <w:p w14:paraId="52DA7A4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-16.8</w:t>
                  </w:r>
                </w:p>
              </w:tc>
              <w:tc>
                <w:tcPr>
                  <w:tcW w:w="714" w:type="pct"/>
                  <w:tcBorders>
                    <w:tl2br w:val="nil"/>
                    <w:tr2bl w:val="nil"/>
                  </w:tcBorders>
                  <w:vAlign w:val="center"/>
                </w:tcPr>
                <w:p w14:paraId="22911E6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876.9</w:t>
                  </w:r>
                </w:p>
              </w:tc>
            </w:tr>
            <w:tr w14:paraId="74AAF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73F8EDA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2FC1EA3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14:00</w:t>
                  </w:r>
                </w:p>
              </w:tc>
              <w:tc>
                <w:tcPr>
                  <w:tcW w:w="1052" w:type="pct"/>
                  <w:tcBorders>
                    <w:tl2br w:val="nil"/>
                    <w:tr2bl w:val="nil"/>
                  </w:tcBorders>
                  <w:vAlign w:val="center"/>
                </w:tcPr>
                <w:p w14:paraId="3D435C5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西北</w:t>
                  </w:r>
                </w:p>
              </w:tc>
              <w:tc>
                <w:tcPr>
                  <w:tcW w:w="931" w:type="pct"/>
                  <w:tcBorders>
                    <w:tl2br w:val="nil"/>
                    <w:tr2bl w:val="nil"/>
                  </w:tcBorders>
                  <w:vAlign w:val="center"/>
                </w:tcPr>
                <w:p w14:paraId="5C3AEC1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0.9</w:t>
                  </w:r>
                </w:p>
              </w:tc>
              <w:tc>
                <w:tcPr>
                  <w:tcW w:w="931" w:type="pct"/>
                  <w:tcBorders>
                    <w:tl2br w:val="nil"/>
                    <w:tr2bl w:val="nil"/>
                  </w:tcBorders>
                  <w:vAlign w:val="center"/>
                </w:tcPr>
                <w:p w14:paraId="5B812BA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-7.9</w:t>
                  </w:r>
                </w:p>
              </w:tc>
              <w:tc>
                <w:tcPr>
                  <w:tcW w:w="714" w:type="pct"/>
                  <w:tcBorders>
                    <w:tl2br w:val="nil"/>
                    <w:tr2bl w:val="nil"/>
                  </w:tcBorders>
                  <w:vAlign w:val="center"/>
                </w:tcPr>
                <w:p w14:paraId="057500C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876.3</w:t>
                  </w:r>
                </w:p>
              </w:tc>
            </w:tr>
            <w:tr w14:paraId="63220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5CE5295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5E6FB70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20:00</w:t>
                  </w:r>
                </w:p>
              </w:tc>
              <w:tc>
                <w:tcPr>
                  <w:tcW w:w="1052" w:type="pct"/>
                  <w:tcBorders>
                    <w:tl2br w:val="nil"/>
                    <w:tr2bl w:val="nil"/>
                  </w:tcBorders>
                  <w:vAlign w:val="center"/>
                </w:tcPr>
                <w:p w14:paraId="7ECEAD1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北</w:t>
                  </w:r>
                </w:p>
              </w:tc>
              <w:tc>
                <w:tcPr>
                  <w:tcW w:w="931" w:type="pct"/>
                  <w:tcBorders>
                    <w:tl2br w:val="nil"/>
                    <w:tr2bl w:val="nil"/>
                  </w:tcBorders>
                  <w:vAlign w:val="center"/>
                </w:tcPr>
                <w:p w14:paraId="59D321B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1.4</w:t>
                  </w:r>
                </w:p>
              </w:tc>
              <w:tc>
                <w:tcPr>
                  <w:tcW w:w="931" w:type="pct"/>
                  <w:tcBorders>
                    <w:tl2br w:val="nil"/>
                    <w:tr2bl w:val="nil"/>
                  </w:tcBorders>
                  <w:vAlign w:val="center"/>
                </w:tcPr>
                <w:p w14:paraId="13C286D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-13.8</w:t>
                  </w:r>
                </w:p>
              </w:tc>
              <w:tc>
                <w:tcPr>
                  <w:tcW w:w="714" w:type="pct"/>
                  <w:tcBorders>
                    <w:tl2br w:val="nil"/>
                    <w:tr2bl w:val="nil"/>
                  </w:tcBorders>
                  <w:vAlign w:val="center"/>
                </w:tcPr>
                <w:p w14:paraId="28BC840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878.1</w:t>
                  </w:r>
                </w:p>
              </w:tc>
            </w:tr>
            <w:tr w14:paraId="0CE39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restart"/>
                  <w:tcBorders>
                    <w:tl2br w:val="nil"/>
                    <w:tr2bl w:val="nil"/>
                  </w:tcBorders>
                  <w:vAlign w:val="center"/>
                </w:tcPr>
                <w:p w14:paraId="2B5267C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2025.01.15</w:t>
                  </w:r>
                </w:p>
              </w:tc>
              <w:tc>
                <w:tcPr>
                  <w:tcW w:w="675" w:type="pct"/>
                  <w:tcBorders>
                    <w:tl2br w:val="nil"/>
                    <w:tr2bl w:val="nil"/>
                  </w:tcBorders>
                  <w:vAlign w:val="center"/>
                </w:tcPr>
                <w:p w14:paraId="1362EDF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02:00</w:t>
                  </w:r>
                </w:p>
              </w:tc>
              <w:tc>
                <w:tcPr>
                  <w:tcW w:w="1052" w:type="pct"/>
                  <w:tcBorders>
                    <w:tl2br w:val="nil"/>
                    <w:tr2bl w:val="nil"/>
                  </w:tcBorders>
                  <w:vAlign w:val="center"/>
                </w:tcPr>
                <w:p w14:paraId="555005E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北</w:t>
                  </w:r>
                </w:p>
              </w:tc>
              <w:tc>
                <w:tcPr>
                  <w:tcW w:w="931" w:type="pct"/>
                  <w:tcBorders>
                    <w:tl2br w:val="nil"/>
                    <w:tr2bl w:val="nil"/>
                  </w:tcBorders>
                  <w:vAlign w:val="center"/>
                </w:tcPr>
                <w:p w14:paraId="7A00563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1.2</w:t>
                  </w:r>
                </w:p>
              </w:tc>
              <w:tc>
                <w:tcPr>
                  <w:tcW w:w="931" w:type="pct"/>
                  <w:tcBorders>
                    <w:tl2br w:val="nil"/>
                    <w:tr2bl w:val="nil"/>
                  </w:tcBorders>
                  <w:vAlign w:val="center"/>
                </w:tcPr>
                <w:p w14:paraId="79F7BB1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-17.5</w:t>
                  </w:r>
                </w:p>
              </w:tc>
              <w:tc>
                <w:tcPr>
                  <w:tcW w:w="714" w:type="pct"/>
                  <w:tcBorders>
                    <w:tl2br w:val="nil"/>
                    <w:tr2bl w:val="nil"/>
                  </w:tcBorders>
                  <w:vAlign w:val="center"/>
                </w:tcPr>
                <w:p w14:paraId="2FD1562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877.2</w:t>
                  </w:r>
                </w:p>
              </w:tc>
            </w:tr>
            <w:tr w14:paraId="3AA80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1125B9A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6F4FA67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08:00</w:t>
                  </w:r>
                </w:p>
              </w:tc>
              <w:tc>
                <w:tcPr>
                  <w:tcW w:w="1052" w:type="pct"/>
                  <w:tcBorders>
                    <w:tl2br w:val="nil"/>
                    <w:tr2bl w:val="nil"/>
                  </w:tcBorders>
                  <w:vAlign w:val="center"/>
                </w:tcPr>
                <w:p w14:paraId="5DB1ED8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西南</w:t>
                  </w:r>
                </w:p>
              </w:tc>
              <w:tc>
                <w:tcPr>
                  <w:tcW w:w="931" w:type="pct"/>
                  <w:tcBorders>
                    <w:tl2br w:val="nil"/>
                    <w:tr2bl w:val="nil"/>
                  </w:tcBorders>
                  <w:vAlign w:val="center"/>
                </w:tcPr>
                <w:p w14:paraId="0DF367F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1.3</w:t>
                  </w:r>
                </w:p>
              </w:tc>
              <w:tc>
                <w:tcPr>
                  <w:tcW w:w="931" w:type="pct"/>
                  <w:tcBorders>
                    <w:tl2br w:val="nil"/>
                    <w:tr2bl w:val="nil"/>
                  </w:tcBorders>
                  <w:vAlign w:val="center"/>
                </w:tcPr>
                <w:p w14:paraId="4DE8EAA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-20.0</w:t>
                  </w:r>
                </w:p>
              </w:tc>
              <w:tc>
                <w:tcPr>
                  <w:tcW w:w="714" w:type="pct"/>
                  <w:tcBorders>
                    <w:tl2br w:val="nil"/>
                    <w:tr2bl w:val="nil"/>
                  </w:tcBorders>
                  <w:vAlign w:val="center"/>
                </w:tcPr>
                <w:p w14:paraId="7B7E62F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877.8</w:t>
                  </w:r>
                </w:p>
              </w:tc>
            </w:tr>
            <w:tr w14:paraId="2B89F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5A885D0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3C65FF0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14:00</w:t>
                  </w:r>
                </w:p>
              </w:tc>
              <w:tc>
                <w:tcPr>
                  <w:tcW w:w="1052" w:type="pct"/>
                  <w:tcBorders>
                    <w:tl2br w:val="nil"/>
                    <w:tr2bl w:val="nil"/>
                  </w:tcBorders>
                  <w:vAlign w:val="center"/>
                </w:tcPr>
                <w:p w14:paraId="2FF5AAC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7EA64C9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1.2</w:t>
                  </w:r>
                </w:p>
              </w:tc>
              <w:tc>
                <w:tcPr>
                  <w:tcW w:w="931" w:type="pct"/>
                  <w:tcBorders>
                    <w:tl2br w:val="nil"/>
                    <w:tr2bl w:val="nil"/>
                  </w:tcBorders>
                  <w:vAlign w:val="center"/>
                </w:tcPr>
                <w:p w14:paraId="4CD5400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-9.5</w:t>
                  </w:r>
                </w:p>
              </w:tc>
              <w:tc>
                <w:tcPr>
                  <w:tcW w:w="714" w:type="pct"/>
                  <w:tcBorders>
                    <w:tl2br w:val="nil"/>
                    <w:tr2bl w:val="nil"/>
                  </w:tcBorders>
                  <w:vAlign w:val="center"/>
                </w:tcPr>
                <w:p w14:paraId="2C07350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873.7</w:t>
                  </w:r>
                </w:p>
              </w:tc>
            </w:tr>
            <w:tr w14:paraId="4317E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679B16E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43CA27E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20:00</w:t>
                  </w:r>
                </w:p>
              </w:tc>
              <w:tc>
                <w:tcPr>
                  <w:tcW w:w="1052" w:type="pct"/>
                  <w:tcBorders>
                    <w:tl2br w:val="nil"/>
                    <w:tr2bl w:val="nil"/>
                  </w:tcBorders>
                  <w:vAlign w:val="center"/>
                </w:tcPr>
                <w:p w14:paraId="3D69CB8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1EB177C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1.9</w:t>
                  </w:r>
                </w:p>
              </w:tc>
              <w:tc>
                <w:tcPr>
                  <w:tcW w:w="931" w:type="pct"/>
                  <w:tcBorders>
                    <w:tl2br w:val="nil"/>
                    <w:tr2bl w:val="nil"/>
                  </w:tcBorders>
                  <w:vAlign w:val="center"/>
                </w:tcPr>
                <w:p w14:paraId="194D95B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-11.9</w:t>
                  </w:r>
                </w:p>
              </w:tc>
              <w:tc>
                <w:tcPr>
                  <w:tcW w:w="714" w:type="pct"/>
                  <w:tcBorders>
                    <w:tl2br w:val="nil"/>
                    <w:tr2bl w:val="nil"/>
                  </w:tcBorders>
                  <w:vAlign w:val="center"/>
                </w:tcPr>
                <w:p w14:paraId="507567B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872.5</w:t>
                  </w:r>
                </w:p>
              </w:tc>
            </w:tr>
            <w:tr w14:paraId="58A6D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restart"/>
                  <w:tcBorders>
                    <w:tl2br w:val="nil"/>
                    <w:tr2bl w:val="nil"/>
                  </w:tcBorders>
                  <w:vAlign w:val="center"/>
                </w:tcPr>
                <w:p w14:paraId="06D847B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2025.01.16</w:t>
                  </w:r>
                </w:p>
              </w:tc>
              <w:tc>
                <w:tcPr>
                  <w:tcW w:w="675" w:type="pct"/>
                  <w:tcBorders>
                    <w:tl2br w:val="nil"/>
                    <w:tr2bl w:val="nil"/>
                  </w:tcBorders>
                  <w:vAlign w:val="center"/>
                </w:tcPr>
                <w:p w14:paraId="3243E13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02:00</w:t>
                  </w:r>
                </w:p>
              </w:tc>
              <w:tc>
                <w:tcPr>
                  <w:tcW w:w="1052" w:type="pct"/>
                  <w:tcBorders>
                    <w:tl2br w:val="nil"/>
                    <w:tr2bl w:val="nil"/>
                  </w:tcBorders>
                  <w:vAlign w:val="center"/>
                </w:tcPr>
                <w:p w14:paraId="7123DB7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西南</w:t>
                  </w:r>
                </w:p>
              </w:tc>
              <w:tc>
                <w:tcPr>
                  <w:tcW w:w="931" w:type="pct"/>
                  <w:tcBorders>
                    <w:tl2br w:val="nil"/>
                    <w:tr2bl w:val="nil"/>
                  </w:tcBorders>
                  <w:vAlign w:val="center"/>
                </w:tcPr>
                <w:p w14:paraId="07A8227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1.3</w:t>
                  </w:r>
                </w:p>
              </w:tc>
              <w:tc>
                <w:tcPr>
                  <w:tcW w:w="931" w:type="pct"/>
                  <w:tcBorders>
                    <w:tl2br w:val="nil"/>
                    <w:tr2bl w:val="nil"/>
                  </w:tcBorders>
                  <w:vAlign w:val="center"/>
                </w:tcPr>
                <w:p w14:paraId="583E801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-11.0</w:t>
                  </w:r>
                </w:p>
              </w:tc>
              <w:tc>
                <w:tcPr>
                  <w:tcW w:w="714" w:type="pct"/>
                  <w:tcBorders>
                    <w:tl2br w:val="nil"/>
                    <w:tr2bl w:val="nil"/>
                  </w:tcBorders>
                  <w:vAlign w:val="center"/>
                </w:tcPr>
                <w:p w14:paraId="70C5359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871.4</w:t>
                  </w:r>
                </w:p>
              </w:tc>
            </w:tr>
            <w:tr w14:paraId="53231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1367C65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0F31F5B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08:00</w:t>
                  </w:r>
                </w:p>
              </w:tc>
              <w:tc>
                <w:tcPr>
                  <w:tcW w:w="1052" w:type="pct"/>
                  <w:tcBorders>
                    <w:tl2br w:val="nil"/>
                    <w:tr2bl w:val="nil"/>
                  </w:tcBorders>
                  <w:vAlign w:val="center"/>
                </w:tcPr>
                <w:p w14:paraId="0AAD3B9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南</w:t>
                  </w:r>
                </w:p>
              </w:tc>
              <w:tc>
                <w:tcPr>
                  <w:tcW w:w="931" w:type="pct"/>
                  <w:tcBorders>
                    <w:tl2br w:val="nil"/>
                    <w:tr2bl w:val="nil"/>
                  </w:tcBorders>
                  <w:vAlign w:val="center"/>
                </w:tcPr>
                <w:p w14:paraId="32D3C0D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1.2</w:t>
                  </w:r>
                </w:p>
              </w:tc>
              <w:tc>
                <w:tcPr>
                  <w:tcW w:w="931" w:type="pct"/>
                  <w:tcBorders>
                    <w:tl2br w:val="nil"/>
                    <w:tr2bl w:val="nil"/>
                  </w:tcBorders>
                  <w:vAlign w:val="center"/>
                </w:tcPr>
                <w:p w14:paraId="009A89D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-17.1</w:t>
                  </w:r>
                </w:p>
              </w:tc>
              <w:tc>
                <w:tcPr>
                  <w:tcW w:w="714" w:type="pct"/>
                  <w:tcBorders>
                    <w:tl2br w:val="nil"/>
                    <w:tr2bl w:val="nil"/>
                  </w:tcBorders>
                  <w:vAlign w:val="center"/>
                </w:tcPr>
                <w:p w14:paraId="43A6053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870.5</w:t>
                  </w:r>
                </w:p>
              </w:tc>
            </w:tr>
            <w:tr w14:paraId="68BE1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0532426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742962F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14:00</w:t>
                  </w:r>
                </w:p>
              </w:tc>
              <w:tc>
                <w:tcPr>
                  <w:tcW w:w="1052" w:type="pct"/>
                  <w:tcBorders>
                    <w:tl2br w:val="nil"/>
                    <w:tr2bl w:val="nil"/>
                  </w:tcBorders>
                  <w:vAlign w:val="center"/>
                </w:tcPr>
                <w:p w14:paraId="72C7AFB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西南</w:t>
                  </w:r>
                </w:p>
              </w:tc>
              <w:tc>
                <w:tcPr>
                  <w:tcW w:w="931" w:type="pct"/>
                  <w:tcBorders>
                    <w:tl2br w:val="nil"/>
                    <w:tr2bl w:val="nil"/>
                  </w:tcBorders>
                  <w:vAlign w:val="center"/>
                </w:tcPr>
                <w:p w14:paraId="71AD130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1.0</w:t>
                  </w:r>
                </w:p>
              </w:tc>
              <w:tc>
                <w:tcPr>
                  <w:tcW w:w="931" w:type="pct"/>
                  <w:tcBorders>
                    <w:tl2br w:val="nil"/>
                    <w:tr2bl w:val="nil"/>
                  </w:tcBorders>
                  <w:vAlign w:val="center"/>
                </w:tcPr>
                <w:p w14:paraId="17BF4CF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-4.2</w:t>
                  </w:r>
                </w:p>
              </w:tc>
              <w:tc>
                <w:tcPr>
                  <w:tcW w:w="714" w:type="pct"/>
                  <w:tcBorders>
                    <w:tl2br w:val="nil"/>
                    <w:tr2bl w:val="nil"/>
                  </w:tcBorders>
                  <w:vAlign w:val="center"/>
                </w:tcPr>
                <w:p w14:paraId="20F8180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870.0</w:t>
                  </w:r>
                </w:p>
              </w:tc>
            </w:tr>
            <w:tr w14:paraId="5A2BA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5E7C3CD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5F37C3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20:00</w:t>
                  </w:r>
                </w:p>
              </w:tc>
              <w:tc>
                <w:tcPr>
                  <w:tcW w:w="1052" w:type="pct"/>
                  <w:tcBorders>
                    <w:tl2br w:val="nil"/>
                    <w:tr2bl w:val="nil"/>
                  </w:tcBorders>
                  <w:vAlign w:val="center"/>
                </w:tcPr>
                <w:p w14:paraId="7951F27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57CF70F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1.3</w:t>
                  </w:r>
                </w:p>
              </w:tc>
              <w:tc>
                <w:tcPr>
                  <w:tcW w:w="931" w:type="pct"/>
                  <w:tcBorders>
                    <w:tl2br w:val="nil"/>
                    <w:tr2bl w:val="nil"/>
                  </w:tcBorders>
                  <w:vAlign w:val="center"/>
                </w:tcPr>
                <w:p w14:paraId="4C2E3E6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-11.5</w:t>
                  </w:r>
                </w:p>
              </w:tc>
              <w:tc>
                <w:tcPr>
                  <w:tcW w:w="714" w:type="pct"/>
                  <w:tcBorders>
                    <w:tl2br w:val="nil"/>
                    <w:tr2bl w:val="nil"/>
                  </w:tcBorders>
                  <w:vAlign w:val="center"/>
                </w:tcPr>
                <w:p w14:paraId="251CBA8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867.9</w:t>
                  </w:r>
                </w:p>
              </w:tc>
            </w:tr>
            <w:tr w14:paraId="4A0EC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restart"/>
                  <w:tcBorders>
                    <w:tl2br w:val="nil"/>
                    <w:tr2bl w:val="nil"/>
                  </w:tcBorders>
                  <w:vAlign w:val="center"/>
                </w:tcPr>
                <w:p w14:paraId="58846DF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2025.01.17</w:t>
                  </w:r>
                </w:p>
              </w:tc>
              <w:tc>
                <w:tcPr>
                  <w:tcW w:w="675" w:type="pct"/>
                  <w:tcBorders>
                    <w:tl2br w:val="nil"/>
                    <w:tr2bl w:val="nil"/>
                  </w:tcBorders>
                  <w:vAlign w:val="center"/>
                </w:tcPr>
                <w:p w14:paraId="6B7C0FB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02:00</w:t>
                  </w:r>
                </w:p>
              </w:tc>
              <w:tc>
                <w:tcPr>
                  <w:tcW w:w="1052" w:type="pct"/>
                  <w:tcBorders>
                    <w:tl2br w:val="nil"/>
                    <w:tr2bl w:val="nil"/>
                  </w:tcBorders>
                  <w:vAlign w:val="center"/>
                </w:tcPr>
                <w:p w14:paraId="1174085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北</w:t>
                  </w:r>
                </w:p>
              </w:tc>
              <w:tc>
                <w:tcPr>
                  <w:tcW w:w="931" w:type="pct"/>
                  <w:tcBorders>
                    <w:tl2br w:val="nil"/>
                    <w:tr2bl w:val="nil"/>
                  </w:tcBorders>
                  <w:vAlign w:val="center"/>
                </w:tcPr>
                <w:p w14:paraId="2B71E82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1.3</w:t>
                  </w:r>
                </w:p>
              </w:tc>
              <w:tc>
                <w:tcPr>
                  <w:tcW w:w="931" w:type="pct"/>
                  <w:tcBorders>
                    <w:tl2br w:val="nil"/>
                    <w:tr2bl w:val="nil"/>
                  </w:tcBorders>
                  <w:vAlign w:val="center"/>
                </w:tcPr>
                <w:p w14:paraId="4BE4BAA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-15.6</w:t>
                  </w:r>
                </w:p>
              </w:tc>
              <w:tc>
                <w:tcPr>
                  <w:tcW w:w="714" w:type="pct"/>
                  <w:tcBorders>
                    <w:tl2br w:val="nil"/>
                    <w:tr2bl w:val="nil"/>
                  </w:tcBorders>
                  <w:vAlign w:val="center"/>
                </w:tcPr>
                <w:p w14:paraId="20D943E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866.0</w:t>
                  </w:r>
                </w:p>
              </w:tc>
            </w:tr>
            <w:tr w14:paraId="6AE52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340226F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519D2A0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08:00</w:t>
                  </w:r>
                </w:p>
              </w:tc>
              <w:tc>
                <w:tcPr>
                  <w:tcW w:w="1052" w:type="pct"/>
                  <w:tcBorders>
                    <w:tl2br w:val="nil"/>
                    <w:tr2bl w:val="nil"/>
                  </w:tcBorders>
                  <w:vAlign w:val="center"/>
                </w:tcPr>
                <w:p w14:paraId="1561D15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北</w:t>
                  </w:r>
                </w:p>
              </w:tc>
              <w:tc>
                <w:tcPr>
                  <w:tcW w:w="931" w:type="pct"/>
                  <w:tcBorders>
                    <w:tl2br w:val="nil"/>
                    <w:tr2bl w:val="nil"/>
                  </w:tcBorders>
                  <w:vAlign w:val="center"/>
                </w:tcPr>
                <w:p w14:paraId="64A7DF8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1.6</w:t>
                  </w:r>
                </w:p>
              </w:tc>
              <w:tc>
                <w:tcPr>
                  <w:tcW w:w="931" w:type="pct"/>
                  <w:tcBorders>
                    <w:tl2br w:val="nil"/>
                    <w:tr2bl w:val="nil"/>
                  </w:tcBorders>
                  <w:vAlign w:val="center"/>
                </w:tcPr>
                <w:p w14:paraId="1737F6D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-18.2</w:t>
                  </w:r>
                </w:p>
              </w:tc>
              <w:tc>
                <w:tcPr>
                  <w:tcW w:w="714" w:type="pct"/>
                  <w:tcBorders>
                    <w:tl2br w:val="nil"/>
                    <w:tr2bl w:val="nil"/>
                  </w:tcBorders>
                  <w:vAlign w:val="center"/>
                </w:tcPr>
                <w:p w14:paraId="590689E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864.5</w:t>
                  </w:r>
                </w:p>
              </w:tc>
            </w:tr>
            <w:tr w14:paraId="5E330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73539E7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w:t>
                  </w:r>
                </w:p>
              </w:tc>
              <w:tc>
                <w:tcPr>
                  <w:tcW w:w="675" w:type="pct"/>
                  <w:tcBorders>
                    <w:tl2br w:val="nil"/>
                    <w:tr2bl w:val="nil"/>
                  </w:tcBorders>
                  <w:vAlign w:val="center"/>
                </w:tcPr>
                <w:p w14:paraId="69F2665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14:00</w:t>
                  </w:r>
                </w:p>
              </w:tc>
              <w:tc>
                <w:tcPr>
                  <w:tcW w:w="1052" w:type="pct"/>
                  <w:tcBorders>
                    <w:tl2br w:val="nil"/>
                    <w:tr2bl w:val="nil"/>
                  </w:tcBorders>
                  <w:vAlign w:val="center"/>
                </w:tcPr>
                <w:p w14:paraId="134CD2E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西南</w:t>
                  </w:r>
                </w:p>
              </w:tc>
              <w:tc>
                <w:tcPr>
                  <w:tcW w:w="931" w:type="pct"/>
                  <w:tcBorders>
                    <w:tl2br w:val="nil"/>
                    <w:tr2bl w:val="nil"/>
                  </w:tcBorders>
                  <w:vAlign w:val="center"/>
                </w:tcPr>
                <w:p w14:paraId="0542A8D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1.2</w:t>
                  </w:r>
                </w:p>
              </w:tc>
              <w:tc>
                <w:tcPr>
                  <w:tcW w:w="931" w:type="pct"/>
                  <w:tcBorders>
                    <w:tl2br w:val="nil"/>
                    <w:tr2bl w:val="nil"/>
                  </w:tcBorders>
                  <w:vAlign w:val="center"/>
                </w:tcPr>
                <w:p w14:paraId="695485F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3.6</w:t>
                  </w:r>
                </w:p>
              </w:tc>
              <w:tc>
                <w:tcPr>
                  <w:tcW w:w="714" w:type="pct"/>
                  <w:tcBorders>
                    <w:tl2br w:val="nil"/>
                    <w:tr2bl w:val="nil"/>
                  </w:tcBorders>
                  <w:vAlign w:val="center"/>
                </w:tcPr>
                <w:p w14:paraId="6AA5301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862.2</w:t>
                  </w:r>
                </w:p>
              </w:tc>
            </w:tr>
            <w:tr w14:paraId="7C927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676891B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31AAFD5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20:00</w:t>
                  </w:r>
                </w:p>
              </w:tc>
              <w:tc>
                <w:tcPr>
                  <w:tcW w:w="1052" w:type="pct"/>
                  <w:tcBorders>
                    <w:tl2br w:val="nil"/>
                    <w:tr2bl w:val="nil"/>
                  </w:tcBorders>
                  <w:vAlign w:val="center"/>
                </w:tcPr>
                <w:p w14:paraId="07C6912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西北</w:t>
                  </w:r>
                </w:p>
              </w:tc>
              <w:tc>
                <w:tcPr>
                  <w:tcW w:w="931" w:type="pct"/>
                  <w:tcBorders>
                    <w:tl2br w:val="nil"/>
                    <w:tr2bl w:val="nil"/>
                  </w:tcBorders>
                  <w:vAlign w:val="center"/>
                </w:tcPr>
                <w:p w14:paraId="67BA8F9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1.0</w:t>
                  </w:r>
                </w:p>
              </w:tc>
              <w:tc>
                <w:tcPr>
                  <w:tcW w:w="931" w:type="pct"/>
                  <w:tcBorders>
                    <w:tl2br w:val="nil"/>
                    <w:tr2bl w:val="nil"/>
                  </w:tcBorders>
                  <w:vAlign w:val="center"/>
                </w:tcPr>
                <w:p w14:paraId="7B24075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-10.2</w:t>
                  </w:r>
                </w:p>
              </w:tc>
              <w:tc>
                <w:tcPr>
                  <w:tcW w:w="714" w:type="pct"/>
                  <w:tcBorders>
                    <w:tl2br w:val="nil"/>
                    <w:tr2bl w:val="nil"/>
                  </w:tcBorders>
                  <w:vAlign w:val="center"/>
                </w:tcPr>
                <w:p w14:paraId="303BAE1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865.8</w:t>
                  </w:r>
                </w:p>
              </w:tc>
            </w:tr>
            <w:tr w14:paraId="0AB97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restart"/>
                  <w:tcBorders>
                    <w:tl2br w:val="nil"/>
                    <w:tr2bl w:val="nil"/>
                  </w:tcBorders>
                  <w:vAlign w:val="center"/>
                </w:tcPr>
                <w:p w14:paraId="19B0DFD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2025.01.18</w:t>
                  </w:r>
                </w:p>
              </w:tc>
              <w:tc>
                <w:tcPr>
                  <w:tcW w:w="675" w:type="pct"/>
                  <w:tcBorders>
                    <w:tl2br w:val="nil"/>
                    <w:tr2bl w:val="nil"/>
                  </w:tcBorders>
                  <w:vAlign w:val="center"/>
                </w:tcPr>
                <w:p w14:paraId="31875EB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02:00</w:t>
                  </w:r>
                </w:p>
              </w:tc>
              <w:tc>
                <w:tcPr>
                  <w:tcW w:w="1052" w:type="pct"/>
                  <w:tcBorders>
                    <w:tl2br w:val="nil"/>
                    <w:tr2bl w:val="nil"/>
                  </w:tcBorders>
                  <w:vAlign w:val="center"/>
                </w:tcPr>
                <w:p w14:paraId="3149941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西南</w:t>
                  </w:r>
                </w:p>
              </w:tc>
              <w:tc>
                <w:tcPr>
                  <w:tcW w:w="931" w:type="pct"/>
                  <w:tcBorders>
                    <w:tl2br w:val="nil"/>
                    <w:tr2bl w:val="nil"/>
                  </w:tcBorders>
                  <w:vAlign w:val="center"/>
                </w:tcPr>
                <w:p w14:paraId="6EC3B2C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1.2</w:t>
                  </w:r>
                </w:p>
              </w:tc>
              <w:tc>
                <w:tcPr>
                  <w:tcW w:w="931" w:type="pct"/>
                  <w:tcBorders>
                    <w:tl2br w:val="nil"/>
                    <w:tr2bl w:val="nil"/>
                  </w:tcBorders>
                  <w:vAlign w:val="center"/>
                </w:tcPr>
                <w:p w14:paraId="64AEC73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-8.5</w:t>
                  </w:r>
                </w:p>
              </w:tc>
              <w:tc>
                <w:tcPr>
                  <w:tcW w:w="714" w:type="pct"/>
                  <w:tcBorders>
                    <w:tl2br w:val="nil"/>
                    <w:tr2bl w:val="nil"/>
                  </w:tcBorders>
                  <w:vAlign w:val="center"/>
                </w:tcPr>
                <w:p w14:paraId="201CC4D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865.7</w:t>
                  </w:r>
                </w:p>
              </w:tc>
            </w:tr>
            <w:tr w14:paraId="17F7B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07BA3C3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0EA5CE4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08:00</w:t>
                  </w:r>
                </w:p>
              </w:tc>
              <w:tc>
                <w:tcPr>
                  <w:tcW w:w="1052" w:type="pct"/>
                  <w:tcBorders>
                    <w:tl2br w:val="nil"/>
                    <w:tr2bl w:val="nil"/>
                  </w:tcBorders>
                  <w:vAlign w:val="center"/>
                </w:tcPr>
                <w:p w14:paraId="09E70C4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7FCFBAA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1.7</w:t>
                  </w:r>
                </w:p>
              </w:tc>
              <w:tc>
                <w:tcPr>
                  <w:tcW w:w="931" w:type="pct"/>
                  <w:tcBorders>
                    <w:tl2br w:val="nil"/>
                    <w:tr2bl w:val="nil"/>
                  </w:tcBorders>
                  <w:vAlign w:val="center"/>
                </w:tcPr>
                <w:p w14:paraId="5F38092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-13.2</w:t>
                  </w:r>
                </w:p>
              </w:tc>
              <w:tc>
                <w:tcPr>
                  <w:tcW w:w="714" w:type="pct"/>
                  <w:tcBorders>
                    <w:tl2br w:val="nil"/>
                    <w:tr2bl w:val="nil"/>
                  </w:tcBorders>
                  <w:vAlign w:val="center"/>
                </w:tcPr>
                <w:p w14:paraId="03C42CC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865.0</w:t>
                  </w:r>
                </w:p>
              </w:tc>
            </w:tr>
            <w:tr w14:paraId="1A3D9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1608F4F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70A9903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14:00</w:t>
                  </w:r>
                </w:p>
              </w:tc>
              <w:tc>
                <w:tcPr>
                  <w:tcW w:w="1052" w:type="pct"/>
                  <w:tcBorders>
                    <w:tl2br w:val="nil"/>
                    <w:tr2bl w:val="nil"/>
                  </w:tcBorders>
                  <w:vAlign w:val="center"/>
                </w:tcPr>
                <w:p w14:paraId="340ED04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3758C0C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w:t>
                  </w:r>
                </w:p>
              </w:tc>
              <w:tc>
                <w:tcPr>
                  <w:tcW w:w="931" w:type="pct"/>
                  <w:tcBorders>
                    <w:tl2br w:val="nil"/>
                    <w:tr2bl w:val="nil"/>
                  </w:tcBorders>
                  <w:vAlign w:val="center"/>
                </w:tcPr>
                <w:p w14:paraId="62E7963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1.9</w:t>
                  </w:r>
                </w:p>
              </w:tc>
              <w:tc>
                <w:tcPr>
                  <w:tcW w:w="714" w:type="pct"/>
                  <w:tcBorders>
                    <w:tl2br w:val="nil"/>
                    <w:tr2bl w:val="nil"/>
                  </w:tcBorders>
                  <w:vAlign w:val="center"/>
                </w:tcPr>
                <w:p w14:paraId="697A773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863.9</w:t>
                  </w:r>
                </w:p>
              </w:tc>
            </w:tr>
            <w:tr w14:paraId="627FE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4925755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3D1465F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20:00</w:t>
                  </w:r>
                </w:p>
              </w:tc>
              <w:tc>
                <w:tcPr>
                  <w:tcW w:w="1052" w:type="pct"/>
                  <w:tcBorders>
                    <w:tl2br w:val="nil"/>
                    <w:tr2bl w:val="nil"/>
                  </w:tcBorders>
                  <w:vAlign w:val="center"/>
                </w:tcPr>
                <w:p w14:paraId="5298DE9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4DA03E9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0.9</w:t>
                  </w:r>
                </w:p>
              </w:tc>
              <w:tc>
                <w:tcPr>
                  <w:tcW w:w="931" w:type="pct"/>
                  <w:tcBorders>
                    <w:tl2br w:val="nil"/>
                    <w:tr2bl w:val="nil"/>
                  </w:tcBorders>
                  <w:vAlign w:val="center"/>
                </w:tcPr>
                <w:p w14:paraId="178E0A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-6.6</w:t>
                  </w:r>
                </w:p>
              </w:tc>
              <w:tc>
                <w:tcPr>
                  <w:tcW w:w="714" w:type="pct"/>
                  <w:tcBorders>
                    <w:tl2br w:val="nil"/>
                    <w:tr2bl w:val="nil"/>
                  </w:tcBorders>
                  <w:vAlign w:val="center"/>
                </w:tcPr>
                <w:p w14:paraId="3F3EAD0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864.7</w:t>
                  </w:r>
                </w:p>
              </w:tc>
            </w:tr>
            <w:tr w14:paraId="73172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restart"/>
                  <w:tcBorders>
                    <w:tl2br w:val="nil"/>
                    <w:tr2bl w:val="nil"/>
                  </w:tcBorders>
                  <w:vAlign w:val="center"/>
                </w:tcPr>
                <w:p w14:paraId="61264A3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2025.01.19</w:t>
                  </w:r>
                </w:p>
              </w:tc>
              <w:tc>
                <w:tcPr>
                  <w:tcW w:w="675" w:type="pct"/>
                  <w:tcBorders>
                    <w:tl2br w:val="nil"/>
                    <w:tr2bl w:val="nil"/>
                  </w:tcBorders>
                  <w:vAlign w:val="center"/>
                </w:tcPr>
                <w:p w14:paraId="14FB39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02:00</w:t>
                  </w:r>
                </w:p>
              </w:tc>
              <w:tc>
                <w:tcPr>
                  <w:tcW w:w="1052" w:type="pct"/>
                  <w:tcBorders>
                    <w:tl2br w:val="nil"/>
                    <w:tr2bl w:val="nil"/>
                  </w:tcBorders>
                  <w:vAlign w:val="center"/>
                </w:tcPr>
                <w:p w14:paraId="04D8574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南</w:t>
                  </w:r>
                </w:p>
              </w:tc>
              <w:tc>
                <w:tcPr>
                  <w:tcW w:w="931" w:type="pct"/>
                  <w:tcBorders>
                    <w:tl2br w:val="nil"/>
                    <w:tr2bl w:val="nil"/>
                  </w:tcBorders>
                  <w:vAlign w:val="center"/>
                </w:tcPr>
                <w:p w14:paraId="7A984E5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1.5</w:t>
                  </w:r>
                </w:p>
              </w:tc>
              <w:tc>
                <w:tcPr>
                  <w:tcW w:w="931" w:type="pct"/>
                  <w:tcBorders>
                    <w:tl2br w:val="nil"/>
                    <w:tr2bl w:val="nil"/>
                  </w:tcBorders>
                  <w:vAlign w:val="center"/>
                </w:tcPr>
                <w:p w14:paraId="4001ADB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-8.9</w:t>
                  </w:r>
                </w:p>
              </w:tc>
              <w:tc>
                <w:tcPr>
                  <w:tcW w:w="714" w:type="pct"/>
                  <w:tcBorders>
                    <w:tl2br w:val="nil"/>
                    <w:tr2bl w:val="nil"/>
                  </w:tcBorders>
                  <w:vAlign w:val="center"/>
                </w:tcPr>
                <w:p w14:paraId="1B71AD6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863.9</w:t>
                  </w:r>
                </w:p>
              </w:tc>
            </w:tr>
            <w:tr w14:paraId="6D917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59A7F4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1B59B41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08:00</w:t>
                  </w:r>
                </w:p>
              </w:tc>
              <w:tc>
                <w:tcPr>
                  <w:tcW w:w="1052" w:type="pct"/>
                  <w:tcBorders>
                    <w:tl2br w:val="nil"/>
                    <w:tr2bl w:val="nil"/>
                  </w:tcBorders>
                  <w:vAlign w:val="center"/>
                </w:tcPr>
                <w:p w14:paraId="5B5DFDA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3FD8540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1.3</w:t>
                  </w:r>
                </w:p>
              </w:tc>
              <w:tc>
                <w:tcPr>
                  <w:tcW w:w="931" w:type="pct"/>
                  <w:tcBorders>
                    <w:tl2br w:val="nil"/>
                    <w:tr2bl w:val="nil"/>
                  </w:tcBorders>
                  <w:vAlign w:val="center"/>
                </w:tcPr>
                <w:p w14:paraId="691C1CA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-14.7</w:t>
                  </w:r>
                </w:p>
              </w:tc>
              <w:tc>
                <w:tcPr>
                  <w:tcW w:w="714" w:type="pct"/>
                  <w:tcBorders>
                    <w:tl2br w:val="nil"/>
                    <w:tr2bl w:val="nil"/>
                  </w:tcBorders>
                  <w:vAlign w:val="center"/>
                </w:tcPr>
                <w:p w14:paraId="7685296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863.0</w:t>
                  </w:r>
                </w:p>
              </w:tc>
            </w:tr>
            <w:tr w14:paraId="74952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017CFD4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330C2D2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14:00</w:t>
                  </w:r>
                </w:p>
              </w:tc>
              <w:tc>
                <w:tcPr>
                  <w:tcW w:w="1052" w:type="pct"/>
                  <w:tcBorders>
                    <w:tl2br w:val="nil"/>
                    <w:tr2bl w:val="nil"/>
                  </w:tcBorders>
                  <w:vAlign w:val="center"/>
                </w:tcPr>
                <w:p w14:paraId="752C439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3E2B210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1.0</w:t>
                  </w:r>
                </w:p>
              </w:tc>
              <w:tc>
                <w:tcPr>
                  <w:tcW w:w="931" w:type="pct"/>
                  <w:tcBorders>
                    <w:tl2br w:val="nil"/>
                    <w:tr2bl w:val="nil"/>
                  </w:tcBorders>
                  <w:vAlign w:val="center"/>
                </w:tcPr>
                <w:p w14:paraId="179F38A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5.3</w:t>
                  </w:r>
                </w:p>
              </w:tc>
              <w:tc>
                <w:tcPr>
                  <w:tcW w:w="714" w:type="pct"/>
                  <w:tcBorders>
                    <w:tl2br w:val="nil"/>
                    <w:tr2bl w:val="nil"/>
                  </w:tcBorders>
                  <w:vAlign w:val="center"/>
                </w:tcPr>
                <w:p w14:paraId="524D251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860.5</w:t>
                  </w:r>
                </w:p>
              </w:tc>
            </w:tr>
            <w:tr w14:paraId="264B0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23" w:hRule="atLeast"/>
                <w:jc w:val="center"/>
              </w:trPr>
              <w:tc>
                <w:tcPr>
                  <w:tcW w:w="694" w:type="pct"/>
                  <w:vMerge w:val="continue"/>
                  <w:tcBorders>
                    <w:tl2br w:val="nil"/>
                    <w:tr2bl w:val="nil"/>
                  </w:tcBorders>
                  <w:vAlign w:val="center"/>
                </w:tcPr>
                <w:p w14:paraId="18EEC34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p>
              </w:tc>
              <w:tc>
                <w:tcPr>
                  <w:tcW w:w="675" w:type="pct"/>
                  <w:tcBorders>
                    <w:tl2br w:val="nil"/>
                    <w:tr2bl w:val="nil"/>
                  </w:tcBorders>
                  <w:vAlign w:val="center"/>
                </w:tcPr>
                <w:p w14:paraId="1AC5C1C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20:00</w:t>
                  </w:r>
                </w:p>
              </w:tc>
              <w:tc>
                <w:tcPr>
                  <w:tcW w:w="1052" w:type="pct"/>
                  <w:tcBorders>
                    <w:tl2br w:val="nil"/>
                    <w:tr2bl w:val="nil"/>
                  </w:tcBorders>
                  <w:vAlign w:val="center"/>
                </w:tcPr>
                <w:p w14:paraId="2FA79A0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西</w:t>
                  </w:r>
                </w:p>
              </w:tc>
              <w:tc>
                <w:tcPr>
                  <w:tcW w:w="931" w:type="pct"/>
                  <w:tcBorders>
                    <w:tl2br w:val="nil"/>
                    <w:tr2bl w:val="nil"/>
                  </w:tcBorders>
                  <w:vAlign w:val="center"/>
                </w:tcPr>
                <w:p w14:paraId="4BCBE05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1.7</w:t>
                  </w:r>
                </w:p>
              </w:tc>
              <w:tc>
                <w:tcPr>
                  <w:tcW w:w="931" w:type="pct"/>
                  <w:tcBorders>
                    <w:tl2br w:val="nil"/>
                    <w:tr2bl w:val="nil"/>
                  </w:tcBorders>
                  <w:vAlign w:val="center"/>
                </w:tcPr>
                <w:p w14:paraId="676B655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-6.2</w:t>
                  </w:r>
                </w:p>
              </w:tc>
              <w:tc>
                <w:tcPr>
                  <w:tcW w:w="714" w:type="pct"/>
                  <w:tcBorders>
                    <w:tl2br w:val="nil"/>
                    <w:tr2bl w:val="nil"/>
                  </w:tcBorders>
                  <w:vAlign w:val="center"/>
                </w:tcPr>
                <w:p w14:paraId="1E1BA9B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1"/>
                      <w:szCs w:val="21"/>
                      <w:lang w:val="zh-CN" w:eastAsia="zh-CN"/>
                    </w:rPr>
                  </w:pPr>
                  <w:r>
                    <w:rPr>
                      <w:rFonts w:hint="default" w:ascii="Times New Roman" w:hAnsi="Times New Roman" w:eastAsia="宋体" w:cs="Times New Roman"/>
                      <w:b w:val="0"/>
                      <w:bCs w:val="0"/>
                      <w:color w:val="auto"/>
                      <w:sz w:val="21"/>
                      <w:szCs w:val="21"/>
                      <w:lang w:val="zh-CN" w:eastAsia="zh-CN"/>
                    </w:rPr>
                    <w:t>862.7</w:t>
                  </w:r>
                </w:p>
              </w:tc>
            </w:tr>
          </w:tbl>
          <w:p w14:paraId="568E249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⑤采样及分析方法</w:t>
            </w:r>
          </w:p>
          <w:p w14:paraId="533508B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监测仪器、采样分析方法及检出限见表3-4。</w:t>
            </w:r>
          </w:p>
          <w:p w14:paraId="1FC73D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eastAsia" w:ascii="Times New Roman" w:hAnsi="Times New Roman" w:eastAsia="宋体" w:cs="Times New Roman"/>
                <w:b/>
                <w:bCs/>
                <w:color w:val="auto"/>
                <w:sz w:val="24"/>
                <w:lang w:val="zh-CN" w:eastAsia="zh-CN"/>
              </w:rPr>
            </w:pPr>
            <w:r>
              <w:rPr>
                <w:rFonts w:hint="eastAsia" w:ascii="Times New Roman" w:hAnsi="Times New Roman" w:eastAsia="宋体" w:cs="Times New Roman"/>
                <w:b/>
                <w:bCs/>
                <w:color w:val="auto"/>
                <w:sz w:val="24"/>
                <w:lang w:val="zh-CN" w:eastAsia="zh-CN"/>
              </w:rPr>
              <w:t>表3-</w:t>
            </w:r>
            <w:r>
              <w:rPr>
                <w:rFonts w:hint="eastAsia" w:ascii="Times New Roman" w:hAnsi="Times New Roman" w:eastAsia="宋体" w:cs="Times New Roman"/>
                <w:b/>
                <w:bCs/>
                <w:color w:val="auto"/>
                <w:sz w:val="24"/>
                <w:lang w:val="en-US" w:eastAsia="zh-CN"/>
              </w:rPr>
              <w:t>4</w:t>
            </w:r>
            <w:r>
              <w:rPr>
                <w:rFonts w:hint="eastAsia" w:ascii="Times New Roman" w:hAnsi="Times New Roman" w:eastAsia="宋体" w:cs="Times New Roman"/>
                <w:b/>
                <w:bCs/>
                <w:color w:val="auto"/>
                <w:sz w:val="24"/>
                <w:lang w:val="zh-CN" w:eastAsia="zh-CN"/>
              </w:rPr>
              <w:t>环境空气质量现状检测仪器及分析方法</w:t>
            </w:r>
          </w:p>
          <w:tbl>
            <w:tblPr>
              <w:tblStyle w:val="24"/>
              <w:tblW w:w="4995"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8"/>
              <w:gridCol w:w="1256"/>
              <w:gridCol w:w="2126"/>
              <w:gridCol w:w="2386"/>
              <w:gridCol w:w="1069"/>
              <w:gridCol w:w="804"/>
            </w:tblGrid>
            <w:tr w14:paraId="604F0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90" w:type="pct"/>
                  <w:noWrap w:val="0"/>
                  <w:vAlign w:val="center"/>
                </w:tcPr>
                <w:p w14:paraId="3BB75A0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序号</w:t>
                  </w:r>
                </w:p>
              </w:tc>
              <w:tc>
                <w:tcPr>
                  <w:tcW w:w="758" w:type="pct"/>
                  <w:noWrap w:val="0"/>
                  <w:vAlign w:val="center"/>
                </w:tcPr>
                <w:p w14:paraId="19FE484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检测项目</w:t>
                  </w:r>
                </w:p>
              </w:tc>
              <w:tc>
                <w:tcPr>
                  <w:tcW w:w="1282" w:type="pct"/>
                  <w:noWrap w:val="0"/>
                  <w:vAlign w:val="center"/>
                </w:tcPr>
                <w:p w14:paraId="6869F0F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检测仪器及型号</w:t>
                  </w:r>
                </w:p>
              </w:tc>
              <w:tc>
                <w:tcPr>
                  <w:tcW w:w="1439" w:type="pct"/>
                  <w:noWrap w:val="0"/>
                  <w:vAlign w:val="center"/>
                </w:tcPr>
                <w:p w14:paraId="1FBEB08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分析方法及来源</w:t>
                  </w:r>
                </w:p>
              </w:tc>
              <w:tc>
                <w:tcPr>
                  <w:tcW w:w="644" w:type="pct"/>
                  <w:noWrap w:val="0"/>
                  <w:vAlign w:val="center"/>
                </w:tcPr>
                <w:p w14:paraId="4D0EF3F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检出限</w:t>
                  </w:r>
                </w:p>
              </w:tc>
              <w:tc>
                <w:tcPr>
                  <w:tcW w:w="484" w:type="pct"/>
                  <w:noWrap w:val="0"/>
                  <w:vAlign w:val="center"/>
                </w:tcPr>
                <w:p w14:paraId="271FD4E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备注</w:t>
                  </w:r>
                </w:p>
              </w:tc>
            </w:tr>
            <w:tr w14:paraId="20354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90" w:type="pct"/>
                  <w:noWrap w:val="0"/>
                  <w:vAlign w:val="center"/>
                </w:tcPr>
                <w:p w14:paraId="3B02DD1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1</w:t>
                  </w:r>
                </w:p>
              </w:tc>
              <w:tc>
                <w:tcPr>
                  <w:tcW w:w="758" w:type="pct"/>
                  <w:noWrap w:val="0"/>
                  <w:vAlign w:val="center"/>
                </w:tcPr>
                <w:p w14:paraId="00E3385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非甲烷总烃</w:t>
                  </w:r>
                </w:p>
              </w:tc>
              <w:tc>
                <w:tcPr>
                  <w:tcW w:w="1282" w:type="pct"/>
                  <w:noWrap w:val="0"/>
                  <w:vAlign w:val="center"/>
                </w:tcPr>
                <w:p w14:paraId="68D0AA8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3420A型气相色谱仪</w:t>
                  </w:r>
                </w:p>
              </w:tc>
              <w:tc>
                <w:tcPr>
                  <w:tcW w:w="1439" w:type="pct"/>
                  <w:noWrap w:val="0"/>
                  <w:vAlign w:val="center"/>
                </w:tcPr>
                <w:p w14:paraId="40BE5A5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《环境空气总烃、甲烷和非甲烷总烃的测定直接进样-气相色谱法》</w:t>
                  </w:r>
                </w:p>
                <w:p w14:paraId="48F70A7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HJ604-2017</w:t>
                  </w:r>
                </w:p>
              </w:tc>
              <w:tc>
                <w:tcPr>
                  <w:tcW w:w="644" w:type="pct"/>
                  <w:noWrap w:val="0"/>
                  <w:vAlign w:val="center"/>
                </w:tcPr>
                <w:p w14:paraId="5C179D9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0.07mg/</w:t>
                  </w:r>
                  <w:r>
                    <w:rPr>
                      <w:rFonts w:hint="default" w:ascii="Times New Roman" w:hAnsi="Times New Roman" w:eastAsia="宋体"/>
                      <w:color w:val="auto"/>
                      <w:sz w:val="21"/>
                      <w:szCs w:val="21"/>
                      <w:lang w:val="en-US" w:eastAsia="zh-CN"/>
                    </w:rPr>
                    <w:t>m</w:t>
                  </w:r>
                  <w:r>
                    <w:rPr>
                      <w:rFonts w:hint="default" w:ascii="Times New Roman" w:hAnsi="Times New Roman" w:eastAsia="宋体"/>
                      <w:color w:val="auto"/>
                      <w:sz w:val="21"/>
                      <w:szCs w:val="21"/>
                      <w:vertAlign w:val="superscript"/>
                      <w:lang w:val="en-US" w:eastAsia="zh-CN"/>
                    </w:rPr>
                    <w:t>3</w:t>
                  </w:r>
                </w:p>
              </w:tc>
              <w:tc>
                <w:tcPr>
                  <w:tcW w:w="484" w:type="pct"/>
                  <w:noWrap w:val="0"/>
                  <w:vAlign w:val="center"/>
                </w:tcPr>
                <w:p w14:paraId="1F8650D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r>
            <w:tr w14:paraId="37BFB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90" w:type="pct"/>
                  <w:noWrap w:val="0"/>
                  <w:vAlign w:val="center"/>
                </w:tcPr>
                <w:p w14:paraId="33E67DA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w:t>
                  </w:r>
                </w:p>
              </w:tc>
              <w:tc>
                <w:tcPr>
                  <w:tcW w:w="758" w:type="pct"/>
                  <w:noWrap w:val="0"/>
                  <w:vAlign w:val="center"/>
                </w:tcPr>
                <w:p w14:paraId="1ED4B0E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TSP</w:t>
                  </w:r>
                </w:p>
              </w:tc>
              <w:tc>
                <w:tcPr>
                  <w:tcW w:w="1282" w:type="pct"/>
                  <w:noWrap w:val="0"/>
                  <w:vAlign w:val="center"/>
                </w:tcPr>
                <w:p w14:paraId="4771694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恒温恒湿称重系统RG-AWS10</w:t>
                  </w:r>
                </w:p>
                <w:p w14:paraId="64E1D01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电子天平</w:t>
                  </w:r>
                </w:p>
                <w:p w14:paraId="6FEF848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PX125DZH</w:t>
                  </w:r>
                </w:p>
              </w:tc>
              <w:tc>
                <w:tcPr>
                  <w:tcW w:w="1439" w:type="pct"/>
                  <w:noWrap w:val="0"/>
                  <w:vAlign w:val="center"/>
                </w:tcPr>
                <w:p w14:paraId="4A7FD95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《环境空气总悬浮颗粒物的测定重量法》</w:t>
                  </w:r>
                </w:p>
                <w:p w14:paraId="6859FCB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default" w:ascii="Times New Roman" w:hAnsi="Times New Roman" w:eastAsia="宋体"/>
                      <w:color w:val="auto"/>
                      <w:sz w:val="21"/>
                      <w:szCs w:val="21"/>
                      <w:lang w:val="en-US" w:eastAsia="zh-CN"/>
                    </w:rPr>
                    <w:t>HJ1263-2022</w:t>
                  </w:r>
                </w:p>
              </w:tc>
              <w:tc>
                <w:tcPr>
                  <w:tcW w:w="644" w:type="pct"/>
                  <w:noWrap w:val="0"/>
                  <w:vAlign w:val="center"/>
                </w:tcPr>
                <w:p w14:paraId="68783A0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default" w:ascii="Times New Roman" w:hAnsi="Times New Roman" w:eastAsia="宋体"/>
                      <w:color w:val="auto"/>
                      <w:sz w:val="21"/>
                      <w:szCs w:val="21"/>
                      <w:lang w:val="en-US" w:eastAsia="zh-CN"/>
                    </w:rPr>
                    <w:t>7μg/m</w:t>
                  </w:r>
                  <w:r>
                    <w:rPr>
                      <w:rFonts w:hint="default" w:ascii="Times New Roman" w:hAnsi="Times New Roman" w:eastAsia="宋体"/>
                      <w:color w:val="auto"/>
                      <w:sz w:val="21"/>
                      <w:szCs w:val="21"/>
                      <w:vertAlign w:val="superscript"/>
                      <w:lang w:val="en-US" w:eastAsia="zh-CN"/>
                    </w:rPr>
                    <w:t>3</w:t>
                  </w:r>
                </w:p>
              </w:tc>
              <w:tc>
                <w:tcPr>
                  <w:tcW w:w="484" w:type="pct"/>
                  <w:noWrap w:val="0"/>
                  <w:vAlign w:val="center"/>
                </w:tcPr>
                <w:p w14:paraId="71239D7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r>
          </w:tbl>
          <w:p w14:paraId="00E142A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color w:val="auto"/>
                <w:lang w:val="en-US" w:eastAsia="zh-CN"/>
              </w:rPr>
              <w:t>⑥</w:t>
            </w:r>
            <w:r>
              <w:rPr>
                <w:rFonts w:hint="eastAsia" w:ascii="Times New Roman" w:hAnsi="Times New Roman" w:eastAsia="宋体" w:cs="Times New Roman"/>
                <w:color w:val="auto"/>
                <w:kern w:val="0"/>
                <w:szCs w:val="21"/>
                <w:lang w:val="en-US" w:eastAsia="zh-CN"/>
              </w:rPr>
              <w:t>监测结果统计</w:t>
            </w:r>
          </w:p>
          <w:p w14:paraId="2DA747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表3-5</w:t>
            </w:r>
            <w:r>
              <w:rPr>
                <w:rFonts w:hint="eastAsia" w:ascii="Times New Roman" w:hAnsi="Times New Roman" w:eastAsia="宋体" w:cs="Times New Roman"/>
                <w:b/>
                <w:bCs/>
                <w:color w:val="auto"/>
                <w:sz w:val="24"/>
                <w:lang w:val="zh-CN" w:eastAsia="zh-CN"/>
              </w:rPr>
              <w:t>环境空气质量现状监测统计结果</w:t>
            </w:r>
          </w:p>
          <w:tbl>
            <w:tblPr>
              <w:tblStyle w:val="25"/>
              <w:tblW w:w="83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29"/>
              <w:gridCol w:w="1312"/>
              <w:gridCol w:w="1338"/>
              <w:gridCol w:w="1637"/>
              <w:gridCol w:w="1438"/>
              <w:gridCol w:w="1204"/>
            </w:tblGrid>
            <w:tr w14:paraId="6C5EE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trPr>
              <w:tc>
                <w:tcPr>
                  <w:tcW w:w="1429" w:type="dxa"/>
                  <w:tcBorders>
                    <w:tl2br w:val="nil"/>
                    <w:tr2bl w:val="nil"/>
                  </w:tcBorders>
                  <w:vAlign w:val="center"/>
                </w:tcPr>
                <w:p w14:paraId="1D0C934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zh-CN" w:eastAsia="zh-CN"/>
                    </w:rPr>
                    <w:t>监测项目</w:t>
                  </w:r>
                </w:p>
              </w:tc>
              <w:tc>
                <w:tcPr>
                  <w:tcW w:w="1312" w:type="dxa"/>
                  <w:tcBorders>
                    <w:tl2br w:val="nil"/>
                    <w:tr2bl w:val="nil"/>
                  </w:tcBorders>
                  <w:vAlign w:val="center"/>
                </w:tcPr>
                <w:p w14:paraId="2C3C666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zh-CN" w:eastAsia="zh-CN"/>
                    </w:rPr>
                    <w:t>监测点位</w:t>
                  </w:r>
                </w:p>
              </w:tc>
              <w:tc>
                <w:tcPr>
                  <w:tcW w:w="1338" w:type="dxa"/>
                  <w:tcBorders>
                    <w:tl2br w:val="nil"/>
                    <w:tr2bl w:val="nil"/>
                  </w:tcBorders>
                  <w:vAlign w:val="center"/>
                </w:tcPr>
                <w:p w14:paraId="540E23F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zh-CN" w:eastAsia="zh-CN"/>
                    </w:rPr>
                    <w:t>取值类型</w:t>
                  </w:r>
                </w:p>
              </w:tc>
              <w:tc>
                <w:tcPr>
                  <w:tcW w:w="1637" w:type="dxa"/>
                  <w:tcBorders>
                    <w:tl2br w:val="nil"/>
                    <w:tr2bl w:val="nil"/>
                  </w:tcBorders>
                  <w:vAlign w:val="center"/>
                </w:tcPr>
                <w:p w14:paraId="3C92C73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zh-CN" w:eastAsia="zh-CN"/>
                    </w:rPr>
                    <w:t>浓度范围(mg/</w:t>
                  </w:r>
                  <w:r>
                    <w:rPr>
                      <w:rFonts w:hint="default" w:ascii="Times New Roman" w:hAnsi="Times New Roman" w:eastAsia="宋体"/>
                      <w:color w:val="auto"/>
                      <w:sz w:val="21"/>
                      <w:szCs w:val="21"/>
                      <w:lang w:val="en-US" w:eastAsia="zh-CN"/>
                    </w:rPr>
                    <w:t>m</w:t>
                  </w:r>
                  <w:r>
                    <w:rPr>
                      <w:rFonts w:hint="default" w:ascii="Times New Roman" w:hAnsi="Times New Roman" w:eastAsia="宋体"/>
                      <w:color w:val="auto"/>
                      <w:sz w:val="21"/>
                      <w:szCs w:val="21"/>
                      <w:vertAlign w:val="superscript"/>
                      <w:lang w:val="en-US" w:eastAsia="zh-CN"/>
                    </w:rPr>
                    <w:t>3</w:t>
                  </w:r>
                  <w:r>
                    <w:rPr>
                      <w:rFonts w:hint="eastAsia" w:ascii="Times New Roman" w:hAnsi="Times New Roman" w:eastAsia="宋体"/>
                      <w:color w:val="auto"/>
                      <w:sz w:val="21"/>
                      <w:szCs w:val="21"/>
                      <w:lang w:val="zh-CN" w:eastAsia="zh-CN"/>
                    </w:rPr>
                    <w:t>)</w:t>
                  </w:r>
                </w:p>
              </w:tc>
              <w:tc>
                <w:tcPr>
                  <w:tcW w:w="1438" w:type="dxa"/>
                  <w:tcBorders>
                    <w:tl2br w:val="nil"/>
                    <w:tr2bl w:val="nil"/>
                  </w:tcBorders>
                  <w:vAlign w:val="center"/>
                </w:tcPr>
                <w:p w14:paraId="2FB5E3F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zh-CN" w:eastAsia="zh-CN"/>
                    </w:rPr>
                    <w:t>执行标准(mg/</w:t>
                  </w:r>
                  <w:r>
                    <w:rPr>
                      <w:rFonts w:hint="default" w:ascii="Times New Roman" w:hAnsi="Times New Roman" w:eastAsia="宋体"/>
                      <w:color w:val="auto"/>
                      <w:sz w:val="21"/>
                      <w:szCs w:val="21"/>
                      <w:lang w:val="en-US" w:eastAsia="zh-CN"/>
                    </w:rPr>
                    <w:t>m</w:t>
                  </w:r>
                  <w:r>
                    <w:rPr>
                      <w:rFonts w:hint="default" w:ascii="Times New Roman" w:hAnsi="Times New Roman" w:eastAsia="宋体"/>
                      <w:color w:val="auto"/>
                      <w:sz w:val="21"/>
                      <w:szCs w:val="21"/>
                      <w:vertAlign w:val="superscript"/>
                      <w:lang w:val="en-US" w:eastAsia="zh-CN"/>
                    </w:rPr>
                    <w:t>3</w:t>
                  </w:r>
                  <w:r>
                    <w:rPr>
                      <w:rFonts w:hint="eastAsia" w:ascii="Times New Roman" w:hAnsi="Times New Roman" w:eastAsia="宋体"/>
                      <w:color w:val="auto"/>
                      <w:sz w:val="21"/>
                      <w:szCs w:val="21"/>
                      <w:lang w:val="zh-CN" w:eastAsia="zh-CN"/>
                    </w:rPr>
                    <w:t>)</w:t>
                  </w:r>
                </w:p>
              </w:tc>
              <w:tc>
                <w:tcPr>
                  <w:tcW w:w="1204" w:type="dxa"/>
                  <w:tcBorders>
                    <w:tl2br w:val="nil"/>
                    <w:tr2bl w:val="nil"/>
                  </w:tcBorders>
                  <w:vAlign w:val="center"/>
                </w:tcPr>
                <w:p w14:paraId="3BCFEBA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zh-CN" w:eastAsia="zh-CN"/>
                    </w:rPr>
                    <w:t>数据来源</w:t>
                  </w:r>
                </w:p>
              </w:tc>
            </w:tr>
            <w:tr w14:paraId="7FF68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429" w:type="dxa"/>
                  <w:tcBorders>
                    <w:tl2br w:val="nil"/>
                    <w:tr2bl w:val="nil"/>
                  </w:tcBorders>
                  <w:vAlign w:val="center"/>
                </w:tcPr>
                <w:p w14:paraId="2472ABB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TSP</w:t>
                  </w:r>
                </w:p>
              </w:tc>
              <w:tc>
                <w:tcPr>
                  <w:tcW w:w="1312" w:type="dxa"/>
                  <w:tcBorders>
                    <w:tl2br w:val="nil"/>
                    <w:tr2bl w:val="nil"/>
                  </w:tcBorders>
                  <w:vAlign w:val="center"/>
                </w:tcPr>
                <w:p w14:paraId="66D7ED1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蒙西镇</w:t>
                  </w:r>
                </w:p>
              </w:tc>
              <w:tc>
                <w:tcPr>
                  <w:tcW w:w="1338" w:type="dxa"/>
                  <w:tcBorders>
                    <w:tl2br w:val="nil"/>
                    <w:tr2bl w:val="nil"/>
                  </w:tcBorders>
                  <w:vAlign w:val="center"/>
                </w:tcPr>
                <w:p w14:paraId="109C3E4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24小时值</w:t>
                  </w:r>
                </w:p>
              </w:tc>
              <w:tc>
                <w:tcPr>
                  <w:tcW w:w="1637" w:type="dxa"/>
                  <w:tcBorders>
                    <w:tl2br w:val="nil"/>
                    <w:tr2bl w:val="nil"/>
                  </w:tcBorders>
                  <w:vAlign w:val="center"/>
                </w:tcPr>
                <w:p w14:paraId="7527DAA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0.115~0.135</w:t>
                  </w:r>
                </w:p>
              </w:tc>
              <w:tc>
                <w:tcPr>
                  <w:tcW w:w="1438" w:type="dxa"/>
                  <w:tcBorders>
                    <w:tl2br w:val="nil"/>
                    <w:tr2bl w:val="nil"/>
                  </w:tcBorders>
                  <w:vAlign w:val="center"/>
                </w:tcPr>
                <w:p w14:paraId="66B1112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0.30</w:t>
                  </w:r>
                </w:p>
              </w:tc>
              <w:tc>
                <w:tcPr>
                  <w:tcW w:w="1204" w:type="dxa"/>
                  <w:tcBorders>
                    <w:tl2br w:val="nil"/>
                    <w:tr2bl w:val="nil"/>
                  </w:tcBorders>
                  <w:vAlign w:val="center"/>
                </w:tcPr>
                <w:p w14:paraId="13F844D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引用</w:t>
                  </w:r>
                </w:p>
              </w:tc>
            </w:tr>
            <w:tr w14:paraId="2544E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1429" w:type="dxa"/>
                  <w:tcBorders>
                    <w:tl2br w:val="nil"/>
                    <w:tr2bl w:val="nil"/>
                  </w:tcBorders>
                  <w:vAlign w:val="center"/>
                </w:tcPr>
                <w:p w14:paraId="03AB7ED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非甲烷总烃</w:t>
                  </w:r>
                </w:p>
              </w:tc>
              <w:tc>
                <w:tcPr>
                  <w:tcW w:w="1312" w:type="dxa"/>
                  <w:tcBorders>
                    <w:tl2br w:val="nil"/>
                    <w:tr2bl w:val="nil"/>
                  </w:tcBorders>
                  <w:vAlign w:val="center"/>
                </w:tcPr>
                <w:p w14:paraId="2857866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蒙西镇</w:t>
                  </w:r>
                </w:p>
              </w:tc>
              <w:tc>
                <w:tcPr>
                  <w:tcW w:w="1338" w:type="dxa"/>
                  <w:tcBorders>
                    <w:tl2br w:val="nil"/>
                    <w:tr2bl w:val="nil"/>
                  </w:tcBorders>
                  <w:vAlign w:val="center"/>
                </w:tcPr>
                <w:p w14:paraId="6C3848B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小时值</w:t>
                  </w:r>
                </w:p>
              </w:tc>
              <w:tc>
                <w:tcPr>
                  <w:tcW w:w="1637" w:type="dxa"/>
                  <w:tcBorders>
                    <w:tl2br w:val="nil"/>
                    <w:tr2bl w:val="nil"/>
                  </w:tcBorders>
                  <w:vAlign w:val="center"/>
                </w:tcPr>
                <w:p w14:paraId="21EF752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0.14~0.95</w:t>
                  </w:r>
                </w:p>
              </w:tc>
              <w:tc>
                <w:tcPr>
                  <w:tcW w:w="1438" w:type="dxa"/>
                  <w:tcBorders>
                    <w:tl2br w:val="nil"/>
                    <w:tr2bl w:val="nil"/>
                  </w:tcBorders>
                  <w:vAlign w:val="center"/>
                </w:tcPr>
                <w:p w14:paraId="7A85055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2.0</w:t>
                  </w:r>
                </w:p>
              </w:tc>
              <w:tc>
                <w:tcPr>
                  <w:tcW w:w="1204" w:type="dxa"/>
                  <w:tcBorders>
                    <w:tl2br w:val="nil"/>
                    <w:tr2bl w:val="nil"/>
                  </w:tcBorders>
                  <w:vAlign w:val="center"/>
                </w:tcPr>
                <w:p w14:paraId="4CB5F84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引用</w:t>
                  </w:r>
                </w:p>
              </w:tc>
            </w:tr>
          </w:tbl>
          <w:p w14:paraId="04D937C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根据现状监测结果，</w:t>
            </w:r>
            <w:r>
              <w:rPr>
                <w:rFonts w:hint="default" w:ascii="Times New Roman" w:hAnsi="Times New Roman" w:eastAsia="宋体" w:cs="Times New Roman"/>
                <w:color w:val="auto"/>
                <w:highlight w:val="none"/>
                <w:lang w:val="en-US" w:eastAsia="zh-CN"/>
              </w:rPr>
              <w:t>非甲烷总烃满足</w:t>
            </w:r>
            <w:r>
              <w:rPr>
                <w:rFonts w:hint="eastAsia" w:ascii="Times New Roman" w:hAnsi="Times New Roman" w:eastAsia="宋体" w:cs="Times New Roman"/>
                <w:color w:val="auto"/>
                <w:highlight w:val="none"/>
                <w:lang w:val="en-US" w:eastAsia="zh-CN"/>
              </w:rPr>
              <w:t>《大气污染物综合排放标准详解》中Cm取值规定作为质量标准参考值，</w:t>
            </w:r>
            <w:r>
              <w:rPr>
                <w:rFonts w:hint="default" w:ascii="Times New Roman" w:hAnsi="Times New Roman" w:eastAsia="宋体" w:cs="Times New Roman"/>
                <w:color w:val="auto"/>
                <w:highlight w:val="none"/>
                <w:lang w:val="en-US" w:eastAsia="zh-CN"/>
              </w:rPr>
              <w:t>TSP满足《环境空气质量标准》(GB3095-20</w:t>
            </w:r>
            <w:r>
              <w:rPr>
                <w:rFonts w:hint="eastAsia" w:cs="Times New Roman"/>
                <w:color w:val="auto"/>
                <w:highlight w:val="none"/>
                <w:lang w:val="en-US" w:eastAsia="zh-CN"/>
              </w:rPr>
              <w:t>26</w:t>
            </w:r>
            <w:r>
              <w:rPr>
                <w:rFonts w:hint="default" w:ascii="Times New Roman" w:hAnsi="Times New Roman" w:eastAsia="宋体" w:cs="Times New Roman"/>
                <w:color w:val="auto"/>
                <w:highlight w:val="none"/>
                <w:lang w:val="en-US" w:eastAsia="zh-CN"/>
              </w:rPr>
              <w:t>)二级标准</w:t>
            </w:r>
            <w:r>
              <w:rPr>
                <w:rFonts w:hint="eastAsia" w:ascii="Times New Roman" w:hAnsi="Times New Roman" w:eastAsia="宋体" w:cs="Times New Roman"/>
                <w:color w:val="auto"/>
                <w:highlight w:val="none"/>
                <w:lang w:val="en-US" w:eastAsia="zh-CN"/>
              </w:rPr>
              <w:t>。</w:t>
            </w:r>
          </w:p>
          <w:p w14:paraId="4120B4E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kern w:val="0"/>
                <w:szCs w:val="21"/>
                <w:lang w:val="zh-CN" w:eastAsia="zh-CN"/>
              </w:rPr>
            </w:pPr>
            <w:r>
              <w:rPr>
                <w:rFonts w:hint="eastAsia" w:ascii="Times New Roman" w:hAnsi="Times New Roman" w:eastAsia="宋体" w:cs="Times New Roman"/>
                <w:b/>
                <w:bCs/>
                <w:color w:val="auto"/>
                <w:kern w:val="0"/>
                <w:szCs w:val="21"/>
                <w:lang w:val="en-US" w:eastAsia="zh-CN"/>
              </w:rPr>
              <w:t>2</w:t>
            </w:r>
            <w:r>
              <w:rPr>
                <w:rFonts w:hint="eastAsia" w:ascii="Times New Roman" w:hAnsi="Times New Roman" w:eastAsia="宋体" w:cs="Times New Roman"/>
                <w:b/>
                <w:bCs/>
                <w:color w:val="auto"/>
                <w:kern w:val="0"/>
                <w:szCs w:val="21"/>
                <w:lang w:val="zh-CN" w:eastAsia="zh-CN"/>
              </w:rPr>
              <w:t>、声环境质量现状</w:t>
            </w:r>
          </w:p>
          <w:p w14:paraId="0081686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根据《建设项目环境影响报告表编制技术指南》（污染影响类）（试行）“厂界外周边50米范围内存在声环境保护目标的建设项目，应监测保护目标声环境质量现状并评价达标情况”。本项目厂界外周边50米范围内无声环境保护目标</w:t>
            </w:r>
            <w:r>
              <w:rPr>
                <w:rFonts w:hint="eastAsia" w:cs="Times New Roman"/>
                <w:color w:val="auto"/>
                <w:kern w:val="0"/>
                <w:szCs w:val="21"/>
                <w:lang w:val="en-US" w:eastAsia="zh-CN"/>
              </w:rPr>
              <w:t>，不需要进行声环境质量现状监测</w:t>
            </w:r>
            <w:r>
              <w:rPr>
                <w:rFonts w:hint="eastAsia" w:ascii="Times New Roman" w:hAnsi="Times New Roman" w:eastAsia="宋体" w:cs="Times New Roman"/>
                <w:color w:val="auto"/>
                <w:kern w:val="0"/>
                <w:szCs w:val="21"/>
                <w:lang w:val="en-US" w:eastAsia="zh-CN"/>
              </w:rPr>
              <w:t>。</w:t>
            </w:r>
          </w:p>
          <w:p w14:paraId="030FAC2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3、地下水、土壤环境质量现状</w:t>
            </w:r>
          </w:p>
          <w:p w14:paraId="146B6DA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本项目周边500米范围内无集中式饮用水水源和热水、矿泉水、温泉等特殊地下水资源保护区，</w:t>
            </w:r>
            <w:r>
              <w:rPr>
                <w:rFonts w:hint="eastAsia"/>
                <w:color w:val="auto"/>
                <w:sz w:val="24"/>
              </w:rPr>
              <w:t>根据《建设项目环境影响报告表编制技术指南（污染影响类）》，原则上不开展环境质量现状调查，且本项目不存在土壤、地下水环境污染途径</w:t>
            </w:r>
            <w:r>
              <w:rPr>
                <w:rFonts w:hint="eastAsia"/>
                <w:color w:val="auto"/>
                <w:sz w:val="24"/>
                <w:lang w:eastAsia="zh-CN"/>
              </w:rPr>
              <w:t>。</w:t>
            </w:r>
            <w:r>
              <w:rPr>
                <w:rFonts w:hint="eastAsia"/>
                <w:color w:val="auto"/>
                <w:sz w:val="24"/>
                <w:lang w:val="en-US" w:eastAsia="zh-CN"/>
              </w:rPr>
              <w:t>因本项目位于</w:t>
            </w:r>
            <w:r>
              <w:rPr>
                <w:rFonts w:hint="eastAsia" w:ascii="Times New Roman" w:hAnsi="Times New Roman" w:eastAsia="宋体" w:cs="Times New Roman"/>
                <w:color w:val="auto"/>
                <w:kern w:val="0"/>
                <w:szCs w:val="21"/>
                <w:lang w:val="en-US" w:eastAsia="zh-CN"/>
              </w:rPr>
              <w:t>内蒙古美力坚清蓝危废处置有限公司内，现将对土壤和地下水现状情况进行介绍</w:t>
            </w:r>
            <w:r>
              <w:rPr>
                <w:rFonts w:hint="eastAsia" w:cs="Times New Roman"/>
                <w:color w:val="auto"/>
                <w:kern w:val="0"/>
                <w:szCs w:val="21"/>
                <w:lang w:val="en-US" w:eastAsia="zh-CN"/>
              </w:rPr>
              <w:t>。</w:t>
            </w:r>
          </w:p>
          <w:p w14:paraId="0B2C688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cs="Times New Roman"/>
                <w:color w:val="auto"/>
                <w:kern w:val="0"/>
                <w:szCs w:val="21"/>
                <w:lang w:val="en-US" w:eastAsia="zh-CN"/>
              </w:rPr>
            </w:pPr>
            <w:r>
              <w:rPr>
                <w:rFonts w:hint="eastAsia" w:cs="Times New Roman"/>
                <w:color w:val="auto"/>
                <w:kern w:val="0"/>
                <w:szCs w:val="21"/>
                <w:lang w:val="en-US" w:eastAsia="zh-CN"/>
              </w:rPr>
              <w:t>（1）土壤现状监测</w:t>
            </w:r>
          </w:p>
          <w:p w14:paraId="1CD02B8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w:t>
            </w:r>
            <w:r>
              <w:rPr>
                <w:rFonts w:hint="eastAsia" w:cs="Times New Roman"/>
                <w:color w:val="auto"/>
                <w:kern w:val="0"/>
                <w:szCs w:val="21"/>
                <w:lang w:val="en-US" w:eastAsia="zh-CN"/>
              </w:rPr>
              <w:t>土壤现状监测数据引用《内蒙古美力坚清蓝危废处置有限公司危废综合利用项目环境影响报告书》</w:t>
            </w:r>
            <w:r>
              <w:rPr>
                <w:rFonts w:hint="eastAsia" w:ascii="Times New Roman" w:hAnsi="Times New Roman" w:eastAsia="宋体" w:cs="Times New Roman"/>
                <w:color w:val="auto"/>
                <w:kern w:val="0"/>
                <w:szCs w:val="21"/>
                <w:lang w:val="en-US" w:eastAsia="zh-CN"/>
              </w:rPr>
              <w:t>中1#、2#、19#监测点位监测数据，该数据由</w:t>
            </w:r>
            <w:r>
              <w:rPr>
                <w:rFonts w:hint="eastAsia"/>
                <w:color w:val="auto"/>
                <w:highlight w:val="none"/>
                <w:lang w:eastAsia="zh-CN"/>
              </w:rPr>
              <w:t>内蒙古泽铭技术检测有限公</w:t>
            </w:r>
            <w:r>
              <w:rPr>
                <w:rFonts w:hint="eastAsia"/>
                <w:color w:val="auto"/>
                <w:highlight w:val="none"/>
                <w:lang w:val="en-US" w:eastAsia="zh-CN"/>
              </w:rPr>
              <w:t>司</w:t>
            </w:r>
            <w:r>
              <w:rPr>
                <w:rFonts w:hint="eastAsia" w:ascii="Times New Roman" w:hAnsi="Times New Roman" w:eastAsia="宋体" w:cs="Times New Roman"/>
                <w:color w:val="auto"/>
                <w:kern w:val="0"/>
                <w:szCs w:val="21"/>
                <w:lang w:val="en-US" w:eastAsia="zh-CN"/>
              </w:rPr>
              <w:t>于2025年7月16日进行环境质量现状监测，监测1天，各个监测点采样1次，监测因子见下表3-6</w:t>
            </w:r>
            <w:r>
              <w:rPr>
                <w:rFonts w:hint="eastAsia"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土壤现状检测结果见表3-7。</w:t>
            </w:r>
          </w:p>
          <w:p w14:paraId="160433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表3-6土壤监测点位表</w:t>
            </w:r>
          </w:p>
          <w:tbl>
            <w:tblPr>
              <w:tblStyle w:val="24"/>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9"/>
              <w:gridCol w:w="3010"/>
              <w:gridCol w:w="2926"/>
              <w:gridCol w:w="1505"/>
            </w:tblGrid>
            <w:tr w14:paraId="7912F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11" w:type="pct"/>
                  <w:tcBorders>
                    <w:tl2br w:val="nil"/>
                    <w:tr2bl w:val="nil"/>
                  </w:tcBorders>
                  <w:noWrap w:val="0"/>
                  <w:vAlign w:val="center"/>
                </w:tcPr>
                <w:p w14:paraId="50A23BD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815" w:type="pct"/>
                  <w:tcBorders>
                    <w:tl2br w:val="nil"/>
                    <w:tr2bl w:val="nil"/>
                  </w:tcBorders>
                  <w:noWrap w:val="0"/>
                  <w:vAlign w:val="center"/>
                </w:tcPr>
                <w:p w14:paraId="445C356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监测点位</w:t>
                  </w:r>
                </w:p>
              </w:tc>
              <w:tc>
                <w:tcPr>
                  <w:tcW w:w="1764" w:type="pct"/>
                  <w:tcBorders>
                    <w:tl2br w:val="nil"/>
                    <w:tr2bl w:val="nil"/>
                  </w:tcBorders>
                  <w:noWrap w:val="0"/>
                  <w:vAlign w:val="center"/>
                </w:tcPr>
                <w:p w14:paraId="7A33084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采样点</w:t>
                  </w:r>
                </w:p>
              </w:tc>
              <w:tc>
                <w:tcPr>
                  <w:tcW w:w="907" w:type="pct"/>
                  <w:tcBorders>
                    <w:tl2br w:val="nil"/>
                    <w:tr2bl w:val="nil"/>
                  </w:tcBorders>
                  <w:noWrap w:val="0"/>
                  <w:vAlign w:val="center"/>
                </w:tcPr>
                <w:p w14:paraId="139E5EA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监测项目</w:t>
                  </w:r>
                </w:p>
              </w:tc>
            </w:tr>
            <w:tr w14:paraId="60197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11" w:type="pct"/>
                  <w:vMerge w:val="restart"/>
                  <w:tcBorders>
                    <w:tl2br w:val="nil"/>
                    <w:tr2bl w:val="nil"/>
                  </w:tcBorders>
                  <w:noWrap w:val="0"/>
                  <w:vAlign w:val="center"/>
                </w:tcPr>
                <w:p w14:paraId="09FCF43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15" w:type="pct"/>
                  <w:vMerge w:val="restart"/>
                  <w:tcBorders>
                    <w:tl2br w:val="nil"/>
                    <w:tr2bl w:val="nil"/>
                  </w:tcBorders>
                  <w:noWrap w:val="0"/>
                  <w:vAlign w:val="center"/>
                </w:tcPr>
                <w:p w14:paraId="6F0F2EF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T1危废库</w:t>
                  </w:r>
                </w:p>
                <w:p w14:paraId="6139171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（106.78320402°</w:t>
                  </w:r>
                  <w:r>
                    <w:rPr>
                      <w:rFonts w:hint="default" w:ascii="Times New Roman" w:hAnsi="Times New Roman" w:eastAsia="宋体" w:cs="Times New Roman"/>
                      <w:color w:val="auto"/>
                      <w:sz w:val="21"/>
                      <w:szCs w:val="21"/>
                      <w:highlight w:val="none"/>
                      <w:lang w:val="en-US" w:eastAsia="zh-CN"/>
                    </w:rPr>
                    <w:t>E</w:t>
                  </w:r>
                  <w:r>
                    <w:rPr>
                      <w:rFonts w:hint="default" w:ascii="Times New Roman" w:hAnsi="Times New Roman" w:eastAsia="宋体" w:cs="Times New Roman"/>
                      <w:color w:val="auto"/>
                      <w:sz w:val="21"/>
                      <w:szCs w:val="21"/>
                      <w:highlight w:val="none"/>
                      <w:lang w:eastAsia="zh-CN"/>
                    </w:rPr>
                    <w:t>，39.89690978°</w:t>
                  </w:r>
                  <w:r>
                    <w:rPr>
                      <w:rFonts w:hint="default" w:ascii="Times New Roman" w:hAnsi="Times New Roman" w:eastAsia="宋体" w:cs="Times New Roman"/>
                      <w:color w:val="auto"/>
                      <w:sz w:val="21"/>
                      <w:szCs w:val="21"/>
                      <w:highlight w:val="none"/>
                      <w:lang w:val="en-US" w:eastAsia="zh-CN"/>
                    </w:rPr>
                    <w:t>N</w:t>
                  </w:r>
                  <w:r>
                    <w:rPr>
                      <w:rFonts w:hint="default" w:ascii="Times New Roman" w:hAnsi="Times New Roman" w:eastAsia="宋体" w:cs="Times New Roman"/>
                      <w:color w:val="auto"/>
                      <w:sz w:val="21"/>
                      <w:szCs w:val="21"/>
                      <w:highlight w:val="none"/>
                      <w:lang w:eastAsia="zh-CN"/>
                    </w:rPr>
                    <w:t>）</w:t>
                  </w:r>
                </w:p>
              </w:tc>
              <w:tc>
                <w:tcPr>
                  <w:tcW w:w="1764" w:type="pct"/>
                  <w:tcBorders>
                    <w:tl2br w:val="nil"/>
                    <w:tr2bl w:val="nil"/>
                  </w:tcBorders>
                  <w:shd w:val="clear" w:color="auto" w:fill="auto"/>
                  <w:noWrap w:val="0"/>
                  <w:vAlign w:val="center"/>
                </w:tcPr>
                <w:p w14:paraId="746FB22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表层样（0～50cm）</w:t>
                  </w:r>
                </w:p>
              </w:tc>
              <w:tc>
                <w:tcPr>
                  <w:tcW w:w="907" w:type="pct"/>
                  <w:vMerge w:val="restart"/>
                  <w:tcBorders>
                    <w:tl2br w:val="nil"/>
                    <w:tr2bl w:val="nil"/>
                  </w:tcBorders>
                  <w:noWrap w:val="0"/>
                  <w:vAlign w:val="center"/>
                </w:tcPr>
                <w:p w14:paraId="4C794CA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45全项</w:t>
                  </w:r>
                  <w:r>
                    <w:rPr>
                      <w:rFonts w:hint="default" w:ascii="Times New Roman" w:hAnsi="Times New Roman" w:eastAsia="宋体" w:cs="Times New Roman"/>
                      <w:color w:val="auto"/>
                      <w:sz w:val="21"/>
                      <w:szCs w:val="21"/>
                      <w:highlight w:val="none"/>
                      <w:lang w:val="en-US" w:eastAsia="zh-CN"/>
                    </w:rPr>
                    <w:t>+特征因子+二噁英类</w:t>
                  </w:r>
                  <w:r>
                    <w:rPr>
                      <w:rFonts w:hint="eastAsia" w:ascii="Times New Roman" w:hAnsi="Times New Roman" w:eastAsia="宋体" w:cs="Times New Roman"/>
                      <w:color w:val="auto"/>
                      <w:sz w:val="21"/>
                      <w:szCs w:val="21"/>
                      <w:highlight w:val="none"/>
                      <w:lang w:val="en-US" w:eastAsia="zh-CN"/>
                    </w:rPr>
                    <w:t>+pH</w:t>
                  </w:r>
                </w:p>
              </w:tc>
            </w:tr>
            <w:tr w14:paraId="359E9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11" w:type="pct"/>
                  <w:vMerge w:val="continue"/>
                  <w:tcBorders>
                    <w:tl2br w:val="nil"/>
                    <w:tr2bl w:val="nil"/>
                  </w:tcBorders>
                  <w:noWrap w:val="0"/>
                  <w:vAlign w:val="center"/>
                </w:tcPr>
                <w:p w14:paraId="4BA1090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p>
              </w:tc>
              <w:tc>
                <w:tcPr>
                  <w:tcW w:w="1815" w:type="pct"/>
                  <w:vMerge w:val="continue"/>
                  <w:tcBorders>
                    <w:tl2br w:val="nil"/>
                    <w:tr2bl w:val="nil"/>
                  </w:tcBorders>
                  <w:noWrap w:val="0"/>
                  <w:vAlign w:val="center"/>
                </w:tcPr>
                <w:p w14:paraId="6A02328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764" w:type="pct"/>
                  <w:tcBorders>
                    <w:tl2br w:val="nil"/>
                    <w:tr2bl w:val="nil"/>
                  </w:tcBorders>
                  <w:shd w:val="clear" w:color="auto" w:fill="auto"/>
                  <w:noWrap w:val="0"/>
                  <w:vAlign w:val="center"/>
                </w:tcPr>
                <w:p w14:paraId="2B7C2C5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中层样（50～150cm）</w:t>
                  </w:r>
                </w:p>
              </w:tc>
              <w:tc>
                <w:tcPr>
                  <w:tcW w:w="907" w:type="pct"/>
                  <w:vMerge w:val="continue"/>
                  <w:tcBorders>
                    <w:tl2br w:val="nil"/>
                    <w:tr2bl w:val="nil"/>
                  </w:tcBorders>
                  <w:noWrap w:val="0"/>
                  <w:vAlign w:val="center"/>
                </w:tcPr>
                <w:p w14:paraId="452F156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baseline"/>
                    <w:rPr>
                      <w:rFonts w:hint="default" w:ascii="Times New Roman" w:hAnsi="Times New Roman" w:eastAsia="宋体" w:cs="Times New Roman"/>
                      <w:color w:val="auto"/>
                      <w:sz w:val="21"/>
                      <w:szCs w:val="21"/>
                      <w:highlight w:val="none"/>
                    </w:rPr>
                  </w:pPr>
                </w:p>
              </w:tc>
            </w:tr>
            <w:tr w14:paraId="2CEB7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11" w:type="pct"/>
                  <w:vMerge w:val="continue"/>
                  <w:tcBorders>
                    <w:tl2br w:val="nil"/>
                    <w:tr2bl w:val="nil"/>
                  </w:tcBorders>
                  <w:noWrap w:val="0"/>
                  <w:vAlign w:val="center"/>
                </w:tcPr>
                <w:p w14:paraId="26CF196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p>
              </w:tc>
              <w:tc>
                <w:tcPr>
                  <w:tcW w:w="1815" w:type="pct"/>
                  <w:vMerge w:val="continue"/>
                  <w:tcBorders>
                    <w:tl2br w:val="nil"/>
                    <w:tr2bl w:val="nil"/>
                  </w:tcBorders>
                  <w:noWrap w:val="0"/>
                  <w:vAlign w:val="center"/>
                </w:tcPr>
                <w:p w14:paraId="19C891A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764" w:type="pct"/>
                  <w:tcBorders>
                    <w:tl2br w:val="nil"/>
                    <w:tr2bl w:val="nil"/>
                  </w:tcBorders>
                  <w:shd w:val="clear" w:color="auto" w:fill="auto"/>
                  <w:noWrap w:val="0"/>
                  <w:vAlign w:val="center"/>
                </w:tcPr>
                <w:p w14:paraId="3E7FF3C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深层样（150～300cm）</w:t>
                  </w:r>
                </w:p>
              </w:tc>
              <w:tc>
                <w:tcPr>
                  <w:tcW w:w="907" w:type="pct"/>
                  <w:vMerge w:val="continue"/>
                  <w:tcBorders>
                    <w:tl2br w:val="nil"/>
                    <w:tr2bl w:val="nil"/>
                  </w:tcBorders>
                  <w:noWrap w:val="0"/>
                  <w:vAlign w:val="center"/>
                </w:tcPr>
                <w:p w14:paraId="05989CE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baseline"/>
                    <w:rPr>
                      <w:rFonts w:hint="default" w:ascii="Times New Roman" w:hAnsi="Times New Roman" w:eastAsia="宋体" w:cs="Times New Roman"/>
                      <w:color w:val="auto"/>
                      <w:sz w:val="21"/>
                      <w:szCs w:val="21"/>
                      <w:highlight w:val="none"/>
                    </w:rPr>
                  </w:pPr>
                </w:p>
              </w:tc>
            </w:tr>
            <w:tr w14:paraId="2BF47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511" w:type="pct"/>
                  <w:vMerge w:val="restart"/>
                  <w:tcBorders>
                    <w:tl2br w:val="nil"/>
                    <w:tr2bl w:val="nil"/>
                  </w:tcBorders>
                  <w:noWrap w:val="0"/>
                  <w:vAlign w:val="center"/>
                </w:tcPr>
                <w:p w14:paraId="4F108C0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815" w:type="pct"/>
                  <w:vMerge w:val="restart"/>
                  <w:tcBorders>
                    <w:tl2br w:val="nil"/>
                    <w:tr2bl w:val="nil"/>
                  </w:tcBorders>
                  <w:noWrap w:val="0"/>
                  <w:vAlign w:val="center"/>
                </w:tcPr>
                <w:p w14:paraId="52F5FCF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T2</w:t>
                  </w:r>
                </w:p>
                <w:p w14:paraId="5B4F7EF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（106.78309684°</w:t>
                  </w:r>
                  <w:r>
                    <w:rPr>
                      <w:rFonts w:hint="default" w:ascii="Times New Roman" w:hAnsi="Times New Roman" w:eastAsia="宋体" w:cs="Times New Roman"/>
                      <w:color w:val="auto"/>
                      <w:sz w:val="21"/>
                      <w:szCs w:val="21"/>
                      <w:highlight w:val="none"/>
                      <w:lang w:val="en-US" w:eastAsia="zh-CN"/>
                    </w:rPr>
                    <w:t>E</w:t>
                  </w:r>
                  <w:r>
                    <w:rPr>
                      <w:rFonts w:hint="default" w:ascii="Times New Roman" w:hAnsi="Times New Roman" w:eastAsia="宋体" w:cs="Times New Roman"/>
                      <w:color w:val="auto"/>
                      <w:sz w:val="21"/>
                      <w:szCs w:val="21"/>
                      <w:highlight w:val="none"/>
                      <w:lang w:eastAsia="zh-CN"/>
                    </w:rPr>
                    <w:t>，39.89745317°</w:t>
                  </w:r>
                  <w:r>
                    <w:rPr>
                      <w:rFonts w:hint="default" w:ascii="Times New Roman" w:hAnsi="Times New Roman" w:eastAsia="宋体" w:cs="Times New Roman"/>
                      <w:color w:val="auto"/>
                      <w:sz w:val="21"/>
                      <w:szCs w:val="21"/>
                      <w:highlight w:val="none"/>
                      <w:lang w:val="en-US" w:eastAsia="zh-CN"/>
                    </w:rPr>
                    <w:t>N</w:t>
                  </w:r>
                  <w:r>
                    <w:rPr>
                      <w:rFonts w:hint="default" w:ascii="Times New Roman" w:hAnsi="Times New Roman" w:eastAsia="宋体" w:cs="Times New Roman"/>
                      <w:color w:val="auto"/>
                      <w:sz w:val="21"/>
                      <w:szCs w:val="21"/>
                      <w:highlight w:val="none"/>
                      <w:lang w:eastAsia="zh-CN"/>
                    </w:rPr>
                    <w:t>）</w:t>
                  </w:r>
                </w:p>
              </w:tc>
              <w:tc>
                <w:tcPr>
                  <w:tcW w:w="1764" w:type="pct"/>
                  <w:tcBorders>
                    <w:tl2br w:val="nil"/>
                    <w:tr2bl w:val="nil"/>
                  </w:tcBorders>
                  <w:noWrap w:val="0"/>
                  <w:vAlign w:val="center"/>
                </w:tcPr>
                <w:p w14:paraId="2848D0A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表层样（0～50cm）</w:t>
                  </w:r>
                </w:p>
              </w:tc>
              <w:tc>
                <w:tcPr>
                  <w:tcW w:w="907" w:type="pct"/>
                  <w:vMerge w:val="restart"/>
                  <w:tcBorders>
                    <w:tl2br w:val="nil"/>
                    <w:tr2bl w:val="nil"/>
                  </w:tcBorders>
                  <w:noWrap w:val="0"/>
                  <w:vAlign w:val="center"/>
                </w:tcPr>
                <w:p w14:paraId="67BA672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重金属+特征因子+二噁英类</w:t>
                  </w:r>
                  <w:r>
                    <w:rPr>
                      <w:rFonts w:hint="eastAsia" w:ascii="Times New Roman" w:hAnsi="Times New Roman" w:eastAsia="宋体" w:cs="Times New Roman"/>
                      <w:color w:val="auto"/>
                      <w:sz w:val="21"/>
                      <w:szCs w:val="21"/>
                      <w:highlight w:val="none"/>
                      <w:lang w:val="en-US" w:eastAsia="zh-CN"/>
                    </w:rPr>
                    <w:t>+pH</w:t>
                  </w:r>
                </w:p>
              </w:tc>
            </w:tr>
            <w:tr w14:paraId="5262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11" w:type="pct"/>
                  <w:vMerge w:val="continue"/>
                  <w:tcBorders>
                    <w:tl2br w:val="nil"/>
                    <w:tr2bl w:val="nil"/>
                  </w:tcBorders>
                  <w:noWrap w:val="0"/>
                  <w:vAlign w:val="center"/>
                </w:tcPr>
                <w:p w14:paraId="6610041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p>
              </w:tc>
              <w:tc>
                <w:tcPr>
                  <w:tcW w:w="1815" w:type="pct"/>
                  <w:vMerge w:val="continue"/>
                  <w:tcBorders>
                    <w:tl2br w:val="nil"/>
                    <w:tr2bl w:val="nil"/>
                  </w:tcBorders>
                  <w:noWrap w:val="0"/>
                  <w:vAlign w:val="center"/>
                </w:tcPr>
                <w:p w14:paraId="738C31A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p>
              </w:tc>
              <w:tc>
                <w:tcPr>
                  <w:tcW w:w="1764" w:type="pct"/>
                  <w:tcBorders>
                    <w:tl2br w:val="nil"/>
                    <w:tr2bl w:val="nil"/>
                  </w:tcBorders>
                  <w:noWrap w:val="0"/>
                  <w:vAlign w:val="center"/>
                </w:tcPr>
                <w:p w14:paraId="0FE9C11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中层样（50～150cm）</w:t>
                  </w:r>
                </w:p>
              </w:tc>
              <w:tc>
                <w:tcPr>
                  <w:tcW w:w="907" w:type="pct"/>
                  <w:vMerge w:val="continue"/>
                  <w:tcBorders>
                    <w:tl2br w:val="nil"/>
                    <w:tr2bl w:val="nil"/>
                  </w:tcBorders>
                  <w:noWrap w:val="0"/>
                  <w:vAlign w:val="center"/>
                </w:tcPr>
                <w:p w14:paraId="7B4B1A0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p>
              </w:tc>
            </w:tr>
            <w:tr w14:paraId="4490E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11" w:type="pct"/>
                  <w:vMerge w:val="continue"/>
                  <w:tcBorders>
                    <w:tl2br w:val="nil"/>
                    <w:tr2bl w:val="nil"/>
                  </w:tcBorders>
                  <w:noWrap w:val="0"/>
                  <w:vAlign w:val="center"/>
                </w:tcPr>
                <w:p w14:paraId="60D023A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p>
              </w:tc>
              <w:tc>
                <w:tcPr>
                  <w:tcW w:w="1815" w:type="pct"/>
                  <w:vMerge w:val="continue"/>
                  <w:tcBorders>
                    <w:tl2br w:val="nil"/>
                    <w:tr2bl w:val="nil"/>
                  </w:tcBorders>
                  <w:noWrap w:val="0"/>
                  <w:vAlign w:val="center"/>
                </w:tcPr>
                <w:p w14:paraId="0D28424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p>
              </w:tc>
              <w:tc>
                <w:tcPr>
                  <w:tcW w:w="1764" w:type="pct"/>
                  <w:tcBorders>
                    <w:tl2br w:val="nil"/>
                    <w:tr2bl w:val="nil"/>
                  </w:tcBorders>
                  <w:noWrap w:val="0"/>
                  <w:vAlign w:val="center"/>
                </w:tcPr>
                <w:p w14:paraId="7B1E3B9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深层样（150～300cm）</w:t>
                  </w:r>
                </w:p>
              </w:tc>
              <w:tc>
                <w:tcPr>
                  <w:tcW w:w="907" w:type="pct"/>
                  <w:vMerge w:val="continue"/>
                  <w:tcBorders>
                    <w:tl2br w:val="nil"/>
                    <w:tr2bl w:val="nil"/>
                  </w:tcBorders>
                  <w:noWrap w:val="0"/>
                  <w:vAlign w:val="center"/>
                </w:tcPr>
                <w:p w14:paraId="51CABAA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p>
              </w:tc>
            </w:tr>
            <w:tr w14:paraId="6F402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11" w:type="pct"/>
                  <w:vMerge w:val="restart"/>
                  <w:tcBorders>
                    <w:tl2br w:val="nil"/>
                    <w:tr2bl w:val="nil"/>
                  </w:tcBorders>
                  <w:noWrap w:val="0"/>
                  <w:vAlign w:val="center"/>
                </w:tcPr>
                <w:p w14:paraId="45D6AAE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w:t>
                  </w:r>
                </w:p>
              </w:tc>
              <w:tc>
                <w:tcPr>
                  <w:tcW w:w="1815" w:type="pct"/>
                  <w:vMerge w:val="restart"/>
                  <w:tcBorders>
                    <w:tl2br w:val="nil"/>
                    <w:tr2bl w:val="nil"/>
                  </w:tcBorders>
                  <w:noWrap w:val="0"/>
                  <w:vAlign w:val="center"/>
                </w:tcPr>
                <w:p w14:paraId="391770A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19#厂区预留空地</w:t>
                  </w:r>
                </w:p>
                <w:p w14:paraId="30EED10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（106.7787949937°</w:t>
                  </w:r>
                  <w:r>
                    <w:rPr>
                      <w:rFonts w:hint="default" w:ascii="Times New Roman" w:hAnsi="Times New Roman" w:eastAsia="宋体" w:cs="Times New Roman"/>
                      <w:color w:val="auto"/>
                      <w:sz w:val="21"/>
                      <w:szCs w:val="21"/>
                      <w:highlight w:val="none"/>
                      <w:lang w:val="en-US" w:eastAsia="zh-CN"/>
                    </w:rPr>
                    <w:t>E</w:t>
                  </w:r>
                  <w:r>
                    <w:rPr>
                      <w:rFonts w:hint="default" w:ascii="Times New Roman" w:hAnsi="Times New Roman" w:eastAsia="宋体" w:cs="Times New Roman"/>
                      <w:color w:val="auto"/>
                      <w:sz w:val="21"/>
                      <w:szCs w:val="21"/>
                      <w:highlight w:val="none"/>
                      <w:lang w:eastAsia="zh-CN"/>
                    </w:rPr>
                    <w:t>，39.8982499570°</w:t>
                  </w:r>
                  <w:r>
                    <w:rPr>
                      <w:rFonts w:hint="default" w:ascii="Times New Roman" w:hAnsi="Times New Roman" w:eastAsia="宋体" w:cs="Times New Roman"/>
                      <w:color w:val="auto"/>
                      <w:sz w:val="21"/>
                      <w:szCs w:val="21"/>
                      <w:highlight w:val="none"/>
                      <w:lang w:val="en-US" w:eastAsia="zh-CN"/>
                    </w:rPr>
                    <w:t>N</w:t>
                  </w:r>
                  <w:r>
                    <w:rPr>
                      <w:rFonts w:hint="default" w:ascii="Times New Roman" w:hAnsi="Times New Roman" w:eastAsia="宋体" w:cs="Times New Roman"/>
                      <w:color w:val="auto"/>
                      <w:sz w:val="21"/>
                      <w:szCs w:val="21"/>
                      <w:highlight w:val="none"/>
                      <w:lang w:eastAsia="zh-CN"/>
                    </w:rPr>
                    <w:t>）</w:t>
                  </w:r>
                </w:p>
              </w:tc>
              <w:tc>
                <w:tcPr>
                  <w:tcW w:w="1764" w:type="pct"/>
                  <w:tcBorders>
                    <w:tl2br w:val="nil"/>
                    <w:tr2bl w:val="nil"/>
                  </w:tcBorders>
                  <w:shd w:val="clear" w:color="auto" w:fill="auto"/>
                  <w:noWrap w:val="0"/>
                  <w:vAlign w:val="center"/>
                </w:tcPr>
                <w:p w14:paraId="47A1C2A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表层样（0～50cm）</w:t>
                  </w:r>
                </w:p>
              </w:tc>
              <w:tc>
                <w:tcPr>
                  <w:tcW w:w="907" w:type="pct"/>
                  <w:vMerge w:val="restart"/>
                  <w:tcBorders>
                    <w:tl2br w:val="nil"/>
                    <w:tr2bl w:val="nil"/>
                  </w:tcBorders>
                  <w:noWrap w:val="0"/>
                  <w:vAlign w:val="center"/>
                </w:tcPr>
                <w:p w14:paraId="58F5BC6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重金属+特征因子+二噁英类</w:t>
                  </w:r>
                  <w:r>
                    <w:rPr>
                      <w:rFonts w:hint="eastAsia" w:ascii="Times New Roman" w:hAnsi="Times New Roman" w:eastAsia="宋体" w:cs="Times New Roman"/>
                      <w:color w:val="auto"/>
                      <w:sz w:val="21"/>
                      <w:szCs w:val="21"/>
                      <w:highlight w:val="none"/>
                      <w:lang w:val="en-US" w:eastAsia="zh-CN"/>
                    </w:rPr>
                    <w:t>+pH</w:t>
                  </w:r>
                </w:p>
              </w:tc>
            </w:tr>
            <w:tr w14:paraId="4FAF9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11" w:type="pct"/>
                  <w:vMerge w:val="continue"/>
                  <w:tcBorders>
                    <w:tl2br w:val="nil"/>
                    <w:tr2bl w:val="nil"/>
                  </w:tcBorders>
                  <w:noWrap w:val="0"/>
                  <w:vAlign w:val="center"/>
                </w:tcPr>
                <w:p w14:paraId="3244236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815" w:type="pct"/>
                  <w:vMerge w:val="continue"/>
                  <w:tcBorders>
                    <w:tl2br w:val="nil"/>
                    <w:tr2bl w:val="nil"/>
                  </w:tcBorders>
                  <w:noWrap w:val="0"/>
                  <w:vAlign w:val="center"/>
                </w:tcPr>
                <w:p w14:paraId="3D9EC7C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764" w:type="pct"/>
                  <w:tcBorders>
                    <w:tl2br w:val="nil"/>
                    <w:tr2bl w:val="nil"/>
                  </w:tcBorders>
                  <w:shd w:val="clear" w:color="auto" w:fill="auto"/>
                  <w:noWrap w:val="0"/>
                  <w:vAlign w:val="center"/>
                </w:tcPr>
                <w:p w14:paraId="2DE99DE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中层样（50～150cm）</w:t>
                  </w:r>
                </w:p>
              </w:tc>
              <w:tc>
                <w:tcPr>
                  <w:tcW w:w="907" w:type="pct"/>
                  <w:vMerge w:val="continue"/>
                  <w:tcBorders>
                    <w:tl2br w:val="nil"/>
                    <w:tr2bl w:val="nil"/>
                  </w:tcBorders>
                  <w:noWrap w:val="0"/>
                  <w:vAlign w:val="center"/>
                </w:tcPr>
                <w:p w14:paraId="508BF01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p>
              </w:tc>
            </w:tr>
            <w:tr w14:paraId="08208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11" w:type="pct"/>
                  <w:vMerge w:val="continue"/>
                  <w:tcBorders>
                    <w:tl2br w:val="nil"/>
                    <w:tr2bl w:val="nil"/>
                  </w:tcBorders>
                  <w:noWrap w:val="0"/>
                  <w:vAlign w:val="center"/>
                </w:tcPr>
                <w:p w14:paraId="4B22625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815" w:type="pct"/>
                  <w:vMerge w:val="continue"/>
                  <w:tcBorders>
                    <w:tl2br w:val="nil"/>
                    <w:tr2bl w:val="nil"/>
                  </w:tcBorders>
                  <w:noWrap w:val="0"/>
                  <w:vAlign w:val="center"/>
                </w:tcPr>
                <w:p w14:paraId="09D4CB5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764" w:type="pct"/>
                  <w:tcBorders>
                    <w:tl2br w:val="nil"/>
                    <w:tr2bl w:val="nil"/>
                  </w:tcBorders>
                  <w:shd w:val="clear" w:color="auto" w:fill="auto"/>
                  <w:noWrap w:val="0"/>
                  <w:vAlign w:val="center"/>
                </w:tcPr>
                <w:p w14:paraId="6942C58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深层样（150～300cm）</w:t>
                  </w:r>
                </w:p>
              </w:tc>
              <w:tc>
                <w:tcPr>
                  <w:tcW w:w="907" w:type="pct"/>
                  <w:vMerge w:val="continue"/>
                  <w:tcBorders>
                    <w:tl2br w:val="nil"/>
                    <w:tr2bl w:val="nil"/>
                  </w:tcBorders>
                  <w:noWrap w:val="0"/>
                  <w:vAlign w:val="center"/>
                </w:tcPr>
                <w:p w14:paraId="1D3A104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firstLine="0" w:firstLineChars="0"/>
                    <w:jc w:val="center"/>
                    <w:textAlignment w:val="baseline"/>
                    <w:rPr>
                      <w:rFonts w:hint="default" w:ascii="Times New Roman" w:hAnsi="Times New Roman" w:eastAsia="宋体" w:cs="Times New Roman"/>
                      <w:color w:val="auto"/>
                      <w:sz w:val="21"/>
                      <w:szCs w:val="21"/>
                      <w:highlight w:val="none"/>
                    </w:rPr>
                  </w:pPr>
                </w:p>
              </w:tc>
            </w:tr>
          </w:tbl>
          <w:p w14:paraId="3AA9B5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auto"/>
              <w:outlineLvl w:val="9"/>
              <w:rPr>
                <w:rFonts w:hint="default"/>
                <w:color w:val="auto"/>
              </w:rPr>
            </w:pPr>
            <w:r>
              <w:rPr>
                <w:rFonts w:hint="default"/>
                <w:color w:val="auto"/>
              </w:rPr>
              <w:drawing>
                <wp:inline distT="0" distB="0" distL="114300" distR="114300">
                  <wp:extent cx="5156835" cy="3110230"/>
                  <wp:effectExtent l="0" t="0" r="5715" b="1397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23"/>
                          <a:stretch>
                            <a:fillRect/>
                          </a:stretch>
                        </pic:blipFill>
                        <pic:spPr>
                          <a:xfrm>
                            <a:off x="0" y="0"/>
                            <a:ext cx="5156835" cy="3110230"/>
                          </a:xfrm>
                          <a:prstGeom prst="rect">
                            <a:avLst/>
                          </a:prstGeom>
                          <a:noFill/>
                          <a:ln>
                            <a:noFill/>
                          </a:ln>
                        </pic:spPr>
                      </pic:pic>
                    </a:graphicData>
                  </a:graphic>
                </wp:inline>
              </w:drawing>
            </w:r>
          </w:p>
          <w:p w14:paraId="087A14BA">
            <w:pPr>
              <w:keepNext w:val="0"/>
              <w:keepLines w:val="0"/>
              <w:pageBreakBefore w:val="0"/>
              <w:suppressLineNumbers w:val="0"/>
              <w:kinsoku/>
              <w:overflowPunct/>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图3-2土壤监测点位图</w:t>
            </w:r>
          </w:p>
          <w:p w14:paraId="3DC637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表3-7土壤检测结果表（1）</w:t>
            </w:r>
          </w:p>
          <w:tbl>
            <w:tblPr>
              <w:tblStyle w:val="25"/>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22"/>
              <w:gridCol w:w="1248"/>
              <w:gridCol w:w="1155"/>
              <w:gridCol w:w="1304"/>
              <w:gridCol w:w="1304"/>
              <w:gridCol w:w="1020"/>
              <w:gridCol w:w="641"/>
            </w:tblGrid>
            <w:tr w14:paraId="6902C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vMerge w:val="restart"/>
                  <w:tcBorders>
                    <w:tl2br w:val="nil"/>
                    <w:tr2bl w:val="nil"/>
                  </w:tcBorders>
                  <w:vAlign w:val="center"/>
                </w:tcPr>
                <w:p w14:paraId="3928531A">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color w:val="auto"/>
                      <w:position w:val="-10"/>
                      <w:sz w:val="21"/>
                      <w:szCs w:val="21"/>
                      <w:highlight w:val="none"/>
                      <w:lang w:val="en-US" w:eastAsia="zh-CN"/>
                    </w:rPr>
                    <w:t>检测项目</w:t>
                  </w:r>
                </w:p>
              </w:tc>
              <w:tc>
                <w:tcPr>
                  <w:tcW w:w="752" w:type="pct"/>
                  <w:vMerge w:val="restart"/>
                  <w:tcBorders>
                    <w:tl2br w:val="nil"/>
                    <w:tr2bl w:val="nil"/>
                  </w:tcBorders>
                  <w:vAlign w:val="center"/>
                </w:tcPr>
                <w:p w14:paraId="0FA76BE3">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color w:val="auto"/>
                      <w:position w:val="-10"/>
                      <w:sz w:val="21"/>
                      <w:szCs w:val="21"/>
                      <w:highlight w:val="none"/>
                      <w:lang w:val="en-US" w:eastAsia="zh-CN"/>
                    </w:rPr>
                    <w:t>单位</w:t>
                  </w:r>
                </w:p>
              </w:tc>
              <w:tc>
                <w:tcPr>
                  <w:tcW w:w="2268" w:type="pct"/>
                  <w:gridSpan w:val="3"/>
                  <w:tcBorders>
                    <w:tl2br w:val="nil"/>
                    <w:tr2bl w:val="nil"/>
                  </w:tcBorders>
                  <w:vAlign w:val="center"/>
                </w:tcPr>
                <w:p w14:paraId="7E3790C0">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color w:val="auto"/>
                      <w:position w:val="-10"/>
                      <w:sz w:val="21"/>
                      <w:szCs w:val="21"/>
                      <w:highlight w:val="none"/>
                      <w:lang w:val="en-US" w:eastAsia="zh-CN"/>
                    </w:rPr>
                    <w:t>分析结果</w:t>
                  </w:r>
                </w:p>
              </w:tc>
              <w:tc>
                <w:tcPr>
                  <w:tcW w:w="614" w:type="pct"/>
                  <w:vMerge w:val="restart"/>
                  <w:tcBorders>
                    <w:tl2br w:val="nil"/>
                    <w:tr2bl w:val="nil"/>
                  </w:tcBorders>
                  <w:vAlign w:val="center"/>
                </w:tcPr>
                <w:p w14:paraId="53270DC1">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标准限值</w:t>
                  </w:r>
                </w:p>
              </w:tc>
              <w:tc>
                <w:tcPr>
                  <w:tcW w:w="386" w:type="pct"/>
                  <w:vMerge w:val="restart"/>
                  <w:tcBorders>
                    <w:tl2br w:val="nil"/>
                    <w:tr2bl w:val="nil"/>
                  </w:tcBorders>
                  <w:vAlign w:val="center"/>
                </w:tcPr>
                <w:p w14:paraId="2ABE8445">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达标情况</w:t>
                  </w:r>
                </w:p>
              </w:tc>
            </w:tr>
            <w:tr w14:paraId="1BFE9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vMerge w:val="continue"/>
                  <w:tcBorders>
                    <w:tl2br w:val="nil"/>
                    <w:tr2bl w:val="nil"/>
                  </w:tcBorders>
                  <w:vAlign w:val="center"/>
                </w:tcPr>
                <w:p w14:paraId="49A715F8">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c>
                <w:tcPr>
                  <w:tcW w:w="752" w:type="pct"/>
                  <w:vMerge w:val="continue"/>
                  <w:tcBorders>
                    <w:tl2br w:val="nil"/>
                    <w:tr2bl w:val="nil"/>
                  </w:tcBorders>
                  <w:vAlign w:val="center"/>
                </w:tcPr>
                <w:p w14:paraId="1665E8F9">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c>
                <w:tcPr>
                  <w:tcW w:w="2268" w:type="pct"/>
                  <w:gridSpan w:val="3"/>
                  <w:tcBorders>
                    <w:tl2br w:val="nil"/>
                    <w:tr2bl w:val="nil"/>
                  </w:tcBorders>
                  <w:vAlign w:val="center"/>
                </w:tcPr>
                <w:p w14:paraId="5B1B98A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T1危废库</w:t>
                  </w:r>
                </w:p>
                <w:p w14:paraId="6FF8EE9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color w:val="auto"/>
                      <w:sz w:val="21"/>
                      <w:szCs w:val="21"/>
                      <w:highlight w:val="none"/>
                      <w:lang w:eastAsia="zh-CN"/>
                    </w:rPr>
                    <w:t>106.78320402°</w:t>
                  </w:r>
                  <w:r>
                    <w:rPr>
                      <w:rFonts w:hint="default" w:ascii="Times New Roman" w:hAnsi="Times New Roman" w:eastAsia="宋体" w:cs="Times New Roman"/>
                      <w:color w:val="auto"/>
                      <w:sz w:val="21"/>
                      <w:szCs w:val="21"/>
                      <w:highlight w:val="none"/>
                      <w:lang w:val="en-US" w:eastAsia="zh-CN"/>
                    </w:rPr>
                    <w:t>E</w:t>
                  </w:r>
                  <w:r>
                    <w:rPr>
                      <w:rFonts w:hint="default" w:ascii="Times New Roman" w:hAnsi="Times New Roman" w:eastAsia="宋体" w:cs="Times New Roman"/>
                      <w:color w:val="auto"/>
                      <w:sz w:val="21"/>
                      <w:szCs w:val="21"/>
                      <w:highlight w:val="none"/>
                      <w:lang w:eastAsia="zh-CN"/>
                    </w:rPr>
                    <w:t>，39.89690978°</w:t>
                  </w:r>
                  <w:r>
                    <w:rPr>
                      <w:rFonts w:hint="default" w:ascii="Times New Roman" w:hAnsi="Times New Roman" w:eastAsia="宋体" w:cs="Times New Roman"/>
                      <w:color w:val="auto"/>
                      <w:sz w:val="21"/>
                      <w:szCs w:val="21"/>
                      <w:highlight w:val="none"/>
                      <w:lang w:val="en-US" w:eastAsia="zh-CN"/>
                    </w:rPr>
                    <w:t>N</w:t>
                  </w:r>
                </w:p>
              </w:tc>
              <w:tc>
                <w:tcPr>
                  <w:tcW w:w="614" w:type="pct"/>
                  <w:vMerge w:val="continue"/>
                  <w:tcBorders>
                    <w:tl2br w:val="nil"/>
                    <w:tr2bl w:val="nil"/>
                  </w:tcBorders>
                  <w:vAlign w:val="center"/>
                </w:tcPr>
                <w:p w14:paraId="69C398F0">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c>
                <w:tcPr>
                  <w:tcW w:w="386" w:type="pct"/>
                  <w:vMerge w:val="continue"/>
                  <w:tcBorders>
                    <w:tl2br w:val="nil"/>
                    <w:tr2bl w:val="nil"/>
                  </w:tcBorders>
                  <w:vAlign w:val="center"/>
                </w:tcPr>
                <w:p w14:paraId="18827F1F">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r>
            <w:tr w14:paraId="45BB6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vMerge w:val="continue"/>
                  <w:tcBorders>
                    <w:tl2br w:val="nil"/>
                    <w:tr2bl w:val="nil"/>
                  </w:tcBorders>
                  <w:vAlign w:val="center"/>
                </w:tcPr>
                <w:p w14:paraId="358E2A88">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rPr>
                  </w:pPr>
                </w:p>
              </w:tc>
              <w:tc>
                <w:tcPr>
                  <w:tcW w:w="752" w:type="pct"/>
                  <w:vMerge w:val="continue"/>
                  <w:tcBorders>
                    <w:tl2br w:val="nil"/>
                    <w:tr2bl w:val="nil"/>
                  </w:tcBorders>
                  <w:shd w:val="clear" w:color="auto" w:fill="auto"/>
                  <w:vAlign w:val="center"/>
                </w:tcPr>
                <w:p w14:paraId="2A73398E">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rPr>
                  </w:pPr>
                </w:p>
              </w:tc>
              <w:tc>
                <w:tcPr>
                  <w:tcW w:w="696" w:type="pct"/>
                  <w:tcBorders>
                    <w:tl2br w:val="nil"/>
                    <w:tr2bl w:val="nil"/>
                  </w:tcBorders>
                  <w:shd w:val="clear" w:color="auto" w:fill="auto"/>
                  <w:vAlign w:val="center"/>
                </w:tcPr>
                <w:p w14:paraId="5B51B72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表层样（0-0.5m）</w:t>
                  </w:r>
                </w:p>
              </w:tc>
              <w:tc>
                <w:tcPr>
                  <w:tcW w:w="786" w:type="pct"/>
                  <w:tcBorders>
                    <w:tl2br w:val="nil"/>
                    <w:tr2bl w:val="nil"/>
                  </w:tcBorders>
                  <w:shd w:val="clear" w:color="auto" w:fill="auto"/>
                  <w:vAlign w:val="center"/>
                </w:tcPr>
                <w:p w14:paraId="4DCDDBE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中层样（0.5-1.5m）</w:t>
                  </w:r>
                </w:p>
              </w:tc>
              <w:tc>
                <w:tcPr>
                  <w:tcW w:w="786" w:type="pct"/>
                  <w:tcBorders>
                    <w:tl2br w:val="nil"/>
                    <w:tr2bl w:val="nil"/>
                  </w:tcBorders>
                  <w:shd w:val="clear" w:color="auto" w:fill="auto"/>
                  <w:vAlign w:val="center"/>
                </w:tcPr>
                <w:p w14:paraId="591757A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深层样（1.5-3.0m）</w:t>
                  </w:r>
                </w:p>
              </w:tc>
              <w:tc>
                <w:tcPr>
                  <w:tcW w:w="614" w:type="pct"/>
                  <w:vMerge w:val="continue"/>
                  <w:tcBorders>
                    <w:tl2br w:val="nil"/>
                    <w:tr2bl w:val="nil"/>
                  </w:tcBorders>
                  <w:vAlign w:val="center"/>
                </w:tcPr>
                <w:p w14:paraId="53A745DF">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c>
                <w:tcPr>
                  <w:tcW w:w="386" w:type="pct"/>
                  <w:vMerge w:val="continue"/>
                  <w:tcBorders>
                    <w:tl2br w:val="nil"/>
                    <w:tr2bl w:val="nil"/>
                  </w:tcBorders>
                  <w:vAlign w:val="center"/>
                </w:tcPr>
                <w:p w14:paraId="09F28E64">
                  <w:pPr>
                    <w:keepNext w:val="0"/>
                    <w:keepLines w:val="0"/>
                    <w:pageBreakBefore w:val="0"/>
                    <w:widowControl/>
                    <w:suppressLineNumbers w:val="0"/>
                    <w:shd w:val="clear"/>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r>
            <w:tr w14:paraId="049C7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2FD0658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砷</w:t>
                  </w:r>
                </w:p>
              </w:tc>
              <w:tc>
                <w:tcPr>
                  <w:tcW w:w="752" w:type="pct"/>
                  <w:tcBorders>
                    <w:tl2br w:val="nil"/>
                    <w:tr2bl w:val="nil"/>
                  </w:tcBorders>
                  <w:shd w:val="clear" w:color="auto" w:fill="auto"/>
                  <w:vAlign w:val="center"/>
                </w:tcPr>
                <w:p w14:paraId="0D50068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3E7B7E6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8.19</w:t>
                  </w:r>
                </w:p>
              </w:tc>
              <w:tc>
                <w:tcPr>
                  <w:tcW w:w="786" w:type="pct"/>
                  <w:tcBorders>
                    <w:tl2br w:val="nil"/>
                    <w:tr2bl w:val="nil"/>
                  </w:tcBorders>
                  <w:shd w:val="clear" w:color="auto" w:fill="auto"/>
                  <w:vAlign w:val="center"/>
                </w:tcPr>
                <w:p w14:paraId="36B2941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8.09</w:t>
                  </w:r>
                </w:p>
              </w:tc>
              <w:tc>
                <w:tcPr>
                  <w:tcW w:w="786" w:type="pct"/>
                  <w:tcBorders>
                    <w:tl2br w:val="nil"/>
                    <w:tr2bl w:val="nil"/>
                  </w:tcBorders>
                  <w:shd w:val="clear" w:color="auto" w:fill="auto"/>
                  <w:vAlign w:val="center"/>
                </w:tcPr>
                <w:p w14:paraId="2BD1919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9.07</w:t>
                  </w:r>
                </w:p>
              </w:tc>
              <w:tc>
                <w:tcPr>
                  <w:tcW w:w="614" w:type="pct"/>
                  <w:tcBorders>
                    <w:tl2br w:val="nil"/>
                    <w:tr2bl w:val="nil"/>
                  </w:tcBorders>
                  <w:vAlign w:val="center"/>
                </w:tcPr>
                <w:p w14:paraId="33FE8A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60</w:t>
                  </w:r>
                </w:p>
              </w:tc>
              <w:tc>
                <w:tcPr>
                  <w:tcW w:w="386" w:type="pct"/>
                  <w:tcBorders>
                    <w:tl2br w:val="nil"/>
                    <w:tr2bl w:val="nil"/>
                  </w:tcBorders>
                  <w:vAlign w:val="center"/>
                </w:tcPr>
                <w:p w14:paraId="1F492121">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3E3B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370FA87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镉</w:t>
                  </w:r>
                </w:p>
              </w:tc>
              <w:tc>
                <w:tcPr>
                  <w:tcW w:w="752" w:type="pct"/>
                  <w:tcBorders>
                    <w:tl2br w:val="nil"/>
                    <w:tr2bl w:val="nil"/>
                  </w:tcBorders>
                  <w:shd w:val="clear" w:color="auto" w:fill="auto"/>
                  <w:vAlign w:val="center"/>
                </w:tcPr>
                <w:p w14:paraId="33CCFC8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6FCD5DD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0.12</w:t>
                  </w:r>
                </w:p>
              </w:tc>
              <w:tc>
                <w:tcPr>
                  <w:tcW w:w="786" w:type="pct"/>
                  <w:tcBorders>
                    <w:tl2br w:val="nil"/>
                    <w:tr2bl w:val="nil"/>
                  </w:tcBorders>
                  <w:shd w:val="clear" w:color="auto" w:fill="auto"/>
                  <w:vAlign w:val="center"/>
                </w:tcPr>
                <w:p w14:paraId="6DBB0B1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0.13</w:t>
                  </w:r>
                </w:p>
              </w:tc>
              <w:tc>
                <w:tcPr>
                  <w:tcW w:w="786" w:type="pct"/>
                  <w:tcBorders>
                    <w:tl2br w:val="nil"/>
                    <w:tr2bl w:val="nil"/>
                  </w:tcBorders>
                  <w:shd w:val="clear" w:color="auto" w:fill="auto"/>
                  <w:vAlign w:val="center"/>
                </w:tcPr>
                <w:p w14:paraId="5FBAEA0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0.18</w:t>
                  </w:r>
                </w:p>
              </w:tc>
              <w:tc>
                <w:tcPr>
                  <w:tcW w:w="614" w:type="pct"/>
                  <w:tcBorders>
                    <w:tl2br w:val="nil"/>
                    <w:tr2bl w:val="nil"/>
                  </w:tcBorders>
                  <w:vAlign w:val="center"/>
                </w:tcPr>
                <w:p w14:paraId="318BD9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65</w:t>
                  </w:r>
                </w:p>
              </w:tc>
              <w:tc>
                <w:tcPr>
                  <w:tcW w:w="386" w:type="pct"/>
                  <w:tcBorders>
                    <w:tl2br w:val="nil"/>
                    <w:tr2bl w:val="nil"/>
                  </w:tcBorders>
                  <w:vAlign w:val="center"/>
                </w:tcPr>
                <w:p w14:paraId="0987BA38">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8A95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5C501B4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六价铬</w:t>
                  </w:r>
                </w:p>
              </w:tc>
              <w:tc>
                <w:tcPr>
                  <w:tcW w:w="752" w:type="pct"/>
                  <w:tcBorders>
                    <w:tl2br w:val="nil"/>
                    <w:tr2bl w:val="nil"/>
                  </w:tcBorders>
                  <w:shd w:val="clear" w:color="auto" w:fill="auto"/>
                  <w:vAlign w:val="center"/>
                </w:tcPr>
                <w:p w14:paraId="5F1B5E1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7E4F3CE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&lt;0.5</w:t>
                  </w:r>
                </w:p>
              </w:tc>
              <w:tc>
                <w:tcPr>
                  <w:tcW w:w="786" w:type="pct"/>
                  <w:tcBorders>
                    <w:tl2br w:val="nil"/>
                    <w:tr2bl w:val="nil"/>
                  </w:tcBorders>
                  <w:shd w:val="clear" w:color="auto" w:fill="auto"/>
                  <w:vAlign w:val="center"/>
                </w:tcPr>
                <w:p w14:paraId="55A4C47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&lt;0.5</w:t>
                  </w:r>
                </w:p>
              </w:tc>
              <w:tc>
                <w:tcPr>
                  <w:tcW w:w="786" w:type="pct"/>
                  <w:tcBorders>
                    <w:tl2br w:val="nil"/>
                    <w:tr2bl w:val="nil"/>
                  </w:tcBorders>
                  <w:shd w:val="clear" w:color="auto" w:fill="auto"/>
                  <w:vAlign w:val="center"/>
                </w:tcPr>
                <w:p w14:paraId="0A31C64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&lt;0.5</w:t>
                  </w:r>
                </w:p>
              </w:tc>
              <w:tc>
                <w:tcPr>
                  <w:tcW w:w="614" w:type="pct"/>
                  <w:tcBorders>
                    <w:tl2br w:val="nil"/>
                    <w:tr2bl w:val="nil"/>
                  </w:tcBorders>
                  <w:vAlign w:val="center"/>
                </w:tcPr>
                <w:p w14:paraId="18FEA3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5.7</w:t>
                  </w:r>
                </w:p>
              </w:tc>
              <w:tc>
                <w:tcPr>
                  <w:tcW w:w="386" w:type="pct"/>
                  <w:tcBorders>
                    <w:tl2br w:val="nil"/>
                    <w:tr2bl w:val="nil"/>
                  </w:tcBorders>
                  <w:vAlign w:val="center"/>
                </w:tcPr>
                <w:p w14:paraId="6886B23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216CF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5A9427D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铜</w:t>
                  </w:r>
                </w:p>
              </w:tc>
              <w:tc>
                <w:tcPr>
                  <w:tcW w:w="752" w:type="pct"/>
                  <w:tcBorders>
                    <w:tl2br w:val="nil"/>
                    <w:tr2bl w:val="nil"/>
                  </w:tcBorders>
                  <w:shd w:val="clear" w:color="auto" w:fill="auto"/>
                  <w:vAlign w:val="center"/>
                </w:tcPr>
                <w:p w14:paraId="1AD1872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475CFCD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786" w:type="pct"/>
                  <w:tcBorders>
                    <w:tl2br w:val="nil"/>
                    <w:tr2bl w:val="nil"/>
                  </w:tcBorders>
                  <w:shd w:val="clear" w:color="auto" w:fill="auto"/>
                  <w:vAlign w:val="center"/>
                </w:tcPr>
                <w:p w14:paraId="3E9E975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786" w:type="pct"/>
                  <w:tcBorders>
                    <w:tl2br w:val="nil"/>
                    <w:tr2bl w:val="nil"/>
                  </w:tcBorders>
                  <w:shd w:val="clear" w:color="auto" w:fill="auto"/>
                  <w:vAlign w:val="center"/>
                </w:tcPr>
                <w:p w14:paraId="50C0C41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17</w:t>
                  </w:r>
                </w:p>
              </w:tc>
              <w:tc>
                <w:tcPr>
                  <w:tcW w:w="614" w:type="pct"/>
                  <w:tcBorders>
                    <w:tl2br w:val="nil"/>
                    <w:tr2bl w:val="nil"/>
                  </w:tcBorders>
                  <w:vAlign w:val="center"/>
                </w:tcPr>
                <w:p w14:paraId="770FBB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18000</w:t>
                  </w:r>
                </w:p>
              </w:tc>
              <w:tc>
                <w:tcPr>
                  <w:tcW w:w="386" w:type="pct"/>
                  <w:tcBorders>
                    <w:tl2br w:val="nil"/>
                    <w:tr2bl w:val="nil"/>
                  </w:tcBorders>
                  <w:vAlign w:val="center"/>
                </w:tcPr>
                <w:p w14:paraId="1A10284A">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901D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6EC53E2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铅</w:t>
                  </w:r>
                </w:p>
              </w:tc>
              <w:tc>
                <w:tcPr>
                  <w:tcW w:w="752" w:type="pct"/>
                  <w:tcBorders>
                    <w:tl2br w:val="nil"/>
                    <w:tr2bl w:val="nil"/>
                  </w:tcBorders>
                  <w:shd w:val="clear" w:color="auto" w:fill="auto"/>
                  <w:vAlign w:val="center"/>
                </w:tcPr>
                <w:p w14:paraId="6A6F64E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707961E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w:t>
                  </w:r>
                </w:p>
              </w:tc>
              <w:tc>
                <w:tcPr>
                  <w:tcW w:w="786" w:type="pct"/>
                  <w:tcBorders>
                    <w:tl2br w:val="nil"/>
                    <w:tr2bl w:val="nil"/>
                  </w:tcBorders>
                  <w:shd w:val="clear" w:color="auto" w:fill="auto"/>
                  <w:vAlign w:val="center"/>
                </w:tcPr>
                <w:p w14:paraId="2CB7E3E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w:t>
                  </w:r>
                </w:p>
              </w:tc>
              <w:tc>
                <w:tcPr>
                  <w:tcW w:w="786" w:type="pct"/>
                  <w:tcBorders>
                    <w:tl2br w:val="nil"/>
                    <w:tr2bl w:val="nil"/>
                  </w:tcBorders>
                  <w:shd w:val="clear" w:color="auto" w:fill="auto"/>
                  <w:vAlign w:val="center"/>
                </w:tcPr>
                <w:p w14:paraId="0D58FF3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614" w:type="pct"/>
                  <w:tcBorders>
                    <w:tl2br w:val="nil"/>
                    <w:tr2bl w:val="nil"/>
                  </w:tcBorders>
                  <w:vAlign w:val="center"/>
                </w:tcPr>
                <w:p w14:paraId="06A0E0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800</w:t>
                  </w:r>
                </w:p>
              </w:tc>
              <w:tc>
                <w:tcPr>
                  <w:tcW w:w="386" w:type="pct"/>
                  <w:tcBorders>
                    <w:tl2br w:val="nil"/>
                    <w:tr2bl w:val="nil"/>
                  </w:tcBorders>
                  <w:vAlign w:val="center"/>
                </w:tcPr>
                <w:p w14:paraId="52832433">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19C54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7FF6AD3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镍</w:t>
                  </w:r>
                </w:p>
              </w:tc>
              <w:tc>
                <w:tcPr>
                  <w:tcW w:w="752" w:type="pct"/>
                  <w:tcBorders>
                    <w:tl2br w:val="nil"/>
                    <w:tr2bl w:val="nil"/>
                  </w:tcBorders>
                  <w:shd w:val="clear" w:color="auto" w:fill="auto"/>
                  <w:vAlign w:val="center"/>
                </w:tcPr>
                <w:p w14:paraId="5987B0D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740B666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42</w:t>
                  </w:r>
                </w:p>
              </w:tc>
              <w:tc>
                <w:tcPr>
                  <w:tcW w:w="786" w:type="pct"/>
                  <w:tcBorders>
                    <w:tl2br w:val="nil"/>
                    <w:tr2bl w:val="nil"/>
                  </w:tcBorders>
                  <w:shd w:val="clear" w:color="auto" w:fill="auto"/>
                  <w:vAlign w:val="center"/>
                </w:tcPr>
                <w:p w14:paraId="32A26C8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55</w:t>
                  </w:r>
                </w:p>
              </w:tc>
              <w:tc>
                <w:tcPr>
                  <w:tcW w:w="786" w:type="pct"/>
                  <w:tcBorders>
                    <w:tl2br w:val="nil"/>
                    <w:tr2bl w:val="nil"/>
                  </w:tcBorders>
                  <w:shd w:val="clear" w:color="auto" w:fill="auto"/>
                  <w:vAlign w:val="center"/>
                </w:tcPr>
                <w:p w14:paraId="6B4B49B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51</w:t>
                  </w:r>
                </w:p>
              </w:tc>
              <w:tc>
                <w:tcPr>
                  <w:tcW w:w="614" w:type="pct"/>
                  <w:tcBorders>
                    <w:tl2br w:val="nil"/>
                    <w:tr2bl w:val="nil"/>
                  </w:tcBorders>
                  <w:vAlign w:val="center"/>
                </w:tcPr>
                <w:p w14:paraId="0C3178D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900</w:t>
                  </w:r>
                </w:p>
              </w:tc>
              <w:tc>
                <w:tcPr>
                  <w:tcW w:w="386" w:type="pct"/>
                  <w:tcBorders>
                    <w:tl2br w:val="nil"/>
                    <w:tr2bl w:val="nil"/>
                  </w:tcBorders>
                  <w:vAlign w:val="center"/>
                </w:tcPr>
                <w:p w14:paraId="5E888C96">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9319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2EAE238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汞</w:t>
                  </w:r>
                </w:p>
              </w:tc>
              <w:tc>
                <w:tcPr>
                  <w:tcW w:w="752" w:type="pct"/>
                  <w:tcBorders>
                    <w:tl2br w:val="nil"/>
                    <w:tr2bl w:val="nil"/>
                  </w:tcBorders>
                  <w:shd w:val="clear" w:color="auto" w:fill="auto"/>
                  <w:vAlign w:val="center"/>
                </w:tcPr>
                <w:p w14:paraId="4EE4424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06DDA6F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0.019</w:t>
                  </w:r>
                </w:p>
              </w:tc>
              <w:tc>
                <w:tcPr>
                  <w:tcW w:w="786" w:type="pct"/>
                  <w:tcBorders>
                    <w:tl2br w:val="nil"/>
                    <w:tr2bl w:val="nil"/>
                  </w:tcBorders>
                  <w:shd w:val="clear" w:color="auto" w:fill="auto"/>
                  <w:vAlign w:val="center"/>
                </w:tcPr>
                <w:p w14:paraId="10B5D3D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0.061</w:t>
                  </w:r>
                </w:p>
              </w:tc>
              <w:tc>
                <w:tcPr>
                  <w:tcW w:w="786" w:type="pct"/>
                  <w:tcBorders>
                    <w:tl2br w:val="nil"/>
                    <w:tr2bl w:val="nil"/>
                  </w:tcBorders>
                  <w:shd w:val="clear" w:color="auto" w:fill="auto"/>
                  <w:vAlign w:val="center"/>
                </w:tcPr>
                <w:p w14:paraId="32B3B5B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0.023</w:t>
                  </w:r>
                </w:p>
              </w:tc>
              <w:tc>
                <w:tcPr>
                  <w:tcW w:w="614" w:type="pct"/>
                  <w:tcBorders>
                    <w:tl2br w:val="nil"/>
                    <w:tr2bl w:val="nil"/>
                  </w:tcBorders>
                  <w:shd w:val="clear" w:color="auto" w:fill="auto"/>
                  <w:vAlign w:val="center"/>
                </w:tcPr>
                <w:p w14:paraId="5C12D96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38</w:t>
                  </w:r>
                </w:p>
              </w:tc>
              <w:tc>
                <w:tcPr>
                  <w:tcW w:w="386" w:type="pct"/>
                  <w:tcBorders>
                    <w:tl2br w:val="nil"/>
                    <w:tr2bl w:val="nil"/>
                  </w:tcBorders>
                  <w:shd w:val="clear" w:color="auto" w:fill="auto"/>
                  <w:vAlign w:val="center"/>
                </w:tcPr>
                <w:p w14:paraId="5866E479">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034B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0A38AD2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四氯化碳</w:t>
                  </w:r>
                </w:p>
              </w:tc>
              <w:tc>
                <w:tcPr>
                  <w:tcW w:w="752" w:type="pct"/>
                  <w:tcBorders>
                    <w:tl2br w:val="nil"/>
                    <w:tr2bl w:val="nil"/>
                  </w:tcBorders>
                  <w:shd w:val="clear" w:color="auto" w:fill="auto"/>
                  <w:vAlign w:val="center"/>
                </w:tcPr>
                <w:p w14:paraId="2FF1ABF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480976B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493B363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1539E7D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3E1CA8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w:t>
                  </w:r>
                </w:p>
              </w:tc>
              <w:tc>
                <w:tcPr>
                  <w:tcW w:w="386" w:type="pct"/>
                  <w:tcBorders>
                    <w:tl2br w:val="nil"/>
                    <w:tr2bl w:val="nil"/>
                  </w:tcBorders>
                  <w:vAlign w:val="center"/>
                </w:tcPr>
                <w:p w14:paraId="1B802A0A">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630E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101D721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氯仿</w:t>
                  </w:r>
                </w:p>
              </w:tc>
              <w:tc>
                <w:tcPr>
                  <w:tcW w:w="752" w:type="pct"/>
                  <w:tcBorders>
                    <w:tl2br w:val="nil"/>
                    <w:tr2bl w:val="nil"/>
                  </w:tcBorders>
                  <w:shd w:val="clear" w:color="auto" w:fill="auto"/>
                  <w:vAlign w:val="center"/>
                </w:tcPr>
                <w:p w14:paraId="62F8EA7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072710F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&lt;1.1×10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2D08466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&lt;1.1×10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4B91B78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&lt;1.1×10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603A0E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0.9</w:t>
                  </w:r>
                </w:p>
              </w:tc>
              <w:tc>
                <w:tcPr>
                  <w:tcW w:w="386" w:type="pct"/>
                  <w:tcBorders>
                    <w:tl2br w:val="nil"/>
                    <w:tr2bl w:val="nil"/>
                  </w:tcBorders>
                  <w:vAlign w:val="center"/>
                </w:tcPr>
                <w:p w14:paraId="5186416D">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34FD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5AAC35A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氯甲烷</w:t>
                  </w:r>
                </w:p>
              </w:tc>
              <w:tc>
                <w:tcPr>
                  <w:tcW w:w="752" w:type="pct"/>
                  <w:tcBorders>
                    <w:tl2br w:val="nil"/>
                    <w:tr2bl w:val="nil"/>
                  </w:tcBorders>
                  <w:shd w:val="clear" w:color="auto" w:fill="auto"/>
                  <w:vAlign w:val="center"/>
                </w:tcPr>
                <w:p w14:paraId="5FD876D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55F1D6B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&lt;1.0×10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21536D5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&lt;1.0×10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3EB0D47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&lt;1.0×10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35747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37</w:t>
                  </w:r>
                </w:p>
              </w:tc>
              <w:tc>
                <w:tcPr>
                  <w:tcW w:w="386" w:type="pct"/>
                  <w:tcBorders>
                    <w:tl2br w:val="nil"/>
                    <w:tr2bl w:val="nil"/>
                  </w:tcBorders>
                  <w:vAlign w:val="center"/>
                </w:tcPr>
                <w:p w14:paraId="49066C93">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4C21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417601C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1-二氯乙烷</w:t>
                  </w:r>
                </w:p>
              </w:tc>
              <w:tc>
                <w:tcPr>
                  <w:tcW w:w="752" w:type="pct"/>
                  <w:tcBorders>
                    <w:tl2br w:val="nil"/>
                    <w:tr2bl w:val="nil"/>
                  </w:tcBorders>
                  <w:shd w:val="clear" w:color="auto" w:fill="auto"/>
                  <w:vAlign w:val="center"/>
                </w:tcPr>
                <w:p w14:paraId="1900209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0819F3C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15C738C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3AE706F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1DF69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w:t>
                  </w:r>
                </w:p>
              </w:tc>
              <w:tc>
                <w:tcPr>
                  <w:tcW w:w="386" w:type="pct"/>
                  <w:tcBorders>
                    <w:tl2br w:val="nil"/>
                    <w:tr2bl w:val="nil"/>
                  </w:tcBorders>
                  <w:vAlign w:val="center"/>
                </w:tcPr>
                <w:p w14:paraId="05EE17D5">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212F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1F0D3F6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2-二氯乙烷</w:t>
                  </w:r>
                </w:p>
              </w:tc>
              <w:tc>
                <w:tcPr>
                  <w:tcW w:w="752" w:type="pct"/>
                  <w:tcBorders>
                    <w:tl2br w:val="nil"/>
                    <w:tr2bl w:val="nil"/>
                  </w:tcBorders>
                  <w:shd w:val="clear" w:color="auto" w:fill="auto"/>
                  <w:vAlign w:val="center"/>
                </w:tcPr>
                <w:p w14:paraId="780052C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29077E2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745F986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18C1B2B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674737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w:t>
                  </w:r>
                </w:p>
              </w:tc>
              <w:tc>
                <w:tcPr>
                  <w:tcW w:w="386" w:type="pct"/>
                  <w:tcBorders>
                    <w:tl2br w:val="nil"/>
                    <w:tr2bl w:val="nil"/>
                  </w:tcBorders>
                  <w:vAlign w:val="center"/>
                </w:tcPr>
                <w:p w14:paraId="3D333F3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1E1CD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6D785FE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1二氯乙烯</w:t>
                  </w:r>
                </w:p>
              </w:tc>
              <w:tc>
                <w:tcPr>
                  <w:tcW w:w="752" w:type="pct"/>
                  <w:tcBorders>
                    <w:tl2br w:val="nil"/>
                    <w:tr2bl w:val="nil"/>
                  </w:tcBorders>
                  <w:shd w:val="clear" w:color="auto" w:fill="auto"/>
                  <w:vAlign w:val="center"/>
                </w:tcPr>
                <w:p w14:paraId="12A2CC8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3F86BD8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&lt;1.0×10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0233564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&lt;1.0×10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1EA750E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&lt;1.0×10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2B4242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66</w:t>
                  </w:r>
                </w:p>
              </w:tc>
              <w:tc>
                <w:tcPr>
                  <w:tcW w:w="386" w:type="pct"/>
                  <w:tcBorders>
                    <w:tl2br w:val="nil"/>
                    <w:tr2bl w:val="nil"/>
                  </w:tcBorders>
                  <w:vAlign w:val="center"/>
                </w:tcPr>
                <w:p w14:paraId="09599E98">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7737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0526645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顺1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2二氯乙烯</w:t>
                  </w:r>
                </w:p>
              </w:tc>
              <w:tc>
                <w:tcPr>
                  <w:tcW w:w="752" w:type="pct"/>
                  <w:tcBorders>
                    <w:tl2br w:val="nil"/>
                    <w:tr2bl w:val="nil"/>
                  </w:tcBorders>
                  <w:shd w:val="clear" w:color="auto" w:fill="auto"/>
                  <w:vAlign w:val="center"/>
                </w:tcPr>
                <w:p w14:paraId="12B560B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7CA411C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0F1F082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45348C3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0CB9E8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596</w:t>
                  </w:r>
                </w:p>
              </w:tc>
              <w:tc>
                <w:tcPr>
                  <w:tcW w:w="386" w:type="pct"/>
                  <w:tcBorders>
                    <w:tl2br w:val="nil"/>
                    <w:tr2bl w:val="nil"/>
                  </w:tcBorders>
                  <w:vAlign w:val="center"/>
                </w:tcPr>
                <w:p w14:paraId="06CA60CB">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72C9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044ABA6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反1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2二氯乙烯</w:t>
                  </w:r>
                </w:p>
              </w:tc>
              <w:tc>
                <w:tcPr>
                  <w:tcW w:w="752" w:type="pct"/>
                  <w:tcBorders>
                    <w:tl2br w:val="nil"/>
                    <w:tr2bl w:val="nil"/>
                  </w:tcBorders>
                  <w:shd w:val="clear" w:color="auto" w:fill="auto"/>
                  <w:vAlign w:val="center"/>
                </w:tcPr>
                <w:p w14:paraId="36D9CC6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3A85DD4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&lt;1.4×10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3FCF76F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&lt;1.4×10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35F4371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&lt;1.4×10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0B90F8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54</w:t>
                  </w:r>
                </w:p>
              </w:tc>
              <w:tc>
                <w:tcPr>
                  <w:tcW w:w="386" w:type="pct"/>
                  <w:tcBorders>
                    <w:tl2br w:val="nil"/>
                    <w:tr2bl w:val="nil"/>
                  </w:tcBorders>
                  <w:vAlign w:val="center"/>
                </w:tcPr>
                <w:p w14:paraId="47C77393">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B4A0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657C589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二氯甲烷</w:t>
                  </w:r>
                </w:p>
              </w:tc>
              <w:tc>
                <w:tcPr>
                  <w:tcW w:w="752" w:type="pct"/>
                  <w:tcBorders>
                    <w:tl2br w:val="nil"/>
                    <w:tr2bl w:val="nil"/>
                  </w:tcBorders>
                  <w:shd w:val="clear" w:color="auto" w:fill="auto"/>
                  <w:vAlign w:val="center"/>
                </w:tcPr>
                <w:p w14:paraId="65EAED1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477F86A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&lt;1.5×10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7C6F0F1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&lt;1.5×10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06B1734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&lt;1.5×10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616D90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616</w:t>
                  </w:r>
                </w:p>
              </w:tc>
              <w:tc>
                <w:tcPr>
                  <w:tcW w:w="386" w:type="pct"/>
                  <w:tcBorders>
                    <w:tl2br w:val="nil"/>
                    <w:tr2bl w:val="nil"/>
                  </w:tcBorders>
                  <w:vAlign w:val="center"/>
                </w:tcPr>
                <w:p w14:paraId="2095877C">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3CD78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33A79D8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2-二氯丙烷</w:t>
                  </w:r>
                </w:p>
              </w:tc>
              <w:tc>
                <w:tcPr>
                  <w:tcW w:w="752" w:type="pct"/>
                  <w:tcBorders>
                    <w:tl2br w:val="nil"/>
                    <w:tr2bl w:val="nil"/>
                  </w:tcBorders>
                  <w:shd w:val="clear" w:color="auto" w:fill="auto"/>
                  <w:vAlign w:val="center"/>
                </w:tcPr>
                <w:p w14:paraId="7C38027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41E797A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&lt;1.1×10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4C750CC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&lt;1.1×10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17AC52C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&lt;1.1×10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2F3084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w:t>
                  </w:r>
                </w:p>
              </w:tc>
              <w:tc>
                <w:tcPr>
                  <w:tcW w:w="386" w:type="pct"/>
                  <w:tcBorders>
                    <w:tl2br w:val="nil"/>
                    <w:tr2bl w:val="nil"/>
                  </w:tcBorders>
                  <w:vAlign w:val="center"/>
                </w:tcPr>
                <w:p w14:paraId="2CD6F82B">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E264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39B927E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2-四氯乙烷</w:t>
                  </w:r>
                </w:p>
              </w:tc>
              <w:tc>
                <w:tcPr>
                  <w:tcW w:w="752" w:type="pct"/>
                  <w:tcBorders>
                    <w:tl2br w:val="nil"/>
                    <w:tr2bl w:val="nil"/>
                  </w:tcBorders>
                  <w:shd w:val="clear" w:color="auto" w:fill="auto"/>
                  <w:vAlign w:val="center"/>
                </w:tcPr>
                <w:p w14:paraId="06F6AD0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2CE1168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20701C8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7705EFF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24413A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w:t>
                  </w:r>
                </w:p>
              </w:tc>
              <w:tc>
                <w:tcPr>
                  <w:tcW w:w="386" w:type="pct"/>
                  <w:tcBorders>
                    <w:tl2br w:val="nil"/>
                    <w:tr2bl w:val="nil"/>
                  </w:tcBorders>
                  <w:vAlign w:val="center"/>
                </w:tcPr>
                <w:p w14:paraId="21AD8DB5">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9651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30D7A1B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2-四氯乙烷</w:t>
                  </w:r>
                </w:p>
              </w:tc>
              <w:tc>
                <w:tcPr>
                  <w:tcW w:w="752" w:type="pct"/>
                  <w:tcBorders>
                    <w:tl2br w:val="nil"/>
                    <w:tr2bl w:val="nil"/>
                  </w:tcBorders>
                  <w:shd w:val="clear" w:color="auto" w:fill="auto"/>
                  <w:vAlign w:val="center"/>
                </w:tcPr>
                <w:p w14:paraId="5C6E6D5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172E363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0FA14AF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7E70C39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742B95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6.8</w:t>
                  </w:r>
                </w:p>
              </w:tc>
              <w:tc>
                <w:tcPr>
                  <w:tcW w:w="386" w:type="pct"/>
                  <w:tcBorders>
                    <w:tl2br w:val="nil"/>
                    <w:tr2bl w:val="nil"/>
                  </w:tcBorders>
                  <w:vAlign w:val="center"/>
                </w:tcPr>
                <w:p w14:paraId="74BDD811">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4D39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5C0A698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四氯乙烯</w:t>
                  </w:r>
                </w:p>
              </w:tc>
              <w:tc>
                <w:tcPr>
                  <w:tcW w:w="752" w:type="pct"/>
                  <w:tcBorders>
                    <w:tl2br w:val="nil"/>
                    <w:tr2bl w:val="nil"/>
                  </w:tcBorders>
                  <w:shd w:val="clear" w:color="auto" w:fill="auto"/>
                  <w:vAlign w:val="center"/>
                </w:tcPr>
                <w:p w14:paraId="111B814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2FACA6D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&lt;1.4×10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1D999D9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&lt;1.4×10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669EADC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&lt;1.4×10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0C915B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c>
                <w:tcPr>
                  <w:tcW w:w="386" w:type="pct"/>
                  <w:tcBorders>
                    <w:tl2br w:val="nil"/>
                    <w:tr2bl w:val="nil"/>
                  </w:tcBorders>
                  <w:vAlign w:val="center"/>
                </w:tcPr>
                <w:p w14:paraId="0622D02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65392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70D3908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1-三氯乙烷</w:t>
                  </w:r>
                </w:p>
              </w:tc>
              <w:tc>
                <w:tcPr>
                  <w:tcW w:w="752" w:type="pct"/>
                  <w:tcBorders>
                    <w:tl2br w:val="nil"/>
                    <w:tr2bl w:val="nil"/>
                  </w:tcBorders>
                  <w:shd w:val="clear" w:color="auto" w:fill="auto"/>
                  <w:vAlign w:val="center"/>
                </w:tcPr>
                <w:p w14:paraId="2ABF502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728CEAF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5C9BC4E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0280194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33459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840</w:t>
                  </w:r>
                </w:p>
              </w:tc>
              <w:tc>
                <w:tcPr>
                  <w:tcW w:w="386" w:type="pct"/>
                  <w:tcBorders>
                    <w:tl2br w:val="nil"/>
                    <w:tr2bl w:val="nil"/>
                  </w:tcBorders>
                  <w:vAlign w:val="center"/>
                </w:tcPr>
                <w:p w14:paraId="3A55092A">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5788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19F71B1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2-三氯乙烷</w:t>
                  </w:r>
                </w:p>
              </w:tc>
              <w:tc>
                <w:tcPr>
                  <w:tcW w:w="752" w:type="pct"/>
                  <w:tcBorders>
                    <w:tl2br w:val="nil"/>
                    <w:tr2bl w:val="nil"/>
                  </w:tcBorders>
                  <w:shd w:val="clear" w:color="auto" w:fill="auto"/>
                  <w:vAlign w:val="center"/>
                </w:tcPr>
                <w:p w14:paraId="0EF0F55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3FE8682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25A8F6D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48F11E2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462EDD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w:t>
                  </w:r>
                </w:p>
              </w:tc>
              <w:tc>
                <w:tcPr>
                  <w:tcW w:w="386" w:type="pct"/>
                  <w:tcBorders>
                    <w:tl2br w:val="nil"/>
                    <w:tr2bl w:val="nil"/>
                  </w:tcBorders>
                  <w:vAlign w:val="center"/>
                </w:tcPr>
                <w:p w14:paraId="5F7D805C">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19BCC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6EFE1C4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三氯乙烯</w:t>
                  </w:r>
                </w:p>
              </w:tc>
              <w:tc>
                <w:tcPr>
                  <w:tcW w:w="752" w:type="pct"/>
                  <w:tcBorders>
                    <w:tl2br w:val="nil"/>
                    <w:tr2bl w:val="nil"/>
                  </w:tcBorders>
                  <w:shd w:val="clear" w:color="auto" w:fill="auto"/>
                  <w:vAlign w:val="center"/>
                </w:tcPr>
                <w:p w14:paraId="1D32CA4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60F2230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22CE612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6AED2DB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460B58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w:t>
                  </w:r>
                </w:p>
              </w:tc>
              <w:tc>
                <w:tcPr>
                  <w:tcW w:w="386" w:type="pct"/>
                  <w:tcBorders>
                    <w:tl2br w:val="nil"/>
                    <w:tr2bl w:val="nil"/>
                  </w:tcBorders>
                  <w:vAlign w:val="center"/>
                </w:tcPr>
                <w:p w14:paraId="06D76C9A">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6496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7BC606A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3-三氯丙烷</w:t>
                  </w:r>
                </w:p>
              </w:tc>
              <w:tc>
                <w:tcPr>
                  <w:tcW w:w="752" w:type="pct"/>
                  <w:tcBorders>
                    <w:tl2br w:val="nil"/>
                    <w:tr2bl w:val="nil"/>
                  </w:tcBorders>
                  <w:shd w:val="clear" w:color="auto" w:fill="auto"/>
                  <w:vAlign w:val="center"/>
                </w:tcPr>
                <w:p w14:paraId="619F6E9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6AB73A1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3FBA5AC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0833AFB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5498DB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0.5</w:t>
                  </w:r>
                </w:p>
              </w:tc>
              <w:tc>
                <w:tcPr>
                  <w:tcW w:w="386" w:type="pct"/>
                  <w:tcBorders>
                    <w:tl2br w:val="nil"/>
                    <w:tr2bl w:val="nil"/>
                  </w:tcBorders>
                  <w:vAlign w:val="center"/>
                </w:tcPr>
                <w:p w14:paraId="206EB5A5">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96D5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2F48871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氯乙烯</w:t>
                  </w:r>
                </w:p>
              </w:tc>
              <w:tc>
                <w:tcPr>
                  <w:tcW w:w="752" w:type="pct"/>
                  <w:tcBorders>
                    <w:tl2br w:val="nil"/>
                    <w:tr2bl w:val="nil"/>
                  </w:tcBorders>
                  <w:shd w:val="clear" w:color="auto" w:fill="auto"/>
                  <w:vAlign w:val="center"/>
                </w:tcPr>
                <w:p w14:paraId="2513725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137F6A1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&lt;1.0×10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0F3CA10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&lt;1.0×10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489B8F2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&lt;1.0×10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06FAFB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0.43</w:t>
                  </w:r>
                </w:p>
              </w:tc>
              <w:tc>
                <w:tcPr>
                  <w:tcW w:w="386" w:type="pct"/>
                  <w:tcBorders>
                    <w:tl2br w:val="nil"/>
                    <w:tr2bl w:val="nil"/>
                  </w:tcBorders>
                  <w:vAlign w:val="center"/>
                </w:tcPr>
                <w:p w14:paraId="60577E53">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AF9C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2112A03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苯</w:t>
                  </w:r>
                </w:p>
              </w:tc>
              <w:tc>
                <w:tcPr>
                  <w:tcW w:w="752" w:type="pct"/>
                  <w:tcBorders>
                    <w:tl2br w:val="nil"/>
                    <w:tr2bl w:val="nil"/>
                  </w:tcBorders>
                  <w:shd w:val="clear" w:color="auto" w:fill="auto"/>
                  <w:vAlign w:val="center"/>
                </w:tcPr>
                <w:p w14:paraId="438786B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6D73DDE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&lt;1.9×10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1D2B8C1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&lt;1.9×10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02CE398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&lt;1.9×10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1F06BC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386" w:type="pct"/>
                  <w:tcBorders>
                    <w:tl2br w:val="nil"/>
                    <w:tr2bl w:val="nil"/>
                  </w:tcBorders>
                  <w:vAlign w:val="center"/>
                </w:tcPr>
                <w:p w14:paraId="7C7EFD37">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190F1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26B5680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氯苯</w:t>
                  </w:r>
                </w:p>
              </w:tc>
              <w:tc>
                <w:tcPr>
                  <w:tcW w:w="752" w:type="pct"/>
                  <w:tcBorders>
                    <w:tl2br w:val="nil"/>
                    <w:tr2bl w:val="nil"/>
                  </w:tcBorders>
                  <w:shd w:val="clear" w:color="auto" w:fill="auto"/>
                  <w:vAlign w:val="center"/>
                </w:tcPr>
                <w:p w14:paraId="19729B6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30EB1F3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259F36F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0C01F0A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5C4B8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r>
                    <w:rPr>
                      <w:rFonts w:hint="eastAsia" w:ascii="Times New Roman" w:hAnsi="Times New Roman" w:eastAsia="宋体" w:cs="Times New Roman"/>
                      <w:color w:val="auto"/>
                      <w:kern w:val="2"/>
                      <w:sz w:val="21"/>
                      <w:szCs w:val="21"/>
                      <w:highlight w:val="none"/>
                      <w:lang w:val="en-US" w:eastAsia="zh-CN" w:bidi="ar-SA"/>
                    </w:rPr>
                    <w:t>70</w:t>
                  </w:r>
                </w:p>
              </w:tc>
              <w:tc>
                <w:tcPr>
                  <w:tcW w:w="386" w:type="pct"/>
                  <w:tcBorders>
                    <w:tl2br w:val="nil"/>
                    <w:tr2bl w:val="nil"/>
                  </w:tcBorders>
                  <w:vAlign w:val="center"/>
                </w:tcPr>
                <w:p w14:paraId="3A72A2BD">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58E8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72507E2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2-二氯苯</w:t>
                  </w:r>
                </w:p>
              </w:tc>
              <w:tc>
                <w:tcPr>
                  <w:tcW w:w="752" w:type="pct"/>
                  <w:tcBorders>
                    <w:tl2br w:val="nil"/>
                    <w:tr2bl w:val="nil"/>
                  </w:tcBorders>
                  <w:shd w:val="clear" w:color="auto" w:fill="auto"/>
                  <w:vAlign w:val="center"/>
                </w:tcPr>
                <w:p w14:paraId="7A121A1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1482AA9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&lt;1.5×10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7B976EC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&lt;1.5×10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3CDFA72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&lt;1.5×10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646F3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560</w:t>
                  </w:r>
                </w:p>
              </w:tc>
              <w:tc>
                <w:tcPr>
                  <w:tcW w:w="386" w:type="pct"/>
                  <w:tcBorders>
                    <w:tl2br w:val="nil"/>
                    <w:tr2bl w:val="nil"/>
                  </w:tcBorders>
                  <w:vAlign w:val="center"/>
                </w:tcPr>
                <w:p w14:paraId="3B9CED20">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3A56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1CF88EE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4-二氯苯</w:t>
                  </w:r>
                </w:p>
              </w:tc>
              <w:tc>
                <w:tcPr>
                  <w:tcW w:w="752" w:type="pct"/>
                  <w:tcBorders>
                    <w:tl2br w:val="nil"/>
                    <w:tr2bl w:val="nil"/>
                  </w:tcBorders>
                  <w:shd w:val="clear" w:color="auto" w:fill="auto"/>
                  <w:vAlign w:val="center"/>
                </w:tcPr>
                <w:p w14:paraId="0E9028A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1AD2673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&lt;1.5×10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70FBBD3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&lt;1.5×10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60EA0C1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&lt;1.5×10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7160AC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w:t>
                  </w:r>
                </w:p>
              </w:tc>
              <w:tc>
                <w:tcPr>
                  <w:tcW w:w="386" w:type="pct"/>
                  <w:tcBorders>
                    <w:tl2br w:val="nil"/>
                    <w:tr2bl w:val="nil"/>
                  </w:tcBorders>
                  <w:vAlign w:val="center"/>
                </w:tcPr>
                <w:p w14:paraId="2DBA7983">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6C1AA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4D20FB1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乙苯</w:t>
                  </w:r>
                </w:p>
              </w:tc>
              <w:tc>
                <w:tcPr>
                  <w:tcW w:w="752" w:type="pct"/>
                  <w:tcBorders>
                    <w:tl2br w:val="nil"/>
                    <w:tr2bl w:val="nil"/>
                  </w:tcBorders>
                  <w:shd w:val="clear" w:color="auto" w:fill="auto"/>
                  <w:vAlign w:val="center"/>
                </w:tcPr>
                <w:p w14:paraId="119BF19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13FE743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54321E7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3DD5974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2A4526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w:t>
                  </w:r>
                </w:p>
              </w:tc>
              <w:tc>
                <w:tcPr>
                  <w:tcW w:w="386" w:type="pct"/>
                  <w:tcBorders>
                    <w:tl2br w:val="nil"/>
                    <w:tr2bl w:val="nil"/>
                  </w:tcBorders>
                  <w:vAlign w:val="center"/>
                </w:tcPr>
                <w:p w14:paraId="71A6DD3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FA91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70C31CD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苯乙烯</w:t>
                  </w:r>
                </w:p>
              </w:tc>
              <w:tc>
                <w:tcPr>
                  <w:tcW w:w="752" w:type="pct"/>
                  <w:tcBorders>
                    <w:tl2br w:val="nil"/>
                    <w:tr2bl w:val="nil"/>
                  </w:tcBorders>
                  <w:shd w:val="clear" w:color="auto" w:fill="auto"/>
                  <w:vAlign w:val="center"/>
                </w:tcPr>
                <w:p w14:paraId="0730663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6EA16BE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&lt;1.1×10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1E423B9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&lt;1.1×10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770D8E1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&lt;1.1×10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055B52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1290</w:t>
                  </w:r>
                </w:p>
              </w:tc>
              <w:tc>
                <w:tcPr>
                  <w:tcW w:w="386" w:type="pct"/>
                  <w:tcBorders>
                    <w:tl2br w:val="nil"/>
                    <w:tr2bl w:val="nil"/>
                  </w:tcBorders>
                  <w:vAlign w:val="center"/>
                </w:tcPr>
                <w:p w14:paraId="3ED47315">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281CF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1844DDF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甲苯</w:t>
                  </w:r>
                </w:p>
              </w:tc>
              <w:tc>
                <w:tcPr>
                  <w:tcW w:w="752" w:type="pct"/>
                  <w:tcBorders>
                    <w:tl2br w:val="nil"/>
                    <w:tr2bl w:val="nil"/>
                  </w:tcBorders>
                  <w:shd w:val="clear" w:color="auto" w:fill="auto"/>
                  <w:vAlign w:val="center"/>
                </w:tcPr>
                <w:p w14:paraId="279A7BA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7458750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47A4099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0BF1CDA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&lt;1.3×10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2143F2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1200</w:t>
                  </w:r>
                </w:p>
              </w:tc>
              <w:tc>
                <w:tcPr>
                  <w:tcW w:w="386" w:type="pct"/>
                  <w:tcBorders>
                    <w:tl2br w:val="nil"/>
                    <w:tr2bl w:val="nil"/>
                  </w:tcBorders>
                  <w:vAlign w:val="center"/>
                </w:tcPr>
                <w:p w14:paraId="5961457C">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5F05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699C33E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邻二甲苯</w:t>
                  </w:r>
                </w:p>
              </w:tc>
              <w:tc>
                <w:tcPr>
                  <w:tcW w:w="752" w:type="pct"/>
                  <w:tcBorders>
                    <w:tl2br w:val="nil"/>
                    <w:tr2bl w:val="nil"/>
                  </w:tcBorders>
                  <w:shd w:val="clear" w:color="auto" w:fill="auto"/>
                  <w:vAlign w:val="center"/>
                </w:tcPr>
                <w:p w14:paraId="2FCB600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20B99DE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65EF362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shd w:val="clear" w:color="auto" w:fill="auto"/>
                  <w:vAlign w:val="center"/>
                </w:tcPr>
                <w:p w14:paraId="38F4B35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0DF7B1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570</w:t>
                  </w:r>
                </w:p>
              </w:tc>
              <w:tc>
                <w:tcPr>
                  <w:tcW w:w="386" w:type="pct"/>
                  <w:tcBorders>
                    <w:tl2br w:val="nil"/>
                    <w:tr2bl w:val="nil"/>
                  </w:tcBorders>
                  <w:vAlign w:val="center"/>
                </w:tcPr>
                <w:p w14:paraId="295BAAF5">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AC9C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6D3673C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间二甲苯+对二甲苯</w:t>
                  </w:r>
                </w:p>
              </w:tc>
              <w:tc>
                <w:tcPr>
                  <w:tcW w:w="752" w:type="pct"/>
                  <w:tcBorders>
                    <w:tl2br w:val="nil"/>
                    <w:tr2bl w:val="nil"/>
                  </w:tcBorders>
                  <w:vAlign w:val="center"/>
                </w:tcPr>
                <w:p w14:paraId="2C3F1A3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3A2A51A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vAlign w:val="center"/>
                </w:tcPr>
                <w:p w14:paraId="5A2DF02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786" w:type="pct"/>
                  <w:tcBorders>
                    <w:tl2br w:val="nil"/>
                    <w:tr2bl w:val="nil"/>
                  </w:tcBorders>
                  <w:vAlign w:val="center"/>
                </w:tcPr>
                <w:p w14:paraId="41154C1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&lt;1.2×10</w:t>
                  </w:r>
                  <w:r>
                    <w:rPr>
                      <w:rFonts w:hint="default" w:ascii="Times New Roman" w:hAnsi="Times New Roman" w:eastAsia="宋体" w:cs="Times New Roman"/>
                      <w:color w:val="auto"/>
                      <w:sz w:val="21"/>
                      <w:szCs w:val="21"/>
                      <w:highlight w:val="none"/>
                      <w:vertAlign w:val="superscript"/>
                      <w:lang w:bidi="ar"/>
                    </w:rPr>
                    <w:t>-3</w:t>
                  </w:r>
                </w:p>
              </w:tc>
              <w:tc>
                <w:tcPr>
                  <w:tcW w:w="614" w:type="pct"/>
                  <w:tcBorders>
                    <w:tl2br w:val="nil"/>
                    <w:tr2bl w:val="nil"/>
                  </w:tcBorders>
                  <w:vAlign w:val="center"/>
                </w:tcPr>
                <w:p w14:paraId="02C082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640</w:t>
                  </w:r>
                </w:p>
              </w:tc>
              <w:tc>
                <w:tcPr>
                  <w:tcW w:w="386" w:type="pct"/>
                  <w:tcBorders>
                    <w:tl2br w:val="nil"/>
                    <w:tr2bl w:val="nil"/>
                  </w:tcBorders>
                  <w:vAlign w:val="center"/>
                </w:tcPr>
                <w:p w14:paraId="64774027">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C16C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09DA55B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硝基苯</w:t>
                  </w:r>
                </w:p>
              </w:tc>
              <w:tc>
                <w:tcPr>
                  <w:tcW w:w="752" w:type="pct"/>
                  <w:tcBorders>
                    <w:tl2br w:val="nil"/>
                    <w:tr2bl w:val="nil"/>
                  </w:tcBorders>
                  <w:vAlign w:val="center"/>
                </w:tcPr>
                <w:p w14:paraId="4DA0B3D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065F335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&lt;0.09</w:t>
                  </w:r>
                </w:p>
              </w:tc>
              <w:tc>
                <w:tcPr>
                  <w:tcW w:w="786" w:type="pct"/>
                  <w:tcBorders>
                    <w:tl2br w:val="nil"/>
                    <w:tr2bl w:val="nil"/>
                  </w:tcBorders>
                  <w:vAlign w:val="center"/>
                </w:tcPr>
                <w:p w14:paraId="67835AF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&lt;0.09</w:t>
                  </w:r>
                </w:p>
              </w:tc>
              <w:tc>
                <w:tcPr>
                  <w:tcW w:w="786" w:type="pct"/>
                  <w:tcBorders>
                    <w:tl2br w:val="nil"/>
                    <w:tr2bl w:val="nil"/>
                  </w:tcBorders>
                  <w:vAlign w:val="center"/>
                </w:tcPr>
                <w:p w14:paraId="35054FE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&lt;0.09</w:t>
                  </w:r>
                </w:p>
              </w:tc>
              <w:tc>
                <w:tcPr>
                  <w:tcW w:w="614" w:type="pct"/>
                  <w:tcBorders>
                    <w:tl2br w:val="nil"/>
                    <w:tr2bl w:val="nil"/>
                  </w:tcBorders>
                  <w:vAlign w:val="center"/>
                </w:tcPr>
                <w:p w14:paraId="71483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76</w:t>
                  </w:r>
                </w:p>
              </w:tc>
              <w:tc>
                <w:tcPr>
                  <w:tcW w:w="386" w:type="pct"/>
                  <w:tcBorders>
                    <w:tl2br w:val="nil"/>
                    <w:tr2bl w:val="nil"/>
                  </w:tcBorders>
                  <w:vAlign w:val="center"/>
                </w:tcPr>
                <w:p w14:paraId="1C06390A">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39F8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643A255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苯胺</w:t>
                  </w:r>
                </w:p>
              </w:tc>
              <w:tc>
                <w:tcPr>
                  <w:tcW w:w="752" w:type="pct"/>
                  <w:tcBorders>
                    <w:tl2br w:val="nil"/>
                    <w:tr2bl w:val="nil"/>
                  </w:tcBorders>
                  <w:vAlign w:val="center"/>
                </w:tcPr>
                <w:p w14:paraId="6DD3C6E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40B4FC8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&lt;0.08</w:t>
                  </w:r>
                </w:p>
              </w:tc>
              <w:tc>
                <w:tcPr>
                  <w:tcW w:w="786" w:type="pct"/>
                  <w:tcBorders>
                    <w:tl2br w:val="nil"/>
                    <w:tr2bl w:val="nil"/>
                  </w:tcBorders>
                  <w:vAlign w:val="center"/>
                </w:tcPr>
                <w:p w14:paraId="4C241FF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&lt;0.08</w:t>
                  </w:r>
                </w:p>
              </w:tc>
              <w:tc>
                <w:tcPr>
                  <w:tcW w:w="786" w:type="pct"/>
                  <w:tcBorders>
                    <w:tl2br w:val="nil"/>
                    <w:tr2bl w:val="nil"/>
                  </w:tcBorders>
                  <w:vAlign w:val="center"/>
                </w:tcPr>
                <w:p w14:paraId="5035E8C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&lt;0.08</w:t>
                  </w:r>
                </w:p>
              </w:tc>
              <w:tc>
                <w:tcPr>
                  <w:tcW w:w="614" w:type="pct"/>
                  <w:tcBorders>
                    <w:tl2br w:val="nil"/>
                    <w:tr2bl w:val="nil"/>
                  </w:tcBorders>
                  <w:vAlign w:val="center"/>
                </w:tcPr>
                <w:p w14:paraId="572E8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260</w:t>
                  </w:r>
                </w:p>
              </w:tc>
              <w:tc>
                <w:tcPr>
                  <w:tcW w:w="386" w:type="pct"/>
                  <w:tcBorders>
                    <w:tl2br w:val="nil"/>
                    <w:tr2bl w:val="nil"/>
                  </w:tcBorders>
                  <w:vAlign w:val="center"/>
                </w:tcPr>
                <w:p w14:paraId="6543CBF6">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C1EC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0FA3736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2-氯酚</w:t>
                  </w:r>
                </w:p>
              </w:tc>
              <w:tc>
                <w:tcPr>
                  <w:tcW w:w="752" w:type="pct"/>
                  <w:tcBorders>
                    <w:tl2br w:val="nil"/>
                    <w:tr2bl w:val="nil"/>
                  </w:tcBorders>
                  <w:vAlign w:val="center"/>
                </w:tcPr>
                <w:p w14:paraId="49E1D7F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16CC83A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&lt;0.06</w:t>
                  </w:r>
                </w:p>
              </w:tc>
              <w:tc>
                <w:tcPr>
                  <w:tcW w:w="786" w:type="pct"/>
                  <w:tcBorders>
                    <w:tl2br w:val="nil"/>
                    <w:tr2bl w:val="nil"/>
                  </w:tcBorders>
                  <w:vAlign w:val="center"/>
                </w:tcPr>
                <w:p w14:paraId="07394C6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&lt;0.06</w:t>
                  </w:r>
                </w:p>
              </w:tc>
              <w:tc>
                <w:tcPr>
                  <w:tcW w:w="786" w:type="pct"/>
                  <w:tcBorders>
                    <w:tl2br w:val="nil"/>
                    <w:tr2bl w:val="nil"/>
                  </w:tcBorders>
                  <w:vAlign w:val="center"/>
                </w:tcPr>
                <w:p w14:paraId="5F6B910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&lt;0.06</w:t>
                  </w:r>
                </w:p>
              </w:tc>
              <w:tc>
                <w:tcPr>
                  <w:tcW w:w="614" w:type="pct"/>
                  <w:tcBorders>
                    <w:tl2br w:val="nil"/>
                    <w:tr2bl w:val="nil"/>
                  </w:tcBorders>
                  <w:vAlign w:val="center"/>
                </w:tcPr>
                <w:p w14:paraId="26FBB7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2256</w:t>
                  </w:r>
                </w:p>
              </w:tc>
              <w:tc>
                <w:tcPr>
                  <w:tcW w:w="386" w:type="pct"/>
                  <w:tcBorders>
                    <w:tl2br w:val="nil"/>
                    <w:tr2bl w:val="nil"/>
                  </w:tcBorders>
                  <w:vAlign w:val="center"/>
                </w:tcPr>
                <w:p w14:paraId="6D6D14F8">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3A602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60E1118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苯并[a]蒽</w:t>
                  </w:r>
                </w:p>
              </w:tc>
              <w:tc>
                <w:tcPr>
                  <w:tcW w:w="752" w:type="pct"/>
                  <w:tcBorders>
                    <w:tl2br w:val="nil"/>
                    <w:tr2bl w:val="nil"/>
                  </w:tcBorders>
                  <w:vAlign w:val="center"/>
                </w:tcPr>
                <w:p w14:paraId="12F07E4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54DCDB8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48B080A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564FF77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614" w:type="pct"/>
                  <w:tcBorders>
                    <w:tl2br w:val="nil"/>
                    <w:tr2bl w:val="nil"/>
                  </w:tcBorders>
                  <w:vAlign w:val="center"/>
                </w:tcPr>
                <w:p w14:paraId="21433B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15</w:t>
                  </w:r>
                </w:p>
              </w:tc>
              <w:tc>
                <w:tcPr>
                  <w:tcW w:w="386" w:type="pct"/>
                  <w:tcBorders>
                    <w:tl2br w:val="nil"/>
                    <w:tr2bl w:val="nil"/>
                  </w:tcBorders>
                  <w:vAlign w:val="center"/>
                </w:tcPr>
                <w:p w14:paraId="11D120CC">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31CD9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2CFC017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苯并[a]芘</w:t>
                  </w:r>
                </w:p>
              </w:tc>
              <w:tc>
                <w:tcPr>
                  <w:tcW w:w="752" w:type="pct"/>
                  <w:tcBorders>
                    <w:tl2br w:val="nil"/>
                    <w:tr2bl w:val="nil"/>
                  </w:tcBorders>
                  <w:vAlign w:val="center"/>
                </w:tcPr>
                <w:p w14:paraId="3A15483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643E881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0B88DFE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37F8C51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614" w:type="pct"/>
                  <w:tcBorders>
                    <w:tl2br w:val="nil"/>
                    <w:tr2bl w:val="nil"/>
                  </w:tcBorders>
                  <w:vAlign w:val="center"/>
                </w:tcPr>
                <w:p w14:paraId="71BB2C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1.5</w:t>
                  </w:r>
                </w:p>
              </w:tc>
              <w:tc>
                <w:tcPr>
                  <w:tcW w:w="386" w:type="pct"/>
                  <w:tcBorders>
                    <w:tl2br w:val="nil"/>
                    <w:tr2bl w:val="nil"/>
                  </w:tcBorders>
                  <w:vAlign w:val="center"/>
                </w:tcPr>
                <w:p w14:paraId="642A3E96">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D7F5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6524151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苯并[b]荧蒽</w:t>
                  </w:r>
                </w:p>
              </w:tc>
              <w:tc>
                <w:tcPr>
                  <w:tcW w:w="752" w:type="pct"/>
                  <w:tcBorders>
                    <w:tl2br w:val="nil"/>
                    <w:tr2bl w:val="nil"/>
                  </w:tcBorders>
                  <w:vAlign w:val="center"/>
                </w:tcPr>
                <w:p w14:paraId="2804C02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708EBA4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&lt;0.2</w:t>
                  </w:r>
                </w:p>
              </w:tc>
              <w:tc>
                <w:tcPr>
                  <w:tcW w:w="786" w:type="pct"/>
                  <w:tcBorders>
                    <w:tl2br w:val="nil"/>
                    <w:tr2bl w:val="nil"/>
                  </w:tcBorders>
                  <w:vAlign w:val="center"/>
                </w:tcPr>
                <w:p w14:paraId="09CA071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&lt;0.2</w:t>
                  </w:r>
                </w:p>
              </w:tc>
              <w:tc>
                <w:tcPr>
                  <w:tcW w:w="786" w:type="pct"/>
                  <w:tcBorders>
                    <w:tl2br w:val="nil"/>
                    <w:tr2bl w:val="nil"/>
                  </w:tcBorders>
                  <w:vAlign w:val="center"/>
                </w:tcPr>
                <w:p w14:paraId="754E0AD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&lt;0.2</w:t>
                  </w:r>
                </w:p>
              </w:tc>
              <w:tc>
                <w:tcPr>
                  <w:tcW w:w="614" w:type="pct"/>
                  <w:tcBorders>
                    <w:tl2br w:val="nil"/>
                    <w:tr2bl w:val="nil"/>
                  </w:tcBorders>
                  <w:vAlign w:val="center"/>
                </w:tcPr>
                <w:p w14:paraId="44F678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15</w:t>
                  </w:r>
                </w:p>
              </w:tc>
              <w:tc>
                <w:tcPr>
                  <w:tcW w:w="386" w:type="pct"/>
                  <w:tcBorders>
                    <w:tl2br w:val="nil"/>
                    <w:tr2bl w:val="nil"/>
                  </w:tcBorders>
                  <w:vAlign w:val="center"/>
                </w:tcPr>
                <w:p w14:paraId="291A52C8">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10F4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42C4D9E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苯并[k]荧蒽</w:t>
                  </w:r>
                </w:p>
              </w:tc>
              <w:tc>
                <w:tcPr>
                  <w:tcW w:w="752" w:type="pct"/>
                  <w:tcBorders>
                    <w:tl2br w:val="nil"/>
                    <w:tr2bl w:val="nil"/>
                  </w:tcBorders>
                  <w:vAlign w:val="center"/>
                </w:tcPr>
                <w:p w14:paraId="08E9C7C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101133A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336B73C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1D11C19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614" w:type="pct"/>
                  <w:tcBorders>
                    <w:tl2br w:val="nil"/>
                    <w:tr2bl w:val="nil"/>
                  </w:tcBorders>
                  <w:vAlign w:val="center"/>
                </w:tcPr>
                <w:p w14:paraId="691667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151</w:t>
                  </w:r>
                </w:p>
              </w:tc>
              <w:tc>
                <w:tcPr>
                  <w:tcW w:w="386" w:type="pct"/>
                  <w:tcBorders>
                    <w:tl2br w:val="nil"/>
                    <w:tr2bl w:val="nil"/>
                  </w:tcBorders>
                  <w:vAlign w:val="center"/>
                </w:tcPr>
                <w:p w14:paraId="35EE41E1">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5A99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0B77B36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䓛</w:t>
                  </w:r>
                </w:p>
              </w:tc>
              <w:tc>
                <w:tcPr>
                  <w:tcW w:w="752" w:type="pct"/>
                  <w:tcBorders>
                    <w:tl2br w:val="nil"/>
                    <w:tr2bl w:val="nil"/>
                  </w:tcBorders>
                  <w:vAlign w:val="center"/>
                </w:tcPr>
                <w:p w14:paraId="28021B6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1FF2F03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421080B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05FE94C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614" w:type="pct"/>
                  <w:tcBorders>
                    <w:tl2br w:val="nil"/>
                    <w:tr2bl w:val="nil"/>
                  </w:tcBorders>
                  <w:vAlign w:val="center"/>
                </w:tcPr>
                <w:p w14:paraId="121D62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1293</w:t>
                  </w:r>
                </w:p>
              </w:tc>
              <w:tc>
                <w:tcPr>
                  <w:tcW w:w="386" w:type="pct"/>
                  <w:tcBorders>
                    <w:tl2br w:val="nil"/>
                    <w:tr2bl w:val="nil"/>
                  </w:tcBorders>
                  <w:vAlign w:val="center"/>
                </w:tcPr>
                <w:p w14:paraId="5C0C4B0F">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B206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01D599F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二苯并[a</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h]蒽</w:t>
                  </w:r>
                </w:p>
              </w:tc>
              <w:tc>
                <w:tcPr>
                  <w:tcW w:w="752" w:type="pct"/>
                  <w:tcBorders>
                    <w:tl2br w:val="nil"/>
                    <w:tr2bl w:val="nil"/>
                  </w:tcBorders>
                  <w:vAlign w:val="center"/>
                </w:tcPr>
                <w:p w14:paraId="276D48A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0CD996C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0266649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5E165C9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614" w:type="pct"/>
                  <w:tcBorders>
                    <w:tl2br w:val="nil"/>
                    <w:tr2bl w:val="nil"/>
                  </w:tcBorders>
                  <w:vAlign w:val="center"/>
                </w:tcPr>
                <w:p w14:paraId="142B22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1.5</w:t>
                  </w:r>
                </w:p>
              </w:tc>
              <w:tc>
                <w:tcPr>
                  <w:tcW w:w="386" w:type="pct"/>
                  <w:tcBorders>
                    <w:tl2br w:val="nil"/>
                    <w:tr2bl w:val="nil"/>
                  </w:tcBorders>
                  <w:vAlign w:val="center"/>
                </w:tcPr>
                <w:p w14:paraId="06983BF6">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1FEE8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045966F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茚并[1</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3-cd]芘</w:t>
                  </w:r>
                </w:p>
              </w:tc>
              <w:tc>
                <w:tcPr>
                  <w:tcW w:w="752" w:type="pct"/>
                  <w:tcBorders>
                    <w:tl2br w:val="nil"/>
                    <w:tr2bl w:val="nil"/>
                  </w:tcBorders>
                  <w:vAlign w:val="center"/>
                </w:tcPr>
                <w:p w14:paraId="2F92D42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459DFBF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5BFA9FE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786" w:type="pct"/>
                  <w:tcBorders>
                    <w:tl2br w:val="nil"/>
                    <w:tr2bl w:val="nil"/>
                  </w:tcBorders>
                  <w:vAlign w:val="center"/>
                </w:tcPr>
                <w:p w14:paraId="61492BB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&lt;0.1</w:t>
                  </w:r>
                </w:p>
              </w:tc>
              <w:tc>
                <w:tcPr>
                  <w:tcW w:w="614" w:type="pct"/>
                  <w:tcBorders>
                    <w:tl2br w:val="nil"/>
                    <w:tr2bl w:val="nil"/>
                  </w:tcBorders>
                  <w:vAlign w:val="center"/>
                </w:tcPr>
                <w:p w14:paraId="6B7E88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15</w:t>
                  </w:r>
                </w:p>
              </w:tc>
              <w:tc>
                <w:tcPr>
                  <w:tcW w:w="386" w:type="pct"/>
                  <w:tcBorders>
                    <w:tl2br w:val="nil"/>
                    <w:tr2bl w:val="nil"/>
                  </w:tcBorders>
                  <w:vAlign w:val="center"/>
                </w:tcPr>
                <w:p w14:paraId="4E46F81E">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2F65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333D4F8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萘</w:t>
                  </w:r>
                </w:p>
              </w:tc>
              <w:tc>
                <w:tcPr>
                  <w:tcW w:w="752" w:type="pct"/>
                  <w:tcBorders>
                    <w:tl2br w:val="nil"/>
                    <w:tr2bl w:val="nil"/>
                  </w:tcBorders>
                  <w:vAlign w:val="center"/>
                </w:tcPr>
                <w:p w14:paraId="6EAD7D4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vAlign w:val="center"/>
                </w:tcPr>
                <w:p w14:paraId="27584BD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&lt;0.09</w:t>
                  </w:r>
                </w:p>
              </w:tc>
              <w:tc>
                <w:tcPr>
                  <w:tcW w:w="786" w:type="pct"/>
                  <w:tcBorders>
                    <w:tl2br w:val="nil"/>
                    <w:tr2bl w:val="nil"/>
                  </w:tcBorders>
                  <w:vAlign w:val="center"/>
                </w:tcPr>
                <w:p w14:paraId="60F2DC1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&lt;0.09</w:t>
                  </w:r>
                </w:p>
              </w:tc>
              <w:tc>
                <w:tcPr>
                  <w:tcW w:w="786" w:type="pct"/>
                  <w:tcBorders>
                    <w:tl2br w:val="nil"/>
                    <w:tr2bl w:val="nil"/>
                  </w:tcBorders>
                  <w:vAlign w:val="center"/>
                </w:tcPr>
                <w:p w14:paraId="6CB7DDA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&lt;0.09</w:t>
                  </w:r>
                </w:p>
              </w:tc>
              <w:tc>
                <w:tcPr>
                  <w:tcW w:w="614" w:type="pct"/>
                  <w:tcBorders>
                    <w:tl2br w:val="nil"/>
                    <w:tr2bl w:val="nil"/>
                  </w:tcBorders>
                  <w:vAlign w:val="center"/>
                </w:tcPr>
                <w:p w14:paraId="1247C4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70</w:t>
                  </w:r>
                </w:p>
              </w:tc>
              <w:tc>
                <w:tcPr>
                  <w:tcW w:w="386" w:type="pct"/>
                  <w:tcBorders>
                    <w:tl2br w:val="nil"/>
                    <w:tr2bl w:val="nil"/>
                  </w:tcBorders>
                  <w:vAlign w:val="center"/>
                </w:tcPr>
                <w:p w14:paraId="1792322D">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2BA2B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vAlign w:val="center"/>
                </w:tcPr>
                <w:p w14:paraId="76C693B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pH</w:t>
                  </w:r>
                </w:p>
              </w:tc>
              <w:tc>
                <w:tcPr>
                  <w:tcW w:w="752" w:type="pct"/>
                  <w:tcBorders>
                    <w:tl2br w:val="nil"/>
                    <w:tr2bl w:val="nil"/>
                  </w:tcBorders>
                  <w:vAlign w:val="center"/>
                </w:tcPr>
                <w:p w14:paraId="6C8E84E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无量纲</w:t>
                  </w:r>
                </w:p>
              </w:tc>
              <w:tc>
                <w:tcPr>
                  <w:tcW w:w="696" w:type="pct"/>
                  <w:tcBorders>
                    <w:tl2br w:val="nil"/>
                    <w:tr2bl w:val="nil"/>
                  </w:tcBorders>
                  <w:vAlign w:val="center"/>
                </w:tcPr>
                <w:p w14:paraId="7878714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8.41</w:t>
                  </w:r>
                </w:p>
              </w:tc>
              <w:tc>
                <w:tcPr>
                  <w:tcW w:w="786" w:type="pct"/>
                  <w:tcBorders>
                    <w:tl2br w:val="nil"/>
                    <w:tr2bl w:val="nil"/>
                  </w:tcBorders>
                  <w:vAlign w:val="center"/>
                </w:tcPr>
                <w:p w14:paraId="09004D3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8.36</w:t>
                  </w:r>
                </w:p>
              </w:tc>
              <w:tc>
                <w:tcPr>
                  <w:tcW w:w="786" w:type="pct"/>
                  <w:tcBorders>
                    <w:tl2br w:val="nil"/>
                    <w:tr2bl w:val="nil"/>
                  </w:tcBorders>
                  <w:vAlign w:val="center"/>
                </w:tcPr>
                <w:p w14:paraId="06C10D3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8.41</w:t>
                  </w:r>
                </w:p>
              </w:tc>
              <w:tc>
                <w:tcPr>
                  <w:tcW w:w="614" w:type="pct"/>
                  <w:tcBorders>
                    <w:tl2br w:val="nil"/>
                    <w:tr2bl w:val="nil"/>
                  </w:tcBorders>
                  <w:vAlign w:val="center"/>
                </w:tcPr>
                <w:p w14:paraId="197819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386" w:type="pct"/>
                  <w:tcBorders>
                    <w:tl2br w:val="nil"/>
                    <w:tr2bl w:val="nil"/>
                  </w:tcBorders>
                  <w:vAlign w:val="center"/>
                </w:tcPr>
                <w:p w14:paraId="7F053376">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r>
            <w:tr w14:paraId="16867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shd w:val="clear" w:color="auto" w:fill="auto"/>
                  <w:vAlign w:val="center"/>
                </w:tcPr>
                <w:p w14:paraId="6D46B9E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石油烃</w:t>
                  </w:r>
                  <w:r>
                    <w:rPr>
                      <w:rFonts w:hint="default" w:ascii="Times New Roman" w:hAnsi="Times New Roman" w:eastAsia="宋体" w:cs="Times New Roman"/>
                      <w:color w:val="auto"/>
                      <w:kern w:val="2"/>
                      <w:sz w:val="21"/>
                      <w:szCs w:val="21"/>
                      <w:highlight w:val="none"/>
                    </w:rPr>
                    <w:t>（C</w:t>
                  </w:r>
                  <w:r>
                    <w:rPr>
                      <w:rFonts w:hint="default" w:ascii="Times New Roman" w:hAnsi="Times New Roman" w:eastAsia="宋体" w:cs="Times New Roman"/>
                      <w:color w:val="auto"/>
                      <w:kern w:val="2"/>
                      <w:sz w:val="21"/>
                      <w:szCs w:val="21"/>
                      <w:highlight w:val="none"/>
                      <w:vertAlign w:val="subscript"/>
                    </w:rPr>
                    <w:t>10</w:t>
                  </w:r>
                  <w:r>
                    <w:rPr>
                      <w:rFonts w:hint="default" w:ascii="Times New Roman" w:hAnsi="Times New Roman" w:eastAsia="宋体" w:cs="Times New Roman"/>
                      <w:color w:val="auto"/>
                      <w:kern w:val="2"/>
                      <w:sz w:val="21"/>
                      <w:szCs w:val="21"/>
                      <w:highlight w:val="none"/>
                    </w:rPr>
                    <w:t>-C</w:t>
                  </w:r>
                  <w:r>
                    <w:rPr>
                      <w:rFonts w:hint="default" w:ascii="Times New Roman" w:hAnsi="Times New Roman" w:eastAsia="宋体" w:cs="Times New Roman"/>
                      <w:color w:val="auto"/>
                      <w:kern w:val="2"/>
                      <w:sz w:val="21"/>
                      <w:szCs w:val="21"/>
                      <w:highlight w:val="none"/>
                      <w:vertAlign w:val="subscript"/>
                    </w:rPr>
                    <w:t>40</w:t>
                  </w:r>
                  <w:r>
                    <w:rPr>
                      <w:rFonts w:hint="default" w:ascii="Times New Roman" w:hAnsi="Times New Roman" w:eastAsia="宋体" w:cs="Times New Roman"/>
                      <w:color w:val="auto"/>
                      <w:kern w:val="2"/>
                      <w:sz w:val="21"/>
                      <w:szCs w:val="21"/>
                      <w:highlight w:val="none"/>
                    </w:rPr>
                    <w:t>）</w:t>
                  </w:r>
                </w:p>
              </w:tc>
              <w:tc>
                <w:tcPr>
                  <w:tcW w:w="752" w:type="pct"/>
                  <w:tcBorders>
                    <w:tl2br w:val="nil"/>
                    <w:tr2bl w:val="nil"/>
                  </w:tcBorders>
                  <w:shd w:val="clear" w:color="auto" w:fill="auto"/>
                  <w:vAlign w:val="center"/>
                </w:tcPr>
                <w:p w14:paraId="2965356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582319B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786" w:type="pct"/>
                  <w:tcBorders>
                    <w:tl2br w:val="nil"/>
                    <w:tr2bl w:val="nil"/>
                  </w:tcBorders>
                  <w:shd w:val="clear" w:color="auto" w:fill="auto"/>
                  <w:vAlign w:val="center"/>
                </w:tcPr>
                <w:p w14:paraId="181DD20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786" w:type="pct"/>
                  <w:tcBorders>
                    <w:tl2br w:val="nil"/>
                    <w:tr2bl w:val="nil"/>
                  </w:tcBorders>
                  <w:shd w:val="clear" w:color="auto" w:fill="auto"/>
                  <w:vAlign w:val="center"/>
                </w:tcPr>
                <w:p w14:paraId="2184D1C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26</w:t>
                  </w:r>
                </w:p>
              </w:tc>
              <w:tc>
                <w:tcPr>
                  <w:tcW w:w="614" w:type="pct"/>
                  <w:tcBorders>
                    <w:tl2br w:val="nil"/>
                    <w:tr2bl w:val="nil"/>
                  </w:tcBorders>
                  <w:shd w:val="clear" w:color="auto" w:fill="auto"/>
                  <w:vAlign w:val="center"/>
                </w:tcPr>
                <w:p w14:paraId="3E8B11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4500</w:t>
                  </w:r>
                </w:p>
              </w:tc>
              <w:tc>
                <w:tcPr>
                  <w:tcW w:w="386" w:type="pct"/>
                  <w:tcBorders>
                    <w:tl2br w:val="nil"/>
                    <w:tr2bl w:val="nil"/>
                  </w:tcBorders>
                  <w:shd w:val="clear" w:color="auto" w:fill="auto"/>
                  <w:vAlign w:val="center"/>
                </w:tcPr>
                <w:p w14:paraId="6E1F3AF5">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5D58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shd w:val="clear" w:color="auto" w:fill="auto"/>
                  <w:vAlign w:val="center"/>
                </w:tcPr>
                <w:p w14:paraId="777F5F5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铍</w:t>
                  </w:r>
                </w:p>
              </w:tc>
              <w:tc>
                <w:tcPr>
                  <w:tcW w:w="752" w:type="pct"/>
                  <w:tcBorders>
                    <w:tl2br w:val="nil"/>
                    <w:tr2bl w:val="nil"/>
                  </w:tcBorders>
                  <w:shd w:val="clear" w:color="auto" w:fill="auto"/>
                  <w:vAlign w:val="center"/>
                </w:tcPr>
                <w:p w14:paraId="298F396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02356EE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0.66</w:t>
                  </w:r>
                </w:p>
              </w:tc>
              <w:tc>
                <w:tcPr>
                  <w:tcW w:w="786" w:type="pct"/>
                  <w:tcBorders>
                    <w:tl2br w:val="nil"/>
                    <w:tr2bl w:val="nil"/>
                  </w:tcBorders>
                  <w:shd w:val="clear" w:color="auto" w:fill="auto"/>
                  <w:vAlign w:val="center"/>
                </w:tcPr>
                <w:p w14:paraId="1F478DC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0.59</w:t>
                  </w:r>
                </w:p>
              </w:tc>
              <w:tc>
                <w:tcPr>
                  <w:tcW w:w="786" w:type="pct"/>
                  <w:tcBorders>
                    <w:tl2br w:val="nil"/>
                    <w:tr2bl w:val="nil"/>
                  </w:tcBorders>
                  <w:shd w:val="clear" w:color="auto" w:fill="auto"/>
                  <w:vAlign w:val="center"/>
                </w:tcPr>
                <w:p w14:paraId="571C68F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0.54</w:t>
                  </w:r>
                </w:p>
              </w:tc>
              <w:tc>
                <w:tcPr>
                  <w:tcW w:w="614" w:type="pct"/>
                  <w:tcBorders>
                    <w:tl2br w:val="nil"/>
                    <w:tr2bl w:val="nil"/>
                  </w:tcBorders>
                  <w:shd w:val="clear" w:color="auto" w:fill="auto"/>
                  <w:vAlign w:val="center"/>
                </w:tcPr>
                <w:p w14:paraId="3D7D122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29</w:t>
                  </w:r>
                </w:p>
              </w:tc>
              <w:tc>
                <w:tcPr>
                  <w:tcW w:w="386" w:type="pct"/>
                  <w:tcBorders>
                    <w:tl2br w:val="nil"/>
                    <w:tr2bl w:val="nil"/>
                  </w:tcBorders>
                  <w:shd w:val="clear" w:color="auto" w:fill="auto"/>
                  <w:vAlign w:val="center"/>
                </w:tcPr>
                <w:p w14:paraId="0B2C986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38BD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shd w:val="clear" w:color="auto" w:fill="auto"/>
                  <w:vAlign w:val="center"/>
                </w:tcPr>
                <w:p w14:paraId="54AE1D4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锑</w:t>
                  </w:r>
                </w:p>
              </w:tc>
              <w:tc>
                <w:tcPr>
                  <w:tcW w:w="752" w:type="pct"/>
                  <w:tcBorders>
                    <w:tl2br w:val="nil"/>
                    <w:tr2bl w:val="nil"/>
                  </w:tcBorders>
                  <w:shd w:val="clear" w:color="auto" w:fill="auto"/>
                  <w:vAlign w:val="center"/>
                </w:tcPr>
                <w:p w14:paraId="1E69FA0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7E560ED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7.37</w:t>
                  </w:r>
                </w:p>
              </w:tc>
              <w:tc>
                <w:tcPr>
                  <w:tcW w:w="786" w:type="pct"/>
                  <w:tcBorders>
                    <w:tl2br w:val="nil"/>
                    <w:tr2bl w:val="nil"/>
                  </w:tcBorders>
                  <w:shd w:val="clear" w:color="auto" w:fill="auto"/>
                  <w:vAlign w:val="center"/>
                </w:tcPr>
                <w:p w14:paraId="2331DDC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5.56</w:t>
                  </w:r>
                </w:p>
              </w:tc>
              <w:tc>
                <w:tcPr>
                  <w:tcW w:w="786" w:type="pct"/>
                  <w:tcBorders>
                    <w:tl2br w:val="nil"/>
                    <w:tr2bl w:val="nil"/>
                  </w:tcBorders>
                  <w:shd w:val="clear" w:color="auto" w:fill="auto"/>
                  <w:vAlign w:val="center"/>
                </w:tcPr>
                <w:p w14:paraId="3C3DB96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8.01</w:t>
                  </w:r>
                </w:p>
              </w:tc>
              <w:tc>
                <w:tcPr>
                  <w:tcW w:w="614" w:type="pct"/>
                  <w:tcBorders>
                    <w:tl2br w:val="nil"/>
                    <w:tr2bl w:val="nil"/>
                  </w:tcBorders>
                  <w:shd w:val="clear" w:color="auto" w:fill="auto"/>
                  <w:vAlign w:val="center"/>
                </w:tcPr>
                <w:p w14:paraId="409AAC6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180</w:t>
                  </w:r>
                </w:p>
              </w:tc>
              <w:tc>
                <w:tcPr>
                  <w:tcW w:w="386" w:type="pct"/>
                  <w:tcBorders>
                    <w:tl2br w:val="nil"/>
                    <w:tr2bl w:val="nil"/>
                  </w:tcBorders>
                  <w:shd w:val="clear" w:color="auto" w:fill="auto"/>
                  <w:vAlign w:val="center"/>
                </w:tcPr>
                <w:p w14:paraId="0AEC94A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6B250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shd w:val="clear" w:color="auto" w:fill="auto"/>
                  <w:vAlign w:val="center"/>
                </w:tcPr>
                <w:p w14:paraId="47A4F8D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钴</w:t>
                  </w:r>
                </w:p>
              </w:tc>
              <w:tc>
                <w:tcPr>
                  <w:tcW w:w="752" w:type="pct"/>
                  <w:tcBorders>
                    <w:tl2br w:val="nil"/>
                    <w:tr2bl w:val="nil"/>
                  </w:tcBorders>
                  <w:shd w:val="clear" w:color="auto" w:fill="auto"/>
                  <w:vAlign w:val="center"/>
                </w:tcPr>
                <w:p w14:paraId="51B48E2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572A41A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786" w:type="pct"/>
                  <w:tcBorders>
                    <w:tl2br w:val="nil"/>
                    <w:tr2bl w:val="nil"/>
                  </w:tcBorders>
                  <w:shd w:val="clear" w:color="auto" w:fill="auto"/>
                  <w:vAlign w:val="center"/>
                </w:tcPr>
                <w:p w14:paraId="63079DD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w:t>
                  </w:r>
                </w:p>
              </w:tc>
              <w:tc>
                <w:tcPr>
                  <w:tcW w:w="786" w:type="pct"/>
                  <w:tcBorders>
                    <w:tl2br w:val="nil"/>
                    <w:tr2bl w:val="nil"/>
                  </w:tcBorders>
                  <w:shd w:val="clear" w:color="auto" w:fill="auto"/>
                  <w:vAlign w:val="center"/>
                </w:tcPr>
                <w:p w14:paraId="4DCD709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614" w:type="pct"/>
                  <w:tcBorders>
                    <w:tl2br w:val="nil"/>
                    <w:tr2bl w:val="nil"/>
                  </w:tcBorders>
                  <w:shd w:val="clear" w:color="auto" w:fill="auto"/>
                  <w:vAlign w:val="center"/>
                </w:tcPr>
                <w:p w14:paraId="4BCD1C0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70</w:t>
                  </w:r>
                </w:p>
              </w:tc>
              <w:tc>
                <w:tcPr>
                  <w:tcW w:w="386" w:type="pct"/>
                  <w:tcBorders>
                    <w:tl2br w:val="nil"/>
                    <w:tr2bl w:val="nil"/>
                  </w:tcBorders>
                  <w:shd w:val="clear" w:color="auto" w:fill="auto"/>
                  <w:vAlign w:val="center"/>
                </w:tcPr>
                <w:p w14:paraId="57C8F6B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1043B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shd w:val="clear" w:color="auto" w:fill="auto"/>
                  <w:vAlign w:val="center"/>
                </w:tcPr>
                <w:p w14:paraId="33EDB01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氰化物</w:t>
                  </w:r>
                </w:p>
              </w:tc>
              <w:tc>
                <w:tcPr>
                  <w:tcW w:w="752" w:type="pct"/>
                  <w:tcBorders>
                    <w:tl2br w:val="nil"/>
                    <w:tr2bl w:val="nil"/>
                  </w:tcBorders>
                  <w:shd w:val="clear" w:color="auto" w:fill="auto"/>
                  <w:vAlign w:val="center"/>
                </w:tcPr>
                <w:p w14:paraId="7EB3B9A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6BB4F87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0.08</w:t>
                  </w:r>
                </w:p>
              </w:tc>
              <w:tc>
                <w:tcPr>
                  <w:tcW w:w="786" w:type="pct"/>
                  <w:tcBorders>
                    <w:tl2br w:val="nil"/>
                    <w:tr2bl w:val="nil"/>
                  </w:tcBorders>
                  <w:shd w:val="clear" w:color="auto" w:fill="auto"/>
                  <w:vAlign w:val="center"/>
                </w:tcPr>
                <w:p w14:paraId="6C51662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0.08</w:t>
                  </w:r>
                </w:p>
              </w:tc>
              <w:tc>
                <w:tcPr>
                  <w:tcW w:w="786" w:type="pct"/>
                  <w:tcBorders>
                    <w:tl2br w:val="nil"/>
                    <w:tr2bl w:val="nil"/>
                  </w:tcBorders>
                  <w:shd w:val="clear" w:color="auto" w:fill="auto"/>
                  <w:vAlign w:val="center"/>
                </w:tcPr>
                <w:p w14:paraId="373D1E3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0.08</w:t>
                  </w:r>
                </w:p>
              </w:tc>
              <w:tc>
                <w:tcPr>
                  <w:tcW w:w="614" w:type="pct"/>
                  <w:tcBorders>
                    <w:tl2br w:val="nil"/>
                    <w:tr2bl w:val="nil"/>
                  </w:tcBorders>
                  <w:shd w:val="clear" w:color="auto" w:fill="auto"/>
                  <w:vAlign w:val="center"/>
                </w:tcPr>
                <w:p w14:paraId="74DE057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135</w:t>
                  </w:r>
                </w:p>
              </w:tc>
              <w:tc>
                <w:tcPr>
                  <w:tcW w:w="386" w:type="pct"/>
                  <w:tcBorders>
                    <w:tl2br w:val="nil"/>
                    <w:tr2bl w:val="nil"/>
                  </w:tcBorders>
                  <w:shd w:val="clear" w:color="auto" w:fill="auto"/>
                  <w:vAlign w:val="center"/>
                </w:tcPr>
                <w:p w14:paraId="5B617A0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2261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shd w:val="clear" w:color="auto" w:fill="auto"/>
                  <w:vAlign w:val="center"/>
                </w:tcPr>
                <w:p w14:paraId="7D4BE29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二噁英类</w:t>
                  </w:r>
                </w:p>
              </w:tc>
              <w:tc>
                <w:tcPr>
                  <w:tcW w:w="752" w:type="pct"/>
                  <w:tcBorders>
                    <w:tl2br w:val="nil"/>
                    <w:tr2bl w:val="nil"/>
                  </w:tcBorders>
                  <w:shd w:val="clear" w:color="auto" w:fill="auto"/>
                  <w:vAlign w:val="center"/>
                </w:tcPr>
                <w:p w14:paraId="44D0168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ngTEQ/kg</w:t>
                  </w:r>
                </w:p>
              </w:tc>
              <w:tc>
                <w:tcPr>
                  <w:tcW w:w="696" w:type="pct"/>
                  <w:tcBorders>
                    <w:tl2br w:val="nil"/>
                    <w:tr2bl w:val="nil"/>
                  </w:tcBorders>
                  <w:shd w:val="clear" w:color="auto" w:fill="auto"/>
                  <w:vAlign w:val="center"/>
                </w:tcPr>
                <w:p w14:paraId="60F288A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0.035</w:t>
                  </w:r>
                </w:p>
              </w:tc>
              <w:tc>
                <w:tcPr>
                  <w:tcW w:w="786" w:type="pct"/>
                  <w:tcBorders>
                    <w:tl2br w:val="nil"/>
                    <w:tr2bl w:val="nil"/>
                  </w:tcBorders>
                  <w:shd w:val="clear" w:color="auto" w:fill="auto"/>
                  <w:vAlign w:val="center"/>
                </w:tcPr>
                <w:p w14:paraId="23E6421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0.023</w:t>
                  </w:r>
                </w:p>
              </w:tc>
              <w:tc>
                <w:tcPr>
                  <w:tcW w:w="786" w:type="pct"/>
                  <w:tcBorders>
                    <w:tl2br w:val="nil"/>
                    <w:tr2bl w:val="nil"/>
                  </w:tcBorders>
                  <w:shd w:val="clear" w:color="auto" w:fill="auto"/>
                  <w:vAlign w:val="center"/>
                </w:tcPr>
                <w:p w14:paraId="1715B59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0.091</w:t>
                  </w:r>
                </w:p>
              </w:tc>
              <w:tc>
                <w:tcPr>
                  <w:tcW w:w="614" w:type="pct"/>
                  <w:tcBorders>
                    <w:tl2br w:val="nil"/>
                    <w:tr2bl w:val="nil"/>
                  </w:tcBorders>
                  <w:shd w:val="clear" w:color="auto" w:fill="auto"/>
                  <w:vAlign w:val="center"/>
                </w:tcPr>
                <w:p w14:paraId="2921E2B0">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40</w:t>
                  </w:r>
                </w:p>
              </w:tc>
              <w:tc>
                <w:tcPr>
                  <w:tcW w:w="386" w:type="pct"/>
                  <w:tcBorders>
                    <w:tl2br w:val="nil"/>
                    <w:tr2bl w:val="nil"/>
                  </w:tcBorders>
                  <w:shd w:val="clear" w:color="auto" w:fill="auto"/>
                  <w:vAlign w:val="center"/>
                </w:tcPr>
                <w:p w14:paraId="68F1F07E">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C3BF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shd w:val="clear" w:color="auto" w:fill="auto"/>
                  <w:vAlign w:val="center"/>
                </w:tcPr>
                <w:p w14:paraId="6B2D5F7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锌</w:t>
                  </w:r>
                </w:p>
              </w:tc>
              <w:tc>
                <w:tcPr>
                  <w:tcW w:w="752" w:type="pct"/>
                  <w:tcBorders>
                    <w:tl2br w:val="nil"/>
                    <w:tr2bl w:val="nil"/>
                  </w:tcBorders>
                  <w:shd w:val="clear" w:color="auto" w:fill="auto"/>
                  <w:vAlign w:val="center"/>
                </w:tcPr>
                <w:p w14:paraId="0F35BDE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mg/kg</w:t>
                  </w:r>
                </w:p>
              </w:tc>
              <w:tc>
                <w:tcPr>
                  <w:tcW w:w="696" w:type="pct"/>
                  <w:tcBorders>
                    <w:tl2br w:val="nil"/>
                    <w:tr2bl w:val="nil"/>
                  </w:tcBorders>
                  <w:shd w:val="clear" w:color="auto" w:fill="auto"/>
                  <w:vAlign w:val="center"/>
                </w:tcPr>
                <w:p w14:paraId="24A3338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40</w:t>
                  </w:r>
                </w:p>
              </w:tc>
              <w:tc>
                <w:tcPr>
                  <w:tcW w:w="786" w:type="pct"/>
                  <w:tcBorders>
                    <w:tl2br w:val="nil"/>
                    <w:tr2bl w:val="nil"/>
                  </w:tcBorders>
                  <w:shd w:val="clear" w:color="auto" w:fill="auto"/>
                  <w:vAlign w:val="center"/>
                </w:tcPr>
                <w:p w14:paraId="573B7CC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43</w:t>
                  </w:r>
                </w:p>
              </w:tc>
              <w:tc>
                <w:tcPr>
                  <w:tcW w:w="786" w:type="pct"/>
                  <w:tcBorders>
                    <w:tl2br w:val="nil"/>
                    <w:tr2bl w:val="nil"/>
                  </w:tcBorders>
                  <w:shd w:val="clear" w:color="auto" w:fill="auto"/>
                  <w:vAlign w:val="center"/>
                </w:tcPr>
                <w:p w14:paraId="23D6FBB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38</w:t>
                  </w:r>
                </w:p>
              </w:tc>
              <w:tc>
                <w:tcPr>
                  <w:tcW w:w="614" w:type="pct"/>
                  <w:tcBorders>
                    <w:tl2br w:val="nil"/>
                    <w:tr2bl w:val="nil"/>
                  </w:tcBorders>
                  <w:shd w:val="clear" w:color="auto" w:fill="auto"/>
                  <w:vAlign w:val="center"/>
                </w:tcPr>
                <w:p w14:paraId="539828E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86" w:type="pct"/>
                  <w:tcBorders>
                    <w:tl2br w:val="nil"/>
                    <w:tr2bl w:val="nil"/>
                  </w:tcBorders>
                  <w:shd w:val="clear" w:color="auto" w:fill="auto"/>
                  <w:vAlign w:val="center"/>
                </w:tcPr>
                <w:p w14:paraId="31E43F9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5828B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78" w:type="pct"/>
                  <w:tcBorders>
                    <w:tl2br w:val="nil"/>
                    <w:tr2bl w:val="nil"/>
                  </w:tcBorders>
                  <w:shd w:val="clear" w:color="auto" w:fill="auto"/>
                  <w:vAlign w:val="center"/>
                </w:tcPr>
                <w:p w14:paraId="0B0D3B7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备注</w:t>
                  </w:r>
                </w:p>
              </w:tc>
              <w:tc>
                <w:tcPr>
                  <w:tcW w:w="4021" w:type="pct"/>
                  <w:gridSpan w:val="6"/>
                  <w:tcBorders>
                    <w:tl2br w:val="nil"/>
                    <w:tr2bl w:val="nil"/>
                  </w:tcBorders>
                  <w:shd w:val="clear" w:color="auto" w:fill="auto"/>
                  <w:vAlign w:val="center"/>
                </w:tcPr>
                <w:p w14:paraId="76662E5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“&lt;”表示低于方法检出限</w:t>
                  </w:r>
                  <w:r>
                    <w:rPr>
                      <w:rFonts w:hint="eastAsia" w:ascii="Times New Roman" w:hAnsi="Times New Roman" w:eastAsia="宋体" w:cs="Times New Roman"/>
                      <w:color w:val="auto"/>
                      <w:sz w:val="21"/>
                      <w:szCs w:val="21"/>
                      <w:highlight w:val="none"/>
                      <w:lang w:val="en-US" w:eastAsia="zh-CN"/>
                    </w:rPr>
                    <w:t>，“ND”表示未检出</w:t>
                  </w:r>
                  <w:r>
                    <w:rPr>
                      <w:rFonts w:hint="default" w:ascii="Times New Roman" w:hAnsi="Times New Roman" w:eastAsia="宋体" w:cs="Times New Roman"/>
                      <w:color w:val="auto"/>
                      <w:sz w:val="21"/>
                      <w:szCs w:val="21"/>
                      <w:highlight w:val="none"/>
                      <w:lang w:val="en-US" w:eastAsia="zh-CN"/>
                    </w:rPr>
                    <w:t>；</w:t>
                  </w:r>
                </w:p>
              </w:tc>
            </w:tr>
          </w:tbl>
          <w:p w14:paraId="753EF6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表3-7土壤检测结果表（2）</w:t>
            </w:r>
          </w:p>
          <w:tbl>
            <w:tblPr>
              <w:tblStyle w:val="25"/>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03"/>
              <w:gridCol w:w="1123"/>
              <w:gridCol w:w="1558"/>
              <w:gridCol w:w="1304"/>
              <w:gridCol w:w="1312"/>
              <w:gridCol w:w="1027"/>
              <w:gridCol w:w="665"/>
            </w:tblGrid>
            <w:tr w14:paraId="6179B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vMerge w:val="restart"/>
                  <w:tcBorders>
                    <w:tl2br w:val="nil"/>
                    <w:tr2bl w:val="nil"/>
                  </w:tcBorders>
                  <w:vAlign w:val="center"/>
                </w:tcPr>
                <w:p w14:paraId="099009E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检测项目</w:t>
                  </w:r>
                </w:p>
              </w:tc>
              <w:tc>
                <w:tcPr>
                  <w:tcW w:w="677" w:type="pct"/>
                  <w:vMerge w:val="restart"/>
                  <w:tcBorders>
                    <w:tl2br w:val="nil"/>
                    <w:tr2bl w:val="nil"/>
                  </w:tcBorders>
                  <w:vAlign w:val="center"/>
                </w:tcPr>
                <w:p w14:paraId="3F09185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单位</w:t>
                  </w:r>
                </w:p>
              </w:tc>
              <w:tc>
                <w:tcPr>
                  <w:tcW w:w="2516" w:type="pct"/>
                  <w:gridSpan w:val="3"/>
                  <w:tcBorders>
                    <w:tl2br w:val="nil"/>
                    <w:tr2bl w:val="nil"/>
                  </w:tcBorders>
                  <w:vAlign w:val="center"/>
                </w:tcPr>
                <w:p w14:paraId="0ACE8A4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分析结果</w:t>
                  </w:r>
                </w:p>
              </w:tc>
              <w:tc>
                <w:tcPr>
                  <w:tcW w:w="619" w:type="pct"/>
                  <w:vMerge w:val="restart"/>
                  <w:tcBorders>
                    <w:tl2br w:val="nil"/>
                    <w:tr2bl w:val="nil"/>
                  </w:tcBorders>
                  <w:vAlign w:val="center"/>
                </w:tcPr>
                <w:p w14:paraId="35947A39">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标准限值</w:t>
                  </w:r>
                </w:p>
              </w:tc>
              <w:tc>
                <w:tcPr>
                  <w:tcW w:w="401" w:type="pct"/>
                  <w:vMerge w:val="restart"/>
                  <w:tcBorders>
                    <w:tl2br w:val="nil"/>
                    <w:tr2bl w:val="nil"/>
                  </w:tcBorders>
                  <w:vAlign w:val="center"/>
                </w:tcPr>
                <w:p w14:paraId="330838F3">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达标情况</w:t>
                  </w:r>
                </w:p>
              </w:tc>
            </w:tr>
            <w:tr w14:paraId="0464A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vMerge w:val="continue"/>
                  <w:tcBorders>
                    <w:tl2br w:val="nil"/>
                    <w:tr2bl w:val="nil"/>
                  </w:tcBorders>
                  <w:vAlign w:val="center"/>
                </w:tcPr>
                <w:p w14:paraId="06E8E6E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p>
              </w:tc>
              <w:tc>
                <w:tcPr>
                  <w:tcW w:w="677" w:type="pct"/>
                  <w:vMerge w:val="continue"/>
                  <w:tcBorders>
                    <w:tl2br w:val="nil"/>
                    <w:tr2bl w:val="nil"/>
                  </w:tcBorders>
                  <w:vAlign w:val="center"/>
                </w:tcPr>
                <w:p w14:paraId="60DC433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p>
              </w:tc>
              <w:tc>
                <w:tcPr>
                  <w:tcW w:w="2516" w:type="pct"/>
                  <w:gridSpan w:val="3"/>
                  <w:tcBorders>
                    <w:tl2br w:val="nil"/>
                    <w:tr2bl w:val="nil"/>
                  </w:tcBorders>
                  <w:vAlign w:val="center"/>
                </w:tcPr>
                <w:p w14:paraId="68D4BF7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T2</w:t>
                  </w:r>
                </w:p>
                <w:p w14:paraId="093CA7D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106.78309684°</w:t>
                  </w:r>
                  <w:r>
                    <w:rPr>
                      <w:rFonts w:hint="default" w:ascii="Times New Roman" w:hAnsi="Times New Roman" w:eastAsia="宋体" w:cs="Times New Roman"/>
                      <w:color w:val="auto"/>
                      <w:sz w:val="21"/>
                      <w:szCs w:val="21"/>
                      <w:highlight w:val="none"/>
                      <w:lang w:val="en-US" w:eastAsia="zh-CN"/>
                    </w:rPr>
                    <w:t>E</w:t>
                  </w:r>
                  <w:r>
                    <w:rPr>
                      <w:rFonts w:hint="default" w:ascii="Times New Roman" w:hAnsi="Times New Roman" w:eastAsia="宋体" w:cs="Times New Roman"/>
                      <w:color w:val="auto"/>
                      <w:sz w:val="21"/>
                      <w:szCs w:val="21"/>
                      <w:highlight w:val="none"/>
                      <w:lang w:eastAsia="zh-CN"/>
                    </w:rPr>
                    <w:t>，39.89745317°</w:t>
                  </w:r>
                  <w:r>
                    <w:rPr>
                      <w:rFonts w:hint="default" w:ascii="Times New Roman" w:hAnsi="Times New Roman" w:eastAsia="宋体" w:cs="Times New Roman"/>
                      <w:color w:val="auto"/>
                      <w:sz w:val="21"/>
                      <w:szCs w:val="21"/>
                      <w:highlight w:val="none"/>
                      <w:lang w:val="en-US" w:eastAsia="zh-CN"/>
                    </w:rPr>
                    <w:t>N）</w:t>
                  </w:r>
                </w:p>
              </w:tc>
              <w:tc>
                <w:tcPr>
                  <w:tcW w:w="619" w:type="pct"/>
                  <w:vMerge w:val="continue"/>
                  <w:tcBorders>
                    <w:tl2br w:val="nil"/>
                    <w:tr2bl w:val="nil"/>
                  </w:tcBorders>
                  <w:vAlign w:val="center"/>
                </w:tcPr>
                <w:p w14:paraId="31CD484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p>
              </w:tc>
              <w:tc>
                <w:tcPr>
                  <w:tcW w:w="401" w:type="pct"/>
                  <w:vMerge w:val="continue"/>
                  <w:tcBorders>
                    <w:tl2br w:val="nil"/>
                    <w:tr2bl w:val="nil"/>
                  </w:tcBorders>
                  <w:vAlign w:val="center"/>
                </w:tcPr>
                <w:p w14:paraId="682AAA7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p>
              </w:tc>
            </w:tr>
            <w:tr w14:paraId="2E989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vMerge w:val="continue"/>
                  <w:tcBorders>
                    <w:tl2br w:val="nil"/>
                    <w:tr2bl w:val="nil"/>
                  </w:tcBorders>
                  <w:vAlign w:val="center"/>
                </w:tcPr>
                <w:p w14:paraId="20B6348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p>
              </w:tc>
              <w:tc>
                <w:tcPr>
                  <w:tcW w:w="677" w:type="pct"/>
                  <w:vMerge w:val="continue"/>
                  <w:tcBorders>
                    <w:tl2br w:val="nil"/>
                    <w:tr2bl w:val="nil"/>
                  </w:tcBorders>
                  <w:shd w:val="clear" w:color="auto" w:fill="auto"/>
                  <w:vAlign w:val="center"/>
                </w:tcPr>
                <w:p w14:paraId="0A6F043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p>
              </w:tc>
              <w:tc>
                <w:tcPr>
                  <w:tcW w:w="939" w:type="pct"/>
                  <w:tcBorders>
                    <w:tl2br w:val="nil"/>
                    <w:tr2bl w:val="nil"/>
                  </w:tcBorders>
                  <w:shd w:val="clear" w:color="auto" w:fill="auto"/>
                  <w:vAlign w:val="center"/>
                </w:tcPr>
                <w:p w14:paraId="1AE4ACB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表层样（0-0.5m）</w:t>
                  </w:r>
                </w:p>
              </w:tc>
              <w:tc>
                <w:tcPr>
                  <w:tcW w:w="786" w:type="pct"/>
                  <w:tcBorders>
                    <w:tl2br w:val="nil"/>
                    <w:tr2bl w:val="nil"/>
                  </w:tcBorders>
                  <w:shd w:val="clear" w:color="auto" w:fill="auto"/>
                  <w:vAlign w:val="center"/>
                </w:tcPr>
                <w:p w14:paraId="1B2075E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中层样（0.5-1.5m）</w:t>
                  </w:r>
                </w:p>
              </w:tc>
              <w:tc>
                <w:tcPr>
                  <w:tcW w:w="791" w:type="pct"/>
                  <w:tcBorders>
                    <w:tl2br w:val="nil"/>
                    <w:tr2bl w:val="nil"/>
                  </w:tcBorders>
                  <w:shd w:val="clear" w:color="auto" w:fill="auto"/>
                  <w:vAlign w:val="center"/>
                </w:tcPr>
                <w:p w14:paraId="5F2DD7D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深层样（1.5-3.0m）</w:t>
                  </w:r>
                </w:p>
              </w:tc>
              <w:tc>
                <w:tcPr>
                  <w:tcW w:w="619" w:type="pct"/>
                  <w:vMerge w:val="continue"/>
                  <w:tcBorders>
                    <w:tl2br w:val="nil"/>
                    <w:tr2bl w:val="nil"/>
                  </w:tcBorders>
                  <w:vAlign w:val="center"/>
                </w:tcPr>
                <w:p w14:paraId="455ACFA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p>
              </w:tc>
              <w:tc>
                <w:tcPr>
                  <w:tcW w:w="401" w:type="pct"/>
                  <w:vMerge w:val="continue"/>
                  <w:tcBorders>
                    <w:tl2br w:val="nil"/>
                    <w:tr2bl w:val="nil"/>
                  </w:tcBorders>
                  <w:vAlign w:val="center"/>
                </w:tcPr>
                <w:p w14:paraId="250B5A1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p>
              </w:tc>
            </w:tr>
            <w:tr w14:paraId="138C0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vAlign w:val="center"/>
                </w:tcPr>
                <w:p w14:paraId="7750751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砷</w:t>
                  </w:r>
                </w:p>
              </w:tc>
              <w:tc>
                <w:tcPr>
                  <w:tcW w:w="677" w:type="pct"/>
                  <w:tcBorders>
                    <w:tl2br w:val="nil"/>
                    <w:tr2bl w:val="nil"/>
                  </w:tcBorders>
                  <w:shd w:val="clear" w:color="auto" w:fill="auto"/>
                  <w:vAlign w:val="center"/>
                </w:tcPr>
                <w:p w14:paraId="5C005FE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3A2F293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8.84</w:t>
                  </w:r>
                </w:p>
              </w:tc>
              <w:tc>
                <w:tcPr>
                  <w:tcW w:w="786" w:type="pct"/>
                  <w:tcBorders>
                    <w:tl2br w:val="nil"/>
                    <w:tr2bl w:val="nil"/>
                  </w:tcBorders>
                  <w:shd w:val="clear" w:color="auto" w:fill="auto"/>
                  <w:vAlign w:val="center"/>
                </w:tcPr>
                <w:p w14:paraId="52CBADA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6.28</w:t>
                  </w:r>
                </w:p>
              </w:tc>
              <w:tc>
                <w:tcPr>
                  <w:tcW w:w="791" w:type="pct"/>
                  <w:tcBorders>
                    <w:tl2br w:val="nil"/>
                    <w:tr2bl w:val="nil"/>
                  </w:tcBorders>
                  <w:shd w:val="clear" w:color="auto" w:fill="auto"/>
                  <w:vAlign w:val="center"/>
                </w:tcPr>
                <w:p w14:paraId="44332CE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9.44</w:t>
                  </w:r>
                </w:p>
              </w:tc>
              <w:tc>
                <w:tcPr>
                  <w:tcW w:w="619" w:type="pct"/>
                  <w:tcBorders>
                    <w:tl2br w:val="nil"/>
                    <w:tr2bl w:val="nil"/>
                  </w:tcBorders>
                  <w:vAlign w:val="center"/>
                </w:tcPr>
                <w:p w14:paraId="6BCE1B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60</w:t>
                  </w:r>
                </w:p>
              </w:tc>
              <w:tc>
                <w:tcPr>
                  <w:tcW w:w="401" w:type="pct"/>
                  <w:tcBorders>
                    <w:tl2br w:val="nil"/>
                    <w:tr2bl w:val="nil"/>
                  </w:tcBorders>
                  <w:vAlign w:val="center"/>
                </w:tcPr>
                <w:p w14:paraId="67CAE90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22C72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vAlign w:val="center"/>
                </w:tcPr>
                <w:p w14:paraId="0EF3BE2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镉</w:t>
                  </w:r>
                </w:p>
              </w:tc>
              <w:tc>
                <w:tcPr>
                  <w:tcW w:w="677" w:type="pct"/>
                  <w:tcBorders>
                    <w:tl2br w:val="nil"/>
                    <w:tr2bl w:val="nil"/>
                  </w:tcBorders>
                  <w:shd w:val="clear" w:color="auto" w:fill="auto"/>
                  <w:vAlign w:val="center"/>
                </w:tcPr>
                <w:p w14:paraId="382268D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04C5F97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0.19</w:t>
                  </w:r>
                </w:p>
              </w:tc>
              <w:tc>
                <w:tcPr>
                  <w:tcW w:w="786" w:type="pct"/>
                  <w:tcBorders>
                    <w:tl2br w:val="nil"/>
                    <w:tr2bl w:val="nil"/>
                  </w:tcBorders>
                  <w:shd w:val="clear" w:color="auto" w:fill="auto"/>
                  <w:vAlign w:val="center"/>
                </w:tcPr>
                <w:p w14:paraId="0DFB9FC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0.15</w:t>
                  </w:r>
                </w:p>
              </w:tc>
              <w:tc>
                <w:tcPr>
                  <w:tcW w:w="791" w:type="pct"/>
                  <w:tcBorders>
                    <w:tl2br w:val="nil"/>
                    <w:tr2bl w:val="nil"/>
                  </w:tcBorders>
                  <w:shd w:val="clear" w:color="auto" w:fill="auto"/>
                  <w:vAlign w:val="center"/>
                </w:tcPr>
                <w:p w14:paraId="5DF522D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0.18</w:t>
                  </w:r>
                </w:p>
              </w:tc>
              <w:tc>
                <w:tcPr>
                  <w:tcW w:w="619" w:type="pct"/>
                  <w:tcBorders>
                    <w:tl2br w:val="nil"/>
                    <w:tr2bl w:val="nil"/>
                  </w:tcBorders>
                  <w:vAlign w:val="center"/>
                </w:tcPr>
                <w:p w14:paraId="3F179C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65</w:t>
                  </w:r>
                </w:p>
              </w:tc>
              <w:tc>
                <w:tcPr>
                  <w:tcW w:w="401" w:type="pct"/>
                  <w:tcBorders>
                    <w:tl2br w:val="nil"/>
                    <w:tr2bl w:val="nil"/>
                  </w:tcBorders>
                  <w:vAlign w:val="center"/>
                </w:tcPr>
                <w:p w14:paraId="11360E28">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29B42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vAlign w:val="center"/>
                </w:tcPr>
                <w:p w14:paraId="4824F87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六价铬</w:t>
                  </w:r>
                </w:p>
              </w:tc>
              <w:tc>
                <w:tcPr>
                  <w:tcW w:w="677" w:type="pct"/>
                  <w:tcBorders>
                    <w:tl2br w:val="nil"/>
                    <w:tr2bl w:val="nil"/>
                  </w:tcBorders>
                  <w:shd w:val="clear" w:color="auto" w:fill="auto"/>
                  <w:vAlign w:val="center"/>
                </w:tcPr>
                <w:p w14:paraId="57E5D36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7E9E4A1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&lt;0.5</w:t>
                  </w:r>
                </w:p>
              </w:tc>
              <w:tc>
                <w:tcPr>
                  <w:tcW w:w="786" w:type="pct"/>
                  <w:tcBorders>
                    <w:tl2br w:val="nil"/>
                    <w:tr2bl w:val="nil"/>
                  </w:tcBorders>
                  <w:shd w:val="clear" w:color="auto" w:fill="auto"/>
                  <w:vAlign w:val="center"/>
                </w:tcPr>
                <w:p w14:paraId="3D9F10A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&lt;0.5</w:t>
                  </w:r>
                </w:p>
              </w:tc>
              <w:tc>
                <w:tcPr>
                  <w:tcW w:w="791" w:type="pct"/>
                  <w:tcBorders>
                    <w:tl2br w:val="nil"/>
                    <w:tr2bl w:val="nil"/>
                  </w:tcBorders>
                  <w:shd w:val="clear" w:color="auto" w:fill="auto"/>
                  <w:vAlign w:val="center"/>
                </w:tcPr>
                <w:p w14:paraId="3A296B6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&lt;0.5</w:t>
                  </w:r>
                </w:p>
              </w:tc>
              <w:tc>
                <w:tcPr>
                  <w:tcW w:w="619" w:type="pct"/>
                  <w:tcBorders>
                    <w:tl2br w:val="nil"/>
                    <w:tr2bl w:val="nil"/>
                  </w:tcBorders>
                  <w:vAlign w:val="center"/>
                </w:tcPr>
                <w:p w14:paraId="58A005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5.7</w:t>
                  </w:r>
                </w:p>
              </w:tc>
              <w:tc>
                <w:tcPr>
                  <w:tcW w:w="401" w:type="pct"/>
                  <w:tcBorders>
                    <w:tl2br w:val="nil"/>
                    <w:tr2bl w:val="nil"/>
                  </w:tcBorders>
                  <w:vAlign w:val="center"/>
                </w:tcPr>
                <w:p w14:paraId="70D4EF4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4FEE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vAlign w:val="center"/>
                </w:tcPr>
                <w:p w14:paraId="235778D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铜</w:t>
                  </w:r>
                </w:p>
              </w:tc>
              <w:tc>
                <w:tcPr>
                  <w:tcW w:w="677" w:type="pct"/>
                  <w:tcBorders>
                    <w:tl2br w:val="nil"/>
                    <w:tr2bl w:val="nil"/>
                  </w:tcBorders>
                  <w:shd w:val="clear" w:color="auto" w:fill="auto"/>
                  <w:vAlign w:val="center"/>
                </w:tcPr>
                <w:p w14:paraId="74CA68B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63C8505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w:t>
                  </w:r>
                </w:p>
              </w:tc>
              <w:tc>
                <w:tcPr>
                  <w:tcW w:w="786" w:type="pct"/>
                  <w:tcBorders>
                    <w:tl2br w:val="nil"/>
                    <w:tr2bl w:val="nil"/>
                  </w:tcBorders>
                  <w:shd w:val="clear" w:color="auto" w:fill="auto"/>
                  <w:vAlign w:val="center"/>
                </w:tcPr>
                <w:p w14:paraId="4EF7B82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17</w:t>
                  </w:r>
                </w:p>
              </w:tc>
              <w:tc>
                <w:tcPr>
                  <w:tcW w:w="791" w:type="pct"/>
                  <w:tcBorders>
                    <w:tl2br w:val="nil"/>
                    <w:tr2bl w:val="nil"/>
                  </w:tcBorders>
                  <w:shd w:val="clear" w:color="auto" w:fill="auto"/>
                  <w:vAlign w:val="center"/>
                </w:tcPr>
                <w:p w14:paraId="77286F9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w:t>
                  </w:r>
                </w:p>
              </w:tc>
              <w:tc>
                <w:tcPr>
                  <w:tcW w:w="619" w:type="pct"/>
                  <w:tcBorders>
                    <w:tl2br w:val="nil"/>
                    <w:tr2bl w:val="nil"/>
                  </w:tcBorders>
                  <w:vAlign w:val="center"/>
                </w:tcPr>
                <w:p w14:paraId="74B04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18000</w:t>
                  </w:r>
                </w:p>
              </w:tc>
              <w:tc>
                <w:tcPr>
                  <w:tcW w:w="401" w:type="pct"/>
                  <w:tcBorders>
                    <w:tl2br w:val="nil"/>
                    <w:tr2bl w:val="nil"/>
                  </w:tcBorders>
                  <w:vAlign w:val="center"/>
                </w:tcPr>
                <w:p w14:paraId="4CD21190">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6DBB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vAlign w:val="center"/>
                </w:tcPr>
                <w:p w14:paraId="1329658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铅</w:t>
                  </w:r>
                </w:p>
              </w:tc>
              <w:tc>
                <w:tcPr>
                  <w:tcW w:w="677" w:type="pct"/>
                  <w:tcBorders>
                    <w:tl2br w:val="nil"/>
                    <w:tr2bl w:val="nil"/>
                  </w:tcBorders>
                  <w:shd w:val="clear" w:color="auto" w:fill="auto"/>
                  <w:vAlign w:val="center"/>
                </w:tcPr>
                <w:p w14:paraId="79869D9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0AC0D97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p>
              </w:tc>
              <w:tc>
                <w:tcPr>
                  <w:tcW w:w="786" w:type="pct"/>
                  <w:tcBorders>
                    <w:tl2br w:val="nil"/>
                    <w:tr2bl w:val="nil"/>
                  </w:tcBorders>
                  <w:shd w:val="clear" w:color="auto" w:fill="auto"/>
                  <w:vAlign w:val="center"/>
                </w:tcPr>
                <w:p w14:paraId="60AB87B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37</w:t>
                  </w:r>
                </w:p>
              </w:tc>
              <w:tc>
                <w:tcPr>
                  <w:tcW w:w="791" w:type="pct"/>
                  <w:tcBorders>
                    <w:tl2br w:val="nil"/>
                    <w:tr2bl w:val="nil"/>
                  </w:tcBorders>
                  <w:shd w:val="clear" w:color="auto" w:fill="auto"/>
                  <w:vAlign w:val="center"/>
                </w:tcPr>
                <w:p w14:paraId="4FFFD49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w:t>
                  </w:r>
                </w:p>
              </w:tc>
              <w:tc>
                <w:tcPr>
                  <w:tcW w:w="619" w:type="pct"/>
                  <w:tcBorders>
                    <w:tl2br w:val="nil"/>
                    <w:tr2bl w:val="nil"/>
                  </w:tcBorders>
                  <w:vAlign w:val="center"/>
                </w:tcPr>
                <w:p w14:paraId="06338F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800</w:t>
                  </w:r>
                </w:p>
              </w:tc>
              <w:tc>
                <w:tcPr>
                  <w:tcW w:w="401" w:type="pct"/>
                  <w:tcBorders>
                    <w:tl2br w:val="nil"/>
                    <w:tr2bl w:val="nil"/>
                  </w:tcBorders>
                  <w:vAlign w:val="center"/>
                </w:tcPr>
                <w:p w14:paraId="0E03607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3092C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vAlign w:val="center"/>
                </w:tcPr>
                <w:p w14:paraId="07F2993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镍</w:t>
                  </w:r>
                </w:p>
              </w:tc>
              <w:tc>
                <w:tcPr>
                  <w:tcW w:w="677" w:type="pct"/>
                  <w:tcBorders>
                    <w:tl2br w:val="nil"/>
                    <w:tr2bl w:val="nil"/>
                  </w:tcBorders>
                  <w:shd w:val="clear" w:color="auto" w:fill="auto"/>
                  <w:vAlign w:val="center"/>
                </w:tcPr>
                <w:p w14:paraId="4865364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3EE2BD1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47</w:t>
                  </w:r>
                </w:p>
              </w:tc>
              <w:tc>
                <w:tcPr>
                  <w:tcW w:w="786" w:type="pct"/>
                  <w:tcBorders>
                    <w:tl2br w:val="nil"/>
                    <w:tr2bl w:val="nil"/>
                  </w:tcBorders>
                  <w:shd w:val="clear" w:color="auto" w:fill="auto"/>
                  <w:vAlign w:val="center"/>
                </w:tcPr>
                <w:p w14:paraId="3F1C62B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53</w:t>
                  </w:r>
                </w:p>
              </w:tc>
              <w:tc>
                <w:tcPr>
                  <w:tcW w:w="791" w:type="pct"/>
                  <w:tcBorders>
                    <w:tl2br w:val="nil"/>
                    <w:tr2bl w:val="nil"/>
                  </w:tcBorders>
                  <w:shd w:val="clear" w:color="auto" w:fill="auto"/>
                  <w:vAlign w:val="center"/>
                </w:tcPr>
                <w:p w14:paraId="5695341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43</w:t>
                  </w:r>
                </w:p>
              </w:tc>
              <w:tc>
                <w:tcPr>
                  <w:tcW w:w="619" w:type="pct"/>
                  <w:tcBorders>
                    <w:tl2br w:val="nil"/>
                    <w:tr2bl w:val="nil"/>
                  </w:tcBorders>
                  <w:vAlign w:val="center"/>
                </w:tcPr>
                <w:p w14:paraId="703A86B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900</w:t>
                  </w:r>
                </w:p>
              </w:tc>
              <w:tc>
                <w:tcPr>
                  <w:tcW w:w="401" w:type="pct"/>
                  <w:tcBorders>
                    <w:tl2br w:val="nil"/>
                    <w:tr2bl w:val="nil"/>
                  </w:tcBorders>
                  <w:vAlign w:val="center"/>
                </w:tcPr>
                <w:p w14:paraId="1A45CCDA">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587EC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vAlign w:val="center"/>
                </w:tcPr>
                <w:p w14:paraId="09FF849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汞</w:t>
                  </w:r>
                </w:p>
              </w:tc>
              <w:tc>
                <w:tcPr>
                  <w:tcW w:w="677" w:type="pct"/>
                  <w:tcBorders>
                    <w:tl2br w:val="nil"/>
                    <w:tr2bl w:val="nil"/>
                  </w:tcBorders>
                  <w:shd w:val="clear" w:color="auto" w:fill="auto"/>
                  <w:vAlign w:val="center"/>
                </w:tcPr>
                <w:p w14:paraId="50EFA88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0413A2A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0.069</w:t>
                  </w:r>
                </w:p>
              </w:tc>
              <w:tc>
                <w:tcPr>
                  <w:tcW w:w="786" w:type="pct"/>
                  <w:tcBorders>
                    <w:tl2br w:val="nil"/>
                    <w:tr2bl w:val="nil"/>
                  </w:tcBorders>
                  <w:shd w:val="clear" w:color="auto" w:fill="auto"/>
                  <w:vAlign w:val="center"/>
                </w:tcPr>
                <w:p w14:paraId="542F0A7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0.059</w:t>
                  </w:r>
                </w:p>
              </w:tc>
              <w:tc>
                <w:tcPr>
                  <w:tcW w:w="791" w:type="pct"/>
                  <w:tcBorders>
                    <w:tl2br w:val="nil"/>
                    <w:tr2bl w:val="nil"/>
                  </w:tcBorders>
                  <w:shd w:val="clear" w:color="auto" w:fill="auto"/>
                  <w:vAlign w:val="center"/>
                </w:tcPr>
                <w:p w14:paraId="2A066F8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0.088</w:t>
                  </w:r>
                </w:p>
              </w:tc>
              <w:tc>
                <w:tcPr>
                  <w:tcW w:w="619" w:type="pct"/>
                  <w:tcBorders>
                    <w:tl2br w:val="nil"/>
                    <w:tr2bl w:val="nil"/>
                  </w:tcBorders>
                  <w:vAlign w:val="center"/>
                </w:tcPr>
                <w:p w14:paraId="33DF86A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38</w:t>
                  </w:r>
                </w:p>
              </w:tc>
              <w:tc>
                <w:tcPr>
                  <w:tcW w:w="401" w:type="pct"/>
                  <w:tcBorders>
                    <w:tl2br w:val="nil"/>
                    <w:tr2bl w:val="nil"/>
                  </w:tcBorders>
                  <w:vAlign w:val="center"/>
                </w:tcPr>
                <w:p w14:paraId="4B47C99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36C9A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154373D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石油烃</w:t>
                  </w:r>
                  <w:r>
                    <w:rPr>
                      <w:rFonts w:hint="default" w:ascii="Times New Roman" w:hAnsi="Times New Roman" w:eastAsia="宋体" w:cs="Times New Roman"/>
                      <w:color w:val="auto"/>
                      <w:kern w:val="2"/>
                      <w:sz w:val="21"/>
                      <w:szCs w:val="21"/>
                      <w:highlight w:val="none"/>
                    </w:rPr>
                    <w:t>（C</w:t>
                  </w:r>
                  <w:r>
                    <w:rPr>
                      <w:rFonts w:hint="default" w:ascii="Times New Roman" w:hAnsi="Times New Roman" w:eastAsia="宋体" w:cs="Times New Roman"/>
                      <w:color w:val="auto"/>
                      <w:kern w:val="2"/>
                      <w:sz w:val="21"/>
                      <w:szCs w:val="21"/>
                      <w:highlight w:val="none"/>
                      <w:vertAlign w:val="subscript"/>
                    </w:rPr>
                    <w:t>10</w:t>
                  </w:r>
                  <w:r>
                    <w:rPr>
                      <w:rFonts w:hint="default" w:ascii="Times New Roman" w:hAnsi="Times New Roman" w:eastAsia="宋体" w:cs="Times New Roman"/>
                      <w:color w:val="auto"/>
                      <w:kern w:val="2"/>
                      <w:sz w:val="21"/>
                      <w:szCs w:val="21"/>
                      <w:highlight w:val="none"/>
                    </w:rPr>
                    <w:t>-C</w:t>
                  </w:r>
                  <w:r>
                    <w:rPr>
                      <w:rFonts w:hint="default" w:ascii="Times New Roman" w:hAnsi="Times New Roman" w:eastAsia="宋体" w:cs="Times New Roman"/>
                      <w:color w:val="auto"/>
                      <w:kern w:val="2"/>
                      <w:sz w:val="21"/>
                      <w:szCs w:val="21"/>
                      <w:highlight w:val="none"/>
                      <w:vertAlign w:val="subscript"/>
                    </w:rPr>
                    <w:t>40</w:t>
                  </w:r>
                  <w:r>
                    <w:rPr>
                      <w:rFonts w:hint="default" w:ascii="Times New Roman" w:hAnsi="Times New Roman" w:eastAsia="宋体" w:cs="Times New Roman"/>
                      <w:color w:val="auto"/>
                      <w:kern w:val="2"/>
                      <w:sz w:val="21"/>
                      <w:szCs w:val="21"/>
                      <w:highlight w:val="none"/>
                    </w:rPr>
                    <w:t>）</w:t>
                  </w:r>
                </w:p>
              </w:tc>
              <w:tc>
                <w:tcPr>
                  <w:tcW w:w="677" w:type="pct"/>
                  <w:tcBorders>
                    <w:tl2br w:val="nil"/>
                    <w:tr2bl w:val="nil"/>
                  </w:tcBorders>
                  <w:shd w:val="clear" w:color="auto" w:fill="auto"/>
                  <w:vAlign w:val="center"/>
                </w:tcPr>
                <w:p w14:paraId="7FC700E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06B098F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786" w:type="pct"/>
                  <w:tcBorders>
                    <w:tl2br w:val="nil"/>
                    <w:tr2bl w:val="nil"/>
                  </w:tcBorders>
                  <w:shd w:val="clear" w:color="auto" w:fill="auto"/>
                  <w:vAlign w:val="center"/>
                </w:tcPr>
                <w:p w14:paraId="1CA3C33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w:t>
                  </w:r>
                </w:p>
              </w:tc>
              <w:tc>
                <w:tcPr>
                  <w:tcW w:w="791" w:type="pct"/>
                  <w:tcBorders>
                    <w:tl2br w:val="nil"/>
                    <w:tr2bl w:val="nil"/>
                  </w:tcBorders>
                  <w:shd w:val="clear" w:color="auto" w:fill="auto"/>
                  <w:vAlign w:val="center"/>
                </w:tcPr>
                <w:p w14:paraId="6C41937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29</w:t>
                  </w:r>
                </w:p>
              </w:tc>
              <w:tc>
                <w:tcPr>
                  <w:tcW w:w="619" w:type="pct"/>
                  <w:tcBorders>
                    <w:tl2br w:val="nil"/>
                    <w:tr2bl w:val="nil"/>
                  </w:tcBorders>
                  <w:shd w:val="clear" w:color="auto" w:fill="auto"/>
                  <w:vAlign w:val="center"/>
                </w:tcPr>
                <w:p w14:paraId="744150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bidi="ar"/>
                    </w:rPr>
                    <w:t>4500</w:t>
                  </w:r>
                </w:p>
              </w:tc>
              <w:tc>
                <w:tcPr>
                  <w:tcW w:w="401" w:type="pct"/>
                  <w:tcBorders>
                    <w:tl2br w:val="nil"/>
                    <w:tr2bl w:val="nil"/>
                  </w:tcBorders>
                  <w:shd w:val="clear" w:color="auto" w:fill="auto"/>
                  <w:vAlign w:val="center"/>
                </w:tcPr>
                <w:p w14:paraId="0248BE59">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2FB04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1EC8262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铍</w:t>
                  </w:r>
                </w:p>
              </w:tc>
              <w:tc>
                <w:tcPr>
                  <w:tcW w:w="677" w:type="pct"/>
                  <w:tcBorders>
                    <w:tl2br w:val="nil"/>
                    <w:tr2bl w:val="nil"/>
                  </w:tcBorders>
                  <w:shd w:val="clear" w:color="auto" w:fill="auto"/>
                  <w:vAlign w:val="center"/>
                </w:tcPr>
                <w:p w14:paraId="7249498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21C0DBB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0.51</w:t>
                  </w:r>
                </w:p>
              </w:tc>
              <w:tc>
                <w:tcPr>
                  <w:tcW w:w="786" w:type="pct"/>
                  <w:tcBorders>
                    <w:tl2br w:val="nil"/>
                    <w:tr2bl w:val="nil"/>
                  </w:tcBorders>
                  <w:shd w:val="clear" w:color="auto" w:fill="auto"/>
                  <w:vAlign w:val="center"/>
                </w:tcPr>
                <w:p w14:paraId="13A878B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0.29</w:t>
                  </w:r>
                </w:p>
              </w:tc>
              <w:tc>
                <w:tcPr>
                  <w:tcW w:w="791" w:type="pct"/>
                  <w:tcBorders>
                    <w:tl2br w:val="nil"/>
                    <w:tr2bl w:val="nil"/>
                  </w:tcBorders>
                  <w:shd w:val="clear" w:color="auto" w:fill="auto"/>
                  <w:vAlign w:val="center"/>
                </w:tcPr>
                <w:p w14:paraId="212B162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0.6</w:t>
                  </w:r>
                </w:p>
              </w:tc>
              <w:tc>
                <w:tcPr>
                  <w:tcW w:w="619" w:type="pct"/>
                  <w:tcBorders>
                    <w:tl2br w:val="nil"/>
                    <w:tr2bl w:val="nil"/>
                  </w:tcBorders>
                  <w:shd w:val="clear" w:color="auto" w:fill="auto"/>
                  <w:vAlign w:val="center"/>
                </w:tcPr>
                <w:p w14:paraId="2CBE14F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29</w:t>
                  </w:r>
                </w:p>
              </w:tc>
              <w:tc>
                <w:tcPr>
                  <w:tcW w:w="401" w:type="pct"/>
                  <w:tcBorders>
                    <w:tl2br w:val="nil"/>
                    <w:tr2bl w:val="nil"/>
                  </w:tcBorders>
                  <w:shd w:val="clear" w:color="auto" w:fill="auto"/>
                  <w:vAlign w:val="center"/>
                </w:tcPr>
                <w:p w14:paraId="437C5BB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61DF6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48CDB4D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锑</w:t>
                  </w:r>
                </w:p>
              </w:tc>
              <w:tc>
                <w:tcPr>
                  <w:tcW w:w="677" w:type="pct"/>
                  <w:tcBorders>
                    <w:tl2br w:val="nil"/>
                    <w:tr2bl w:val="nil"/>
                  </w:tcBorders>
                  <w:shd w:val="clear" w:color="auto" w:fill="auto"/>
                  <w:vAlign w:val="center"/>
                </w:tcPr>
                <w:p w14:paraId="27A3650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6A5E7D5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4.81</w:t>
                  </w:r>
                </w:p>
              </w:tc>
              <w:tc>
                <w:tcPr>
                  <w:tcW w:w="786" w:type="pct"/>
                  <w:tcBorders>
                    <w:tl2br w:val="nil"/>
                    <w:tr2bl w:val="nil"/>
                  </w:tcBorders>
                  <w:shd w:val="clear" w:color="auto" w:fill="auto"/>
                  <w:vAlign w:val="center"/>
                </w:tcPr>
                <w:p w14:paraId="648A79B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7.83</w:t>
                  </w:r>
                </w:p>
              </w:tc>
              <w:tc>
                <w:tcPr>
                  <w:tcW w:w="791" w:type="pct"/>
                  <w:tcBorders>
                    <w:tl2br w:val="nil"/>
                    <w:tr2bl w:val="nil"/>
                  </w:tcBorders>
                  <w:shd w:val="clear" w:color="auto" w:fill="auto"/>
                  <w:vAlign w:val="center"/>
                </w:tcPr>
                <w:p w14:paraId="35139DA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8.35</w:t>
                  </w:r>
                </w:p>
              </w:tc>
              <w:tc>
                <w:tcPr>
                  <w:tcW w:w="619" w:type="pct"/>
                  <w:tcBorders>
                    <w:tl2br w:val="nil"/>
                    <w:tr2bl w:val="nil"/>
                  </w:tcBorders>
                  <w:shd w:val="clear" w:color="auto" w:fill="auto"/>
                  <w:vAlign w:val="center"/>
                </w:tcPr>
                <w:p w14:paraId="5C4A481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180</w:t>
                  </w:r>
                </w:p>
              </w:tc>
              <w:tc>
                <w:tcPr>
                  <w:tcW w:w="401" w:type="pct"/>
                  <w:tcBorders>
                    <w:tl2br w:val="nil"/>
                    <w:tr2bl w:val="nil"/>
                  </w:tcBorders>
                  <w:shd w:val="clear" w:color="auto" w:fill="auto"/>
                  <w:vAlign w:val="center"/>
                </w:tcPr>
                <w:p w14:paraId="3E24082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645C5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1DD2826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钴</w:t>
                  </w:r>
                </w:p>
              </w:tc>
              <w:tc>
                <w:tcPr>
                  <w:tcW w:w="677" w:type="pct"/>
                  <w:tcBorders>
                    <w:tl2br w:val="nil"/>
                    <w:tr2bl w:val="nil"/>
                  </w:tcBorders>
                  <w:shd w:val="clear" w:color="auto" w:fill="auto"/>
                  <w:vAlign w:val="center"/>
                </w:tcPr>
                <w:p w14:paraId="4863873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109BDE0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786" w:type="pct"/>
                  <w:tcBorders>
                    <w:tl2br w:val="nil"/>
                    <w:tr2bl w:val="nil"/>
                  </w:tcBorders>
                  <w:shd w:val="clear" w:color="auto" w:fill="auto"/>
                  <w:vAlign w:val="center"/>
                </w:tcPr>
                <w:p w14:paraId="52895DB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791" w:type="pct"/>
                  <w:tcBorders>
                    <w:tl2br w:val="nil"/>
                    <w:tr2bl w:val="nil"/>
                  </w:tcBorders>
                  <w:shd w:val="clear" w:color="auto" w:fill="auto"/>
                  <w:vAlign w:val="center"/>
                </w:tcPr>
                <w:p w14:paraId="65AB268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w:t>
                  </w:r>
                </w:p>
              </w:tc>
              <w:tc>
                <w:tcPr>
                  <w:tcW w:w="619" w:type="pct"/>
                  <w:tcBorders>
                    <w:tl2br w:val="nil"/>
                    <w:tr2bl w:val="nil"/>
                  </w:tcBorders>
                  <w:shd w:val="clear" w:color="auto" w:fill="auto"/>
                  <w:vAlign w:val="center"/>
                </w:tcPr>
                <w:p w14:paraId="03C2466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70</w:t>
                  </w:r>
                </w:p>
              </w:tc>
              <w:tc>
                <w:tcPr>
                  <w:tcW w:w="401" w:type="pct"/>
                  <w:tcBorders>
                    <w:tl2br w:val="nil"/>
                    <w:tr2bl w:val="nil"/>
                  </w:tcBorders>
                  <w:shd w:val="clear" w:color="auto" w:fill="auto"/>
                  <w:vAlign w:val="center"/>
                </w:tcPr>
                <w:p w14:paraId="1EF5003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C9A6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244A4C9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氰化物</w:t>
                  </w:r>
                </w:p>
              </w:tc>
              <w:tc>
                <w:tcPr>
                  <w:tcW w:w="677" w:type="pct"/>
                  <w:tcBorders>
                    <w:tl2br w:val="nil"/>
                    <w:tr2bl w:val="nil"/>
                  </w:tcBorders>
                  <w:shd w:val="clear" w:color="auto" w:fill="auto"/>
                  <w:vAlign w:val="center"/>
                </w:tcPr>
                <w:p w14:paraId="39791E3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7CB34E0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0.08</w:t>
                  </w:r>
                </w:p>
              </w:tc>
              <w:tc>
                <w:tcPr>
                  <w:tcW w:w="786" w:type="pct"/>
                  <w:tcBorders>
                    <w:tl2br w:val="nil"/>
                    <w:tr2bl w:val="nil"/>
                  </w:tcBorders>
                  <w:shd w:val="clear" w:color="auto" w:fill="auto"/>
                  <w:vAlign w:val="center"/>
                </w:tcPr>
                <w:p w14:paraId="479D3C0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0.06</w:t>
                  </w:r>
                </w:p>
              </w:tc>
              <w:tc>
                <w:tcPr>
                  <w:tcW w:w="791" w:type="pct"/>
                  <w:tcBorders>
                    <w:tl2br w:val="nil"/>
                    <w:tr2bl w:val="nil"/>
                  </w:tcBorders>
                  <w:shd w:val="clear" w:color="auto" w:fill="auto"/>
                  <w:vAlign w:val="center"/>
                </w:tcPr>
                <w:p w14:paraId="6BBB0F6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0.07</w:t>
                  </w:r>
                </w:p>
              </w:tc>
              <w:tc>
                <w:tcPr>
                  <w:tcW w:w="619" w:type="pct"/>
                  <w:tcBorders>
                    <w:tl2br w:val="nil"/>
                    <w:tr2bl w:val="nil"/>
                  </w:tcBorders>
                  <w:shd w:val="clear" w:color="auto" w:fill="auto"/>
                  <w:vAlign w:val="center"/>
                </w:tcPr>
                <w:p w14:paraId="7FE39C2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135</w:t>
                  </w:r>
                </w:p>
              </w:tc>
              <w:tc>
                <w:tcPr>
                  <w:tcW w:w="401" w:type="pct"/>
                  <w:tcBorders>
                    <w:tl2br w:val="nil"/>
                    <w:tr2bl w:val="nil"/>
                  </w:tcBorders>
                  <w:shd w:val="clear" w:color="auto" w:fill="auto"/>
                  <w:vAlign w:val="center"/>
                </w:tcPr>
                <w:p w14:paraId="3380344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E8B5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4E8C941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二噁英类</w:t>
                  </w:r>
                </w:p>
              </w:tc>
              <w:tc>
                <w:tcPr>
                  <w:tcW w:w="677" w:type="pct"/>
                  <w:tcBorders>
                    <w:tl2br w:val="nil"/>
                    <w:tr2bl w:val="nil"/>
                  </w:tcBorders>
                  <w:shd w:val="clear" w:color="auto" w:fill="auto"/>
                  <w:vAlign w:val="center"/>
                </w:tcPr>
                <w:p w14:paraId="08ED753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ngTEQ/kg</w:t>
                  </w:r>
                </w:p>
              </w:tc>
              <w:tc>
                <w:tcPr>
                  <w:tcW w:w="939" w:type="pct"/>
                  <w:tcBorders>
                    <w:tl2br w:val="nil"/>
                    <w:tr2bl w:val="nil"/>
                  </w:tcBorders>
                  <w:shd w:val="clear" w:color="auto" w:fill="auto"/>
                  <w:vAlign w:val="center"/>
                </w:tcPr>
                <w:p w14:paraId="48A9002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0.043</w:t>
                  </w:r>
                </w:p>
              </w:tc>
              <w:tc>
                <w:tcPr>
                  <w:tcW w:w="786" w:type="pct"/>
                  <w:tcBorders>
                    <w:tl2br w:val="nil"/>
                    <w:tr2bl w:val="nil"/>
                  </w:tcBorders>
                  <w:shd w:val="clear" w:color="auto" w:fill="auto"/>
                  <w:vAlign w:val="center"/>
                </w:tcPr>
                <w:p w14:paraId="13815A4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0.023</w:t>
                  </w:r>
                </w:p>
              </w:tc>
              <w:tc>
                <w:tcPr>
                  <w:tcW w:w="791" w:type="pct"/>
                  <w:tcBorders>
                    <w:tl2br w:val="nil"/>
                    <w:tr2bl w:val="nil"/>
                  </w:tcBorders>
                  <w:shd w:val="clear" w:color="auto" w:fill="auto"/>
                  <w:vAlign w:val="center"/>
                </w:tcPr>
                <w:p w14:paraId="7B2CC6D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0.022</w:t>
                  </w:r>
                </w:p>
              </w:tc>
              <w:tc>
                <w:tcPr>
                  <w:tcW w:w="619" w:type="pct"/>
                  <w:tcBorders>
                    <w:tl2br w:val="nil"/>
                    <w:tr2bl w:val="nil"/>
                  </w:tcBorders>
                  <w:shd w:val="clear" w:color="auto" w:fill="auto"/>
                  <w:vAlign w:val="center"/>
                </w:tcPr>
                <w:p w14:paraId="33CAE46A">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40</w:t>
                  </w:r>
                </w:p>
              </w:tc>
              <w:tc>
                <w:tcPr>
                  <w:tcW w:w="401" w:type="pct"/>
                  <w:tcBorders>
                    <w:tl2br w:val="nil"/>
                    <w:tr2bl w:val="nil"/>
                  </w:tcBorders>
                  <w:shd w:val="clear" w:color="auto" w:fill="auto"/>
                  <w:vAlign w:val="center"/>
                </w:tcPr>
                <w:p w14:paraId="0813EF56">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286E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604ACC4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pH</w:t>
                  </w:r>
                </w:p>
              </w:tc>
              <w:tc>
                <w:tcPr>
                  <w:tcW w:w="677" w:type="pct"/>
                  <w:tcBorders>
                    <w:tl2br w:val="nil"/>
                    <w:tr2bl w:val="nil"/>
                  </w:tcBorders>
                  <w:shd w:val="clear" w:color="auto" w:fill="auto"/>
                  <w:vAlign w:val="center"/>
                </w:tcPr>
                <w:p w14:paraId="7343C35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无量纲</w:t>
                  </w:r>
                </w:p>
              </w:tc>
              <w:tc>
                <w:tcPr>
                  <w:tcW w:w="939" w:type="pct"/>
                  <w:tcBorders>
                    <w:tl2br w:val="nil"/>
                    <w:tr2bl w:val="nil"/>
                  </w:tcBorders>
                  <w:shd w:val="clear" w:color="auto" w:fill="auto"/>
                  <w:vAlign w:val="center"/>
                </w:tcPr>
                <w:p w14:paraId="14D89C9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8.32</w:t>
                  </w:r>
                </w:p>
              </w:tc>
              <w:tc>
                <w:tcPr>
                  <w:tcW w:w="786" w:type="pct"/>
                  <w:tcBorders>
                    <w:tl2br w:val="nil"/>
                    <w:tr2bl w:val="nil"/>
                  </w:tcBorders>
                  <w:shd w:val="clear" w:color="auto" w:fill="auto"/>
                  <w:vAlign w:val="center"/>
                </w:tcPr>
                <w:p w14:paraId="7C4668E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8.28</w:t>
                  </w:r>
                </w:p>
              </w:tc>
              <w:tc>
                <w:tcPr>
                  <w:tcW w:w="791" w:type="pct"/>
                  <w:tcBorders>
                    <w:tl2br w:val="nil"/>
                    <w:tr2bl w:val="nil"/>
                  </w:tcBorders>
                  <w:shd w:val="clear" w:color="auto" w:fill="auto"/>
                  <w:vAlign w:val="center"/>
                </w:tcPr>
                <w:p w14:paraId="7A0F386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8.30</w:t>
                  </w:r>
                </w:p>
              </w:tc>
              <w:tc>
                <w:tcPr>
                  <w:tcW w:w="619" w:type="pct"/>
                  <w:tcBorders>
                    <w:tl2br w:val="nil"/>
                    <w:tr2bl w:val="nil"/>
                  </w:tcBorders>
                  <w:shd w:val="clear" w:color="auto" w:fill="auto"/>
                  <w:vAlign w:val="center"/>
                </w:tcPr>
                <w:p w14:paraId="0FA90E4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01" w:type="pct"/>
                  <w:tcBorders>
                    <w:tl2br w:val="nil"/>
                    <w:tr2bl w:val="nil"/>
                  </w:tcBorders>
                  <w:shd w:val="clear" w:color="auto" w:fill="auto"/>
                  <w:vAlign w:val="center"/>
                </w:tcPr>
                <w:p w14:paraId="66DB6DF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1E2B2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54F1CBC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锌</w:t>
                  </w:r>
                </w:p>
              </w:tc>
              <w:tc>
                <w:tcPr>
                  <w:tcW w:w="677" w:type="pct"/>
                  <w:tcBorders>
                    <w:tl2br w:val="nil"/>
                    <w:tr2bl w:val="nil"/>
                  </w:tcBorders>
                  <w:shd w:val="clear" w:color="auto" w:fill="auto"/>
                  <w:vAlign w:val="center"/>
                </w:tcPr>
                <w:p w14:paraId="6814B69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27B4084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38</w:t>
                  </w:r>
                </w:p>
              </w:tc>
              <w:tc>
                <w:tcPr>
                  <w:tcW w:w="786" w:type="pct"/>
                  <w:tcBorders>
                    <w:tl2br w:val="nil"/>
                    <w:tr2bl w:val="nil"/>
                  </w:tcBorders>
                  <w:shd w:val="clear" w:color="auto" w:fill="auto"/>
                  <w:vAlign w:val="center"/>
                </w:tcPr>
                <w:p w14:paraId="34CF6B4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36</w:t>
                  </w:r>
                </w:p>
              </w:tc>
              <w:tc>
                <w:tcPr>
                  <w:tcW w:w="791" w:type="pct"/>
                  <w:tcBorders>
                    <w:tl2br w:val="nil"/>
                    <w:tr2bl w:val="nil"/>
                  </w:tcBorders>
                  <w:shd w:val="clear" w:color="auto" w:fill="auto"/>
                  <w:vAlign w:val="center"/>
                </w:tcPr>
                <w:p w14:paraId="02541BF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32</w:t>
                  </w:r>
                </w:p>
              </w:tc>
              <w:tc>
                <w:tcPr>
                  <w:tcW w:w="619" w:type="pct"/>
                  <w:tcBorders>
                    <w:tl2br w:val="nil"/>
                    <w:tr2bl w:val="nil"/>
                  </w:tcBorders>
                  <w:shd w:val="clear" w:color="auto" w:fill="auto"/>
                  <w:vAlign w:val="center"/>
                </w:tcPr>
                <w:p w14:paraId="3EA964F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01" w:type="pct"/>
                  <w:tcBorders>
                    <w:tl2br w:val="nil"/>
                    <w:tr2bl w:val="nil"/>
                  </w:tcBorders>
                  <w:shd w:val="clear" w:color="auto" w:fill="auto"/>
                  <w:vAlign w:val="center"/>
                </w:tcPr>
                <w:p w14:paraId="066723C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2CD6A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30FD915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甲苯</w:t>
                  </w:r>
                </w:p>
              </w:tc>
              <w:tc>
                <w:tcPr>
                  <w:tcW w:w="677" w:type="pct"/>
                  <w:tcBorders>
                    <w:tl2br w:val="nil"/>
                    <w:tr2bl w:val="nil"/>
                  </w:tcBorders>
                  <w:shd w:val="clear" w:color="auto" w:fill="auto"/>
                  <w:vAlign w:val="center"/>
                </w:tcPr>
                <w:p w14:paraId="03D4094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479FBFA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786" w:type="pct"/>
                  <w:tcBorders>
                    <w:tl2br w:val="nil"/>
                    <w:tr2bl w:val="nil"/>
                  </w:tcBorders>
                  <w:shd w:val="clear" w:color="auto" w:fill="auto"/>
                  <w:vAlign w:val="center"/>
                </w:tcPr>
                <w:p w14:paraId="096D4FE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791" w:type="pct"/>
                  <w:tcBorders>
                    <w:tl2br w:val="nil"/>
                    <w:tr2bl w:val="nil"/>
                  </w:tcBorders>
                  <w:shd w:val="clear" w:color="auto" w:fill="auto"/>
                  <w:vAlign w:val="center"/>
                </w:tcPr>
                <w:p w14:paraId="3D32D97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619" w:type="pct"/>
                  <w:tcBorders>
                    <w:tl2br w:val="nil"/>
                    <w:tr2bl w:val="nil"/>
                  </w:tcBorders>
                  <w:shd w:val="clear" w:color="auto" w:fill="auto"/>
                  <w:vAlign w:val="center"/>
                </w:tcPr>
                <w:p w14:paraId="778349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1200</w:t>
                  </w:r>
                </w:p>
              </w:tc>
              <w:tc>
                <w:tcPr>
                  <w:tcW w:w="401" w:type="pct"/>
                  <w:tcBorders>
                    <w:tl2br w:val="nil"/>
                    <w:tr2bl w:val="nil"/>
                  </w:tcBorders>
                  <w:shd w:val="clear" w:color="auto" w:fill="auto"/>
                  <w:vAlign w:val="center"/>
                </w:tcPr>
                <w:p w14:paraId="1D1066F1">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DF2E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78AC8BC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邻二甲苯</w:t>
                  </w:r>
                </w:p>
              </w:tc>
              <w:tc>
                <w:tcPr>
                  <w:tcW w:w="677" w:type="pct"/>
                  <w:tcBorders>
                    <w:tl2br w:val="nil"/>
                    <w:tr2bl w:val="nil"/>
                  </w:tcBorders>
                  <w:shd w:val="clear" w:color="auto" w:fill="auto"/>
                  <w:vAlign w:val="center"/>
                </w:tcPr>
                <w:p w14:paraId="6D08473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49B7B09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786" w:type="pct"/>
                  <w:tcBorders>
                    <w:tl2br w:val="nil"/>
                    <w:tr2bl w:val="nil"/>
                  </w:tcBorders>
                  <w:shd w:val="clear" w:color="auto" w:fill="auto"/>
                  <w:vAlign w:val="center"/>
                </w:tcPr>
                <w:p w14:paraId="1C682F0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791" w:type="pct"/>
                  <w:tcBorders>
                    <w:tl2br w:val="nil"/>
                    <w:tr2bl w:val="nil"/>
                  </w:tcBorders>
                  <w:shd w:val="clear" w:color="auto" w:fill="auto"/>
                  <w:vAlign w:val="center"/>
                </w:tcPr>
                <w:p w14:paraId="6B209BE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619" w:type="pct"/>
                  <w:tcBorders>
                    <w:tl2br w:val="nil"/>
                    <w:tr2bl w:val="nil"/>
                  </w:tcBorders>
                  <w:shd w:val="clear" w:color="auto" w:fill="auto"/>
                  <w:vAlign w:val="center"/>
                </w:tcPr>
                <w:p w14:paraId="3D994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570</w:t>
                  </w:r>
                </w:p>
              </w:tc>
              <w:tc>
                <w:tcPr>
                  <w:tcW w:w="401" w:type="pct"/>
                  <w:tcBorders>
                    <w:tl2br w:val="nil"/>
                    <w:tr2bl w:val="nil"/>
                  </w:tcBorders>
                  <w:shd w:val="clear" w:color="auto" w:fill="auto"/>
                  <w:vAlign w:val="center"/>
                </w:tcPr>
                <w:p w14:paraId="111D5B0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6607F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7C12427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间二甲苯+对二甲苯</w:t>
                  </w:r>
                </w:p>
              </w:tc>
              <w:tc>
                <w:tcPr>
                  <w:tcW w:w="677" w:type="pct"/>
                  <w:tcBorders>
                    <w:tl2br w:val="nil"/>
                    <w:tr2bl w:val="nil"/>
                  </w:tcBorders>
                  <w:shd w:val="clear" w:color="auto" w:fill="auto"/>
                  <w:vAlign w:val="center"/>
                </w:tcPr>
                <w:p w14:paraId="346019E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939" w:type="pct"/>
                  <w:tcBorders>
                    <w:tl2br w:val="nil"/>
                    <w:tr2bl w:val="nil"/>
                  </w:tcBorders>
                  <w:shd w:val="clear" w:color="auto" w:fill="auto"/>
                  <w:vAlign w:val="center"/>
                </w:tcPr>
                <w:p w14:paraId="76D1DEB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786" w:type="pct"/>
                  <w:tcBorders>
                    <w:tl2br w:val="nil"/>
                    <w:tr2bl w:val="nil"/>
                  </w:tcBorders>
                  <w:shd w:val="clear" w:color="auto" w:fill="auto"/>
                  <w:vAlign w:val="center"/>
                </w:tcPr>
                <w:p w14:paraId="55F2D3E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791" w:type="pct"/>
                  <w:tcBorders>
                    <w:tl2br w:val="nil"/>
                    <w:tr2bl w:val="nil"/>
                  </w:tcBorders>
                  <w:shd w:val="clear" w:color="auto" w:fill="auto"/>
                  <w:vAlign w:val="center"/>
                </w:tcPr>
                <w:p w14:paraId="55F30B1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619" w:type="pct"/>
                  <w:tcBorders>
                    <w:tl2br w:val="nil"/>
                    <w:tr2bl w:val="nil"/>
                  </w:tcBorders>
                  <w:shd w:val="clear" w:color="auto" w:fill="auto"/>
                  <w:vAlign w:val="center"/>
                </w:tcPr>
                <w:p w14:paraId="33BE77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640</w:t>
                  </w:r>
                </w:p>
              </w:tc>
              <w:tc>
                <w:tcPr>
                  <w:tcW w:w="401" w:type="pct"/>
                  <w:tcBorders>
                    <w:tl2br w:val="nil"/>
                    <w:tr2bl w:val="nil"/>
                  </w:tcBorders>
                  <w:shd w:val="clear" w:color="auto" w:fill="auto"/>
                  <w:vAlign w:val="center"/>
                </w:tcPr>
                <w:p w14:paraId="0EAA45B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A70F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86" w:type="pct"/>
                  <w:tcBorders>
                    <w:tl2br w:val="nil"/>
                    <w:tr2bl w:val="nil"/>
                  </w:tcBorders>
                  <w:shd w:val="clear" w:color="auto" w:fill="auto"/>
                  <w:vAlign w:val="center"/>
                </w:tcPr>
                <w:p w14:paraId="01B4CD95">
                  <w:pPr>
                    <w:keepNext w:val="0"/>
                    <w:keepLines w:val="0"/>
                    <w:pageBreakBefore w:val="0"/>
                    <w:widowControl w:val="0"/>
                    <w:suppressLineNumbers w:val="0"/>
                    <w:kinsoku/>
                    <w:overflowPunct/>
                    <w:bidi w:val="0"/>
                    <w:spacing w:before="0" w:beforeAutospacing="0" w:after="0" w:afterLines="0" w:afterAutospacing="0"/>
                    <w:ind w:left="0" w:right="0" w:firstLine="420" w:firstLineChars="20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备注</w:t>
                  </w:r>
                </w:p>
              </w:tc>
              <w:tc>
                <w:tcPr>
                  <w:tcW w:w="4213" w:type="pct"/>
                  <w:gridSpan w:val="6"/>
                  <w:tcBorders>
                    <w:tl2br w:val="nil"/>
                    <w:tr2bl w:val="nil"/>
                  </w:tcBorders>
                  <w:shd w:val="clear" w:color="auto" w:fill="auto"/>
                  <w:vAlign w:val="center"/>
                </w:tcPr>
                <w:p w14:paraId="0ED82161">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“&lt;”表示低于方法检出限</w:t>
                  </w:r>
                  <w:r>
                    <w:rPr>
                      <w:rFonts w:hint="eastAsia" w:ascii="Times New Roman" w:hAnsi="Times New Roman" w:eastAsia="宋体" w:cs="Times New Roman"/>
                      <w:color w:val="auto"/>
                      <w:sz w:val="21"/>
                      <w:szCs w:val="21"/>
                      <w:highlight w:val="none"/>
                      <w:lang w:val="en-US" w:eastAsia="zh-CN"/>
                    </w:rPr>
                    <w:t>，“ND”表示未检出</w:t>
                  </w:r>
                  <w:r>
                    <w:rPr>
                      <w:rFonts w:hint="default" w:ascii="Times New Roman" w:hAnsi="Times New Roman" w:eastAsia="宋体" w:cs="Times New Roman"/>
                      <w:color w:val="auto"/>
                      <w:sz w:val="21"/>
                      <w:szCs w:val="21"/>
                      <w:highlight w:val="none"/>
                      <w:lang w:val="en-US" w:eastAsia="zh-CN"/>
                    </w:rPr>
                    <w:t>；</w:t>
                  </w:r>
                </w:p>
              </w:tc>
            </w:tr>
          </w:tbl>
          <w:p w14:paraId="5AD3B7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表3-7土壤检测结果表（3）</w:t>
            </w:r>
          </w:p>
          <w:tbl>
            <w:tblPr>
              <w:tblStyle w:val="25"/>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12"/>
              <w:gridCol w:w="1642"/>
              <w:gridCol w:w="1155"/>
              <w:gridCol w:w="1303"/>
              <w:gridCol w:w="1308"/>
              <w:gridCol w:w="1032"/>
              <w:gridCol w:w="741"/>
            </w:tblGrid>
            <w:tr w14:paraId="25DF6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vMerge w:val="restart"/>
                  <w:tcBorders>
                    <w:tl2br w:val="nil"/>
                    <w:tr2bl w:val="nil"/>
                  </w:tcBorders>
                  <w:vAlign w:val="center"/>
                </w:tcPr>
                <w:p w14:paraId="2850A606">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color w:val="auto"/>
                      <w:position w:val="-10"/>
                      <w:sz w:val="21"/>
                      <w:szCs w:val="21"/>
                      <w:highlight w:val="none"/>
                      <w:lang w:val="en-US" w:eastAsia="zh-CN"/>
                    </w:rPr>
                    <w:t>检测项目</w:t>
                  </w:r>
                </w:p>
              </w:tc>
              <w:tc>
                <w:tcPr>
                  <w:tcW w:w="990" w:type="pct"/>
                  <w:vMerge w:val="restart"/>
                  <w:tcBorders>
                    <w:tl2br w:val="nil"/>
                    <w:tr2bl w:val="nil"/>
                  </w:tcBorders>
                  <w:vAlign w:val="center"/>
                </w:tcPr>
                <w:p w14:paraId="654010EF">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leftChars="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color w:val="auto"/>
                      <w:position w:val="-10"/>
                      <w:sz w:val="21"/>
                      <w:szCs w:val="21"/>
                      <w:highlight w:val="none"/>
                      <w:lang w:val="en-US" w:eastAsia="zh-CN"/>
                    </w:rPr>
                    <w:t>单位</w:t>
                  </w:r>
                </w:p>
              </w:tc>
              <w:tc>
                <w:tcPr>
                  <w:tcW w:w="2271" w:type="pct"/>
                  <w:gridSpan w:val="3"/>
                  <w:tcBorders>
                    <w:tl2br w:val="nil"/>
                    <w:tr2bl w:val="nil"/>
                  </w:tcBorders>
                  <w:vAlign w:val="center"/>
                </w:tcPr>
                <w:p w14:paraId="05E06499">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color w:val="auto"/>
                      <w:position w:val="-10"/>
                      <w:sz w:val="21"/>
                      <w:szCs w:val="21"/>
                      <w:highlight w:val="none"/>
                      <w:lang w:val="en-US" w:eastAsia="zh-CN"/>
                    </w:rPr>
                    <w:t>分析结果</w:t>
                  </w:r>
                </w:p>
              </w:tc>
              <w:tc>
                <w:tcPr>
                  <w:tcW w:w="622" w:type="pct"/>
                  <w:vMerge w:val="restart"/>
                  <w:tcBorders>
                    <w:tl2br w:val="nil"/>
                    <w:tr2bl w:val="nil"/>
                  </w:tcBorders>
                  <w:vAlign w:val="center"/>
                </w:tcPr>
                <w:p w14:paraId="70F86247">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标准限值</w:t>
                  </w:r>
                </w:p>
              </w:tc>
              <w:tc>
                <w:tcPr>
                  <w:tcW w:w="445" w:type="pct"/>
                  <w:vMerge w:val="restart"/>
                  <w:tcBorders>
                    <w:tl2br w:val="nil"/>
                    <w:tr2bl w:val="nil"/>
                  </w:tcBorders>
                  <w:vAlign w:val="center"/>
                </w:tcPr>
                <w:p w14:paraId="60C9B6FA">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达标情况</w:t>
                  </w:r>
                </w:p>
              </w:tc>
            </w:tr>
            <w:tr w14:paraId="37C46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vMerge w:val="continue"/>
                  <w:tcBorders>
                    <w:tl2br w:val="nil"/>
                    <w:tr2bl w:val="nil"/>
                  </w:tcBorders>
                  <w:vAlign w:val="center"/>
                </w:tcPr>
                <w:p w14:paraId="7A2B1882">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c>
                <w:tcPr>
                  <w:tcW w:w="990" w:type="pct"/>
                  <w:vMerge w:val="continue"/>
                  <w:tcBorders>
                    <w:tl2br w:val="nil"/>
                    <w:tr2bl w:val="nil"/>
                  </w:tcBorders>
                  <w:vAlign w:val="center"/>
                </w:tcPr>
                <w:p w14:paraId="3033B2D4">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c>
                <w:tcPr>
                  <w:tcW w:w="2271" w:type="pct"/>
                  <w:gridSpan w:val="3"/>
                  <w:tcBorders>
                    <w:tl2br w:val="nil"/>
                    <w:tr2bl w:val="nil"/>
                  </w:tcBorders>
                  <w:vAlign w:val="center"/>
                </w:tcPr>
                <w:p w14:paraId="6101F538">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color w:val="auto"/>
                      <w:position w:val="-10"/>
                      <w:sz w:val="21"/>
                      <w:szCs w:val="21"/>
                      <w:highlight w:val="none"/>
                      <w:lang w:val="en-US" w:eastAsia="zh-CN"/>
                    </w:rPr>
                    <w:t>19#厂区预留空地</w:t>
                  </w:r>
                </w:p>
                <w:p w14:paraId="6DB61571">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position w:val="-10"/>
                      <w:sz w:val="21"/>
                      <w:szCs w:val="21"/>
                      <w:highlight w:val="none"/>
                      <w:lang w:val="en-US" w:eastAsia="zh-CN"/>
                    </w:rPr>
                  </w:pPr>
                  <w:r>
                    <w:rPr>
                      <w:rFonts w:hint="default" w:ascii="Times New Roman" w:hAnsi="Times New Roman" w:eastAsia="宋体" w:cs="Times New Roman"/>
                      <w:color w:val="auto"/>
                      <w:position w:val="-10"/>
                      <w:sz w:val="21"/>
                      <w:szCs w:val="21"/>
                      <w:highlight w:val="none"/>
                      <w:lang w:val="en-US" w:eastAsia="zh-CN"/>
                    </w:rPr>
                    <w:t>（106.7787949937°E，39.8982499570°N）</w:t>
                  </w:r>
                </w:p>
              </w:tc>
              <w:tc>
                <w:tcPr>
                  <w:tcW w:w="622" w:type="pct"/>
                  <w:vMerge w:val="continue"/>
                  <w:tcBorders>
                    <w:tl2br w:val="nil"/>
                    <w:tr2bl w:val="nil"/>
                  </w:tcBorders>
                  <w:vAlign w:val="center"/>
                </w:tcPr>
                <w:p w14:paraId="25729D67">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c>
                <w:tcPr>
                  <w:tcW w:w="445" w:type="pct"/>
                  <w:vMerge w:val="continue"/>
                  <w:tcBorders>
                    <w:tl2br w:val="nil"/>
                    <w:tr2bl w:val="nil"/>
                  </w:tcBorders>
                  <w:vAlign w:val="center"/>
                </w:tcPr>
                <w:p w14:paraId="00CA224F">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r>
            <w:tr w14:paraId="7D5DA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vMerge w:val="continue"/>
                  <w:tcBorders>
                    <w:tl2br w:val="nil"/>
                    <w:tr2bl w:val="nil"/>
                  </w:tcBorders>
                  <w:vAlign w:val="center"/>
                </w:tcPr>
                <w:p w14:paraId="15D7F5D7">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rPr>
                  </w:pPr>
                </w:p>
              </w:tc>
              <w:tc>
                <w:tcPr>
                  <w:tcW w:w="990" w:type="pct"/>
                  <w:vMerge w:val="continue"/>
                  <w:tcBorders>
                    <w:tl2br w:val="nil"/>
                    <w:tr2bl w:val="nil"/>
                  </w:tcBorders>
                  <w:shd w:val="clear" w:color="auto" w:fill="auto"/>
                  <w:vAlign w:val="center"/>
                </w:tcPr>
                <w:p w14:paraId="59759A56">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rPr>
                  </w:pPr>
                </w:p>
              </w:tc>
              <w:tc>
                <w:tcPr>
                  <w:tcW w:w="696" w:type="pct"/>
                  <w:tcBorders>
                    <w:tl2br w:val="nil"/>
                    <w:tr2bl w:val="nil"/>
                  </w:tcBorders>
                  <w:shd w:val="clear" w:color="auto" w:fill="auto"/>
                  <w:vAlign w:val="center"/>
                </w:tcPr>
                <w:p w14:paraId="0F5BAF1B">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表层样（0-0.5m）</w:t>
                  </w:r>
                </w:p>
              </w:tc>
              <w:tc>
                <w:tcPr>
                  <w:tcW w:w="786" w:type="pct"/>
                  <w:tcBorders>
                    <w:tl2br w:val="nil"/>
                    <w:tr2bl w:val="nil"/>
                  </w:tcBorders>
                  <w:shd w:val="clear" w:color="auto" w:fill="auto"/>
                  <w:vAlign w:val="center"/>
                </w:tcPr>
                <w:p w14:paraId="7BAB576B">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中层样（0.5-1.5m）</w:t>
                  </w:r>
                </w:p>
              </w:tc>
              <w:tc>
                <w:tcPr>
                  <w:tcW w:w="788" w:type="pct"/>
                  <w:tcBorders>
                    <w:tl2br w:val="nil"/>
                    <w:tr2bl w:val="nil"/>
                  </w:tcBorders>
                  <w:shd w:val="clear" w:color="auto" w:fill="auto"/>
                  <w:vAlign w:val="center"/>
                </w:tcPr>
                <w:p w14:paraId="7C9F17E7">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深层样（1.5-3.0m）</w:t>
                  </w:r>
                </w:p>
              </w:tc>
              <w:tc>
                <w:tcPr>
                  <w:tcW w:w="622" w:type="pct"/>
                  <w:vMerge w:val="continue"/>
                  <w:tcBorders>
                    <w:tl2br w:val="nil"/>
                    <w:tr2bl w:val="nil"/>
                  </w:tcBorders>
                  <w:vAlign w:val="center"/>
                </w:tcPr>
                <w:p w14:paraId="2FC5E370">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c>
                <w:tcPr>
                  <w:tcW w:w="445" w:type="pct"/>
                  <w:vMerge w:val="continue"/>
                  <w:tcBorders>
                    <w:tl2br w:val="nil"/>
                    <w:tr2bl w:val="nil"/>
                  </w:tcBorders>
                  <w:vAlign w:val="center"/>
                </w:tcPr>
                <w:p w14:paraId="0F0B70F5">
                  <w:pPr>
                    <w:keepNext w:val="0"/>
                    <w:keepLines w:val="0"/>
                    <w:pageBreakBefore w:val="0"/>
                    <w:widowControl/>
                    <w:suppressLineNumbers w:val="0"/>
                    <w:shd w:val="clear"/>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position w:val="-10"/>
                      <w:sz w:val="21"/>
                      <w:szCs w:val="21"/>
                      <w:highlight w:val="none"/>
                      <w:lang w:val="en-US" w:eastAsia="zh-CN"/>
                    </w:rPr>
                  </w:pPr>
                </w:p>
              </w:tc>
            </w:tr>
            <w:tr w14:paraId="54680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vAlign w:val="center"/>
                </w:tcPr>
                <w:p w14:paraId="0F6225B3">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砷</w:t>
                  </w:r>
                </w:p>
              </w:tc>
              <w:tc>
                <w:tcPr>
                  <w:tcW w:w="990" w:type="pct"/>
                  <w:tcBorders>
                    <w:tl2br w:val="nil"/>
                    <w:tr2bl w:val="nil"/>
                  </w:tcBorders>
                  <w:shd w:val="clear" w:color="auto" w:fill="auto"/>
                  <w:vAlign w:val="center"/>
                </w:tcPr>
                <w:p w14:paraId="2BE7A3F1">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18D105D1">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8.89</w:t>
                  </w:r>
                </w:p>
              </w:tc>
              <w:tc>
                <w:tcPr>
                  <w:tcW w:w="786" w:type="pct"/>
                  <w:tcBorders>
                    <w:tl2br w:val="nil"/>
                    <w:tr2bl w:val="nil"/>
                  </w:tcBorders>
                  <w:shd w:val="clear" w:color="auto" w:fill="auto"/>
                  <w:vAlign w:val="center"/>
                </w:tcPr>
                <w:p w14:paraId="11636390">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7.04</w:t>
                  </w:r>
                </w:p>
              </w:tc>
              <w:tc>
                <w:tcPr>
                  <w:tcW w:w="788" w:type="pct"/>
                  <w:tcBorders>
                    <w:tl2br w:val="nil"/>
                    <w:tr2bl w:val="nil"/>
                  </w:tcBorders>
                  <w:shd w:val="clear" w:color="auto" w:fill="auto"/>
                  <w:vAlign w:val="center"/>
                </w:tcPr>
                <w:p w14:paraId="272E5853">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8.19</w:t>
                  </w:r>
                </w:p>
              </w:tc>
              <w:tc>
                <w:tcPr>
                  <w:tcW w:w="622" w:type="pct"/>
                  <w:tcBorders>
                    <w:tl2br w:val="nil"/>
                    <w:tr2bl w:val="nil"/>
                  </w:tcBorders>
                  <w:vAlign w:val="center"/>
                </w:tcPr>
                <w:p w14:paraId="1A604D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60</w:t>
                  </w:r>
                </w:p>
              </w:tc>
              <w:tc>
                <w:tcPr>
                  <w:tcW w:w="445" w:type="pct"/>
                  <w:tcBorders>
                    <w:tl2br w:val="nil"/>
                    <w:tr2bl w:val="nil"/>
                  </w:tcBorders>
                  <w:vAlign w:val="center"/>
                </w:tcPr>
                <w:p w14:paraId="68607668">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DD4C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vAlign w:val="center"/>
                </w:tcPr>
                <w:p w14:paraId="185B13A7">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镉</w:t>
                  </w:r>
                </w:p>
              </w:tc>
              <w:tc>
                <w:tcPr>
                  <w:tcW w:w="990" w:type="pct"/>
                  <w:tcBorders>
                    <w:tl2br w:val="nil"/>
                    <w:tr2bl w:val="nil"/>
                  </w:tcBorders>
                  <w:shd w:val="clear" w:color="auto" w:fill="auto"/>
                  <w:vAlign w:val="center"/>
                </w:tcPr>
                <w:p w14:paraId="51BD8F69">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01FF01F3">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0.20</w:t>
                  </w:r>
                </w:p>
              </w:tc>
              <w:tc>
                <w:tcPr>
                  <w:tcW w:w="786" w:type="pct"/>
                  <w:tcBorders>
                    <w:tl2br w:val="nil"/>
                    <w:tr2bl w:val="nil"/>
                  </w:tcBorders>
                  <w:shd w:val="clear" w:color="auto" w:fill="auto"/>
                  <w:vAlign w:val="center"/>
                </w:tcPr>
                <w:p w14:paraId="1F49756A">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0.20</w:t>
                  </w:r>
                </w:p>
              </w:tc>
              <w:tc>
                <w:tcPr>
                  <w:tcW w:w="788" w:type="pct"/>
                  <w:tcBorders>
                    <w:tl2br w:val="nil"/>
                    <w:tr2bl w:val="nil"/>
                  </w:tcBorders>
                  <w:shd w:val="clear" w:color="auto" w:fill="auto"/>
                  <w:vAlign w:val="center"/>
                </w:tcPr>
                <w:p w14:paraId="361B0CF2">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0.20</w:t>
                  </w:r>
                </w:p>
              </w:tc>
              <w:tc>
                <w:tcPr>
                  <w:tcW w:w="622" w:type="pct"/>
                  <w:tcBorders>
                    <w:tl2br w:val="nil"/>
                    <w:tr2bl w:val="nil"/>
                  </w:tcBorders>
                  <w:vAlign w:val="center"/>
                </w:tcPr>
                <w:p w14:paraId="1AAB53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65</w:t>
                  </w:r>
                </w:p>
              </w:tc>
              <w:tc>
                <w:tcPr>
                  <w:tcW w:w="445" w:type="pct"/>
                  <w:tcBorders>
                    <w:tl2br w:val="nil"/>
                    <w:tr2bl w:val="nil"/>
                  </w:tcBorders>
                  <w:vAlign w:val="center"/>
                </w:tcPr>
                <w:p w14:paraId="438EDD06">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6411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vAlign w:val="center"/>
                </w:tcPr>
                <w:p w14:paraId="38FF0EBE">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六价铬</w:t>
                  </w:r>
                </w:p>
              </w:tc>
              <w:tc>
                <w:tcPr>
                  <w:tcW w:w="990" w:type="pct"/>
                  <w:tcBorders>
                    <w:tl2br w:val="nil"/>
                    <w:tr2bl w:val="nil"/>
                  </w:tcBorders>
                  <w:shd w:val="clear" w:color="auto" w:fill="auto"/>
                  <w:vAlign w:val="center"/>
                </w:tcPr>
                <w:p w14:paraId="0CA24986">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4A2D9630">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&lt;0.5</w:t>
                  </w:r>
                </w:p>
              </w:tc>
              <w:tc>
                <w:tcPr>
                  <w:tcW w:w="786" w:type="pct"/>
                  <w:tcBorders>
                    <w:tl2br w:val="nil"/>
                    <w:tr2bl w:val="nil"/>
                  </w:tcBorders>
                  <w:shd w:val="clear" w:color="auto" w:fill="auto"/>
                  <w:vAlign w:val="center"/>
                </w:tcPr>
                <w:p w14:paraId="6875C177">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&lt;0.5</w:t>
                  </w:r>
                </w:p>
              </w:tc>
              <w:tc>
                <w:tcPr>
                  <w:tcW w:w="788" w:type="pct"/>
                  <w:tcBorders>
                    <w:tl2br w:val="nil"/>
                    <w:tr2bl w:val="nil"/>
                  </w:tcBorders>
                  <w:shd w:val="clear" w:color="auto" w:fill="auto"/>
                  <w:vAlign w:val="center"/>
                </w:tcPr>
                <w:p w14:paraId="3132FADD">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&lt;0.5</w:t>
                  </w:r>
                </w:p>
              </w:tc>
              <w:tc>
                <w:tcPr>
                  <w:tcW w:w="622" w:type="pct"/>
                  <w:tcBorders>
                    <w:tl2br w:val="nil"/>
                    <w:tr2bl w:val="nil"/>
                  </w:tcBorders>
                  <w:vAlign w:val="center"/>
                </w:tcPr>
                <w:p w14:paraId="66A1EC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5.7</w:t>
                  </w:r>
                </w:p>
              </w:tc>
              <w:tc>
                <w:tcPr>
                  <w:tcW w:w="445" w:type="pct"/>
                  <w:tcBorders>
                    <w:tl2br w:val="nil"/>
                    <w:tr2bl w:val="nil"/>
                  </w:tcBorders>
                  <w:vAlign w:val="center"/>
                </w:tcPr>
                <w:p w14:paraId="693C5249">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D005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vAlign w:val="center"/>
                </w:tcPr>
                <w:p w14:paraId="3711F4F4">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铜</w:t>
                  </w:r>
                </w:p>
              </w:tc>
              <w:tc>
                <w:tcPr>
                  <w:tcW w:w="990" w:type="pct"/>
                  <w:tcBorders>
                    <w:tl2br w:val="nil"/>
                    <w:tr2bl w:val="nil"/>
                  </w:tcBorders>
                  <w:shd w:val="clear" w:color="auto" w:fill="auto"/>
                  <w:vAlign w:val="center"/>
                </w:tcPr>
                <w:p w14:paraId="6E212A44">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3C182433">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w:t>
                  </w:r>
                </w:p>
              </w:tc>
              <w:tc>
                <w:tcPr>
                  <w:tcW w:w="786" w:type="pct"/>
                  <w:tcBorders>
                    <w:tl2br w:val="nil"/>
                    <w:tr2bl w:val="nil"/>
                  </w:tcBorders>
                  <w:shd w:val="clear" w:color="auto" w:fill="auto"/>
                  <w:vAlign w:val="center"/>
                </w:tcPr>
                <w:p w14:paraId="5295A6DE">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788" w:type="pct"/>
                  <w:tcBorders>
                    <w:tl2br w:val="nil"/>
                    <w:tr2bl w:val="nil"/>
                  </w:tcBorders>
                  <w:shd w:val="clear" w:color="auto" w:fill="auto"/>
                  <w:vAlign w:val="center"/>
                </w:tcPr>
                <w:p w14:paraId="68426A2B">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w:t>
                  </w:r>
                </w:p>
              </w:tc>
              <w:tc>
                <w:tcPr>
                  <w:tcW w:w="622" w:type="pct"/>
                  <w:tcBorders>
                    <w:tl2br w:val="nil"/>
                    <w:tr2bl w:val="nil"/>
                  </w:tcBorders>
                  <w:vAlign w:val="center"/>
                </w:tcPr>
                <w:p w14:paraId="269E8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18000</w:t>
                  </w:r>
                </w:p>
              </w:tc>
              <w:tc>
                <w:tcPr>
                  <w:tcW w:w="445" w:type="pct"/>
                  <w:tcBorders>
                    <w:tl2br w:val="nil"/>
                    <w:tr2bl w:val="nil"/>
                  </w:tcBorders>
                  <w:vAlign w:val="center"/>
                </w:tcPr>
                <w:p w14:paraId="7BFA105B">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1F288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vAlign w:val="center"/>
                </w:tcPr>
                <w:p w14:paraId="1527893C">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铅</w:t>
                  </w:r>
                </w:p>
              </w:tc>
              <w:tc>
                <w:tcPr>
                  <w:tcW w:w="990" w:type="pct"/>
                  <w:tcBorders>
                    <w:tl2br w:val="nil"/>
                    <w:tr2bl w:val="nil"/>
                  </w:tcBorders>
                  <w:shd w:val="clear" w:color="auto" w:fill="auto"/>
                  <w:vAlign w:val="center"/>
                </w:tcPr>
                <w:p w14:paraId="1D8950B2">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0E4CC711">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34</w:t>
                  </w:r>
                </w:p>
              </w:tc>
              <w:tc>
                <w:tcPr>
                  <w:tcW w:w="786" w:type="pct"/>
                  <w:tcBorders>
                    <w:tl2br w:val="nil"/>
                    <w:tr2bl w:val="nil"/>
                  </w:tcBorders>
                  <w:shd w:val="clear" w:color="auto" w:fill="auto"/>
                  <w:vAlign w:val="center"/>
                </w:tcPr>
                <w:p w14:paraId="5C42C96B">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32</w:t>
                  </w:r>
                </w:p>
              </w:tc>
              <w:tc>
                <w:tcPr>
                  <w:tcW w:w="788" w:type="pct"/>
                  <w:tcBorders>
                    <w:tl2br w:val="nil"/>
                    <w:tr2bl w:val="nil"/>
                  </w:tcBorders>
                  <w:shd w:val="clear" w:color="auto" w:fill="auto"/>
                  <w:vAlign w:val="center"/>
                </w:tcPr>
                <w:p w14:paraId="0EB8B0AD">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38</w:t>
                  </w:r>
                </w:p>
              </w:tc>
              <w:tc>
                <w:tcPr>
                  <w:tcW w:w="622" w:type="pct"/>
                  <w:tcBorders>
                    <w:tl2br w:val="nil"/>
                    <w:tr2bl w:val="nil"/>
                  </w:tcBorders>
                  <w:vAlign w:val="center"/>
                </w:tcPr>
                <w:p w14:paraId="31C859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800</w:t>
                  </w:r>
                </w:p>
              </w:tc>
              <w:tc>
                <w:tcPr>
                  <w:tcW w:w="445" w:type="pct"/>
                  <w:tcBorders>
                    <w:tl2br w:val="nil"/>
                    <w:tr2bl w:val="nil"/>
                  </w:tcBorders>
                  <w:vAlign w:val="center"/>
                </w:tcPr>
                <w:p w14:paraId="6333328A">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650C8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vAlign w:val="center"/>
                </w:tcPr>
                <w:p w14:paraId="5781BBF5">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镍</w:t>
                  </w:r>
                </w:p>
              </w:tc>
              <w:tc>
                <w:tcPr>
                  <w:tcW w:w="990" w:type="pct"/>
                  <w:tcBorders>
                    <w:tl2br w:val="nil"/>
                    <w:tr2bl w:val="nil"/>
                  </w:tcBorders>
                  <w:shd w:val="clear" w:color="auto" w:fill="auto"/>
                  <w:vAlign w:val="center"/>
                </w:tcPr>
                <w:p w14:paraId="3466C66D">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62D8E82C">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54</w:t>
                  </w:r>
                </w:p>
              </w:tc>
              <w:tc>
                <w:tcPr>
                  <w:tcW w:w="786" w:type="pct"/>
                  <w:tcBorders>
                    <w:tl2br w:val="nil"/>
                    <w:tr2bl w:val="nil"/>
                  </w:tcBorders>
                  <w:shd w:val="clear" w:color="auto" w:fill="auto"/>
                  <w:vAlign w:val="center"/>
                </w:tcPr>
                <w:p w14:paraId="7D395D4F">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42</w:t>
                  </w:r>
                </w:p>
              </w:tc>
              <w:tc>
                <w:tcPr>
                  <w:tcW w:w="788" w:type="pct"/>
                  <w:tcBorders>
                    <w:tl2br w:val="nil"/>
                    <w:tr2bl w:val="nil"/>
                  </w:tcBorders>
                  <w:shd w:val="clear" w:color="auto" w:fill="auto"/>
                  <w:vAlign w:val="center"/>
                </w:tcPr>
                <w:p w14:paraId="27DEC982">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54</w:t>
                  </w:r>
                </w:p>
              </w:tc>
              <w:tc>
                <w:tcPr>
                  <w:tcW w:w="622" w:type="pct"/>
                  <w:tcBorders>
                    <w:tl2br w:val="nil"/>
                    <w:tr2bl w:val="nil"/>
                  </w:tcBorders>
                  <w:vAlign w:val="center"/>
                </w:tcPr>
                <w:p w14:paraId="7DED623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900</w:t>
                  </w:r>
                </w:p>
              </w:tc>
              <w:tc>
                <w:tcPr>
                  <w:tcW w:w="445" w:type="pct"/>
                  <w:tcBorders>
                    <w:tl2br w:val="nil"/>
                    <w:tr2bl w:val="nil"/>
                  </w:tcBorders>
                  <w:vAlign w:val="center"/>
                </w:tcPr>
                <w:p w14:paraId="6DAC60E4">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4BD87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vAlign w:val="center"/>
                </w:tcPr>
                <w:p w14:paraId="4CE3E6EF">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汞</w:t>
                  </w:r>
                </w:p>
              </w:tc>
              <w:tc>
                <w:tcPr>
                  <w:tcW w:w="990" w:type="pct"/>
                  <w:tcBorders>
                    <w:tl2br w:val="nil"/>
                    <w:tr2bl w:val="nil"/>
                  </w:tcBorders>
                  <w:shd w:val="clear" w:color="auto" w:fill="auto"/>
                  <w:vAlign w:val="center"/>
                </w:tcPr>
                <w:p w14:paraId="34145BF9">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76E05A6A">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0.051</w:t>
                  </w:r>
                </w:p>
              </w:tc>
              <w:tc>
                <w:tcPr>
                  <w:tcW w:w="786" w:type="pct"/>
                  <w:tcBorders>
                    <w:tl2br w:val="nil"/>
                    <w:tr2bl w:val="nil"/>
                  </w:tcBorders>
                  <w:shd w:val="clear" w:color="auto" w:fill="auto"/>
                  <w:vAlign w:val="center"/>
                </w:tcPr>
                <w:p w14:paraId="083509D2">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0.067</w:t>
                  </w:r>
                </w:p>
              </w:tc>
              <w:tc>
                <w:tcPr>
                  <w:tcW w:w="788" w:type="pct"/>
                  <w:tcBorders>
                    <w:tl2br w:val="nil"/>
                    <w:tr2bl w:val="nil"/>
                  </w:tcBorders>
                  <w:shd w:val="clear" w:color="auto" w:fill="auto"/>
                  <w:vAlign w:val="center"/>
                </w:tcPr>
                <w:p w14:paraId="5A5D598E">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0.055</w:t>
                  </w:r>
                </w:p>
              </w:tc>
              <w:tc>
                <w:tcPr>
                  <w:tcW w:w="622" w:type="pct"/>
                  <w:tcBorders>
                    <w:tl2br w:val="nil"/>
                    <w:tr2bl w:val="nil"/>
                  </w:tcBorders>
                  <w:vAlign w:val="center"/>
                </w:tcPr>
                <w:p w14:paraId="302DF10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38</w:t>
                  </w:r>
                </w:p>
              </w:tc>
              <w:tc>
                <w:tcPr>
                  <w:tcW w:w="445" w:type="pct"/>
                  <w:tcBorders>
                    <w:tl2br w:val="nil"/>
                    <w:tr2bl w:val="nil"/>
                  </w:tcBorders>
                  <w:vAlign w:val="center"/>
                </w:tcPr>
                <w:p w14:paraId="61FA4271">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21572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shd w:val="clear" w:color="auto" w:fill="auto"/>
                  <w:vAlign w:val="center"/>
                </w:tcPr>
                <w:p w14:paraId="7B64EEC8">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石油烃</w:t>
                  </w:r>
                  <w:r>
                    <w:rPr>
                      <w:rFonts w:hint="default" w:ascii="Times New Roman" w:hAnsi="Times New Roman" w:eastAsia="宋体" w:cs="Times New Roman"/>
                      <w:color w:val="auto"/>
                      <w:kern w:val="2"/>
                      <w:sz w:val="21"/>
                      <w:szCs w:val="21"/>
                      <w:highlight w:val="none"/>
                    </w:rPr>
                    <w:t>（C</w:t>
                  </w:r>
                  <w:r>
                    <w:rPr>
                      <w:rFonts w:hint="default" w:ascii="Times New Roman" w:hAnsi="Times New Roman" w:eastAsia="宋体" w:cs="Times New Roman"/>
                      <w:color w:val="auto"/>
                      <w:kern w:val="2"/>
                      <w:sz w:val="21"/>
                      <w:szCs w:val="21"/>
                      <w:highlight w:val="none"/>
                      <w:vertAlign w:val="subscript"/>
                    </w:rPr>
                    <w:t>10</w:t>
                  </w:r>
                  <w:r>
                    <w:rPr>
                      <w:rFonts w:hint="default" w:ascii="Times New Roman" w:hAnsi="Times New Roman" w:eastAsia="宋体" w:cs="Times New Roman"/>
                      <w:color w:val="auto"/>
                      <w:kern w:val="2"/>
                      <w:sz w:val="21"/>
                      <w:szCs w:val="21"/>
                      <w:highlight w:val="none"/>
                    </w:rPr>
                    <w:t>-C</w:t>
                  </w:r>
                  <w:r>
                    <w:rPr>
                      <w:rFonts w:hint="default" w:ascii="Times New Roman" w:hAnsi="Times New Roman" w:eastAsia="宋体" w:cs="Times New Roman"/>
                      <w:color w:val="auto"/>
                      <w:kern w:val="2"/>
                      <w:sz w:val="21"/>
                      <w:szCs w:val="21"/>
                      <w:highlight w:val="none"/>
                      <w:vertAlign w:val="subscript"/>
                    </w:rPr>
                    <w:t>40</w:t>
                  </w:r>
                  <w:r>
                    <w:rPr>
                      <w:rFonts w:hint="default" w:ascii="Times New Roman" w:hAnsi="Times New Roman" w:eastAsia="宋体" w:cs="Times New Roman"/>
                      <w:color w:val="auto"/>
                      <w:kern w:val="2"/>
                      <w:sz w:val="21"/>
                      <w:szCs w:val="21"/>
                      <w:highlight w:val="none"/>
                    </w:rPr>
                    <w:t>）</w:t>
                  </w:r>
                </w:p>
              </w:tc>
              <w:tc>
                <w:tcPr>
                  <w:tcW w:w="990" w:type="pct"/>
                  <w:tcBorders>
                    <w:tl2br w:val="nil"/>
                    <w:tr2bl w:val="nil"/>
                  </w:tcBorders>
                  <w:shd w:val="clear" w:color="auto" w:fill="auto"/>
                  <w:vAlign w:val="center"/>
                </w:tcPr>
                <w:p w14:paraId="4DCAC35E">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3B8DA5B9">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w:t>
                  </w:r>
                </w:p>
              </w:tc>
              <w:tc>
                <w:tcPr>
                  <w:tcW w:w="786" w:type="pct"/>
                  <w:tcBorders>
                    <w:tl2br w:val="nil"/>
                    <w:tr2bl w:val="nil"/>
                  </w:tcBorders>
                  <w:shd w:val="clear" w:color="auto" w:fill="auto"/>
                  <w:vAlign w:val="center"/>
                </w:tcPr>
                <w:p w14:paraId="68205EB4">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788" w:type="pct"/>
                  <w:tcBorders>
                    <w:tl2br w:val="nil"/>
                    <w:tr2bl w:val="nil"/>
                  </w:tcBorders>
                  <w:shd w:val="clear" w:color="auto" w:fill="auto"/>
                  <w:vAlign w:val="center"/>
                </w:tcPr>
                <w:p w14:paraId="53144303">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w:t>
                  </w:r>
                </w:p>
              </w:tc>
              <w:tc>
                <w:tcPr>
                  <w:tcW w:w="622" w:type="pct"/>
                  <w:tcBorders>
                    <w:tl2br w:val="nil"/>
                    <w:tr2bl w:val="nil"/>
                  </w:tcBorders>
                  <w:shd w:val="clear" w:color="auto" w:fill="auto"/>
                  <w:vAlign w:val="center"/>
                </w:tcPr>
                <w:p w14:paraId="0F5B36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4500</w:t>
                  </w:r>
                </w:p>
              </w:tc>
              <w:tc>
                <w:tcPr>
                  <w:tcW w:w="445" w:type="pct"/>
                  <w:tcBorders>
                    <w:tl2br w:val="nil"/>
                    <w:tr2bl w:val="nil"/>
                  </w:tcBorders>
                  <w:shd w:val="clear" w:color="auto" w:fill="auto"/>
                  <w:vAlign w:val="center"/>
                </w:tcPr>
                <w:p w14:paraId="2B7629DD">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248CD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shd w:val="clear" w:color="auto" w:fill="auto"/>
                  <w:vAlign w:val="center"/>
                </w:tcPr>
                <w:p w14:paraId="2E8E2335">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铍</w:t>
                  </w:r>
                </w:p>
              </w:tc>
              <w:tc>
                <w:tcPr>
                  <w:tcW w:w="990" w:type="pct"/>
                  <w:tcBorders>
                    <w:tl2br w:val="nil"/>
                    <w:tr2bl w:val="nil"/>
                  </w:tcBorders>
                  <w:shd w:val="clear" w:color="auto" w:fill="auto"/>
                  <w:vAlign w:val="center"/>
                </w:tcPr>
                <w:p w14:paraId="07AD0C47">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7BF93343">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0.63</w:t>
                  </w:r>
                </w:p>
              </w:tc>
              <w:tc>
                <w:tcPr>
                  <w:tcW w:w="786" w:type="pct"/>
                  <w:tcBorders>
                    <w:tl2br w:val="nil"/>
                    <w:tr2bl w:val="nil"/>
                  </w:tcBorders>
                  <w:shd w:val="clear" w:color="auto" w:fill="auto"/>
                  <w:vAlign w:val="center"/>
                </w:tcPr>
                <w:p w14:paraId="2A9BB1E9">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0.66</w:t>
                  </w:r>
                </w:p>
              </w:tc>
              <w:tc>
                <w:tcPr>
                  <w:tcW w:w="788" w:type="pct"/>
                  <w:tcBorders>
                    <w:tl2br w:val="nil"/>
                    <w:tr2bl w:val="nil"/>
                  </w:tcBorders>
                  <w:shd w:val="clear" w:color="auto" w:fill="auto"/>
                  <w:vAlign w:val="center"/>
                </w:tcPr>
                <w:p w14:paraId="695868DE">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0.66</w:t>
                  </w:r>
                </w:p>
              </w:tc>
              <w:tc>
                <w:tcPr>
                  <w:tcW w:w="622" w:type="pct"/>
                  <w:tcBorders>
                    <w:tl2br w:val="nil"/>
                    <w:tr2bl w:val="nil"/>
                  </w:tcBorders>
                  <w:shd w:val="clear" w:color="auto" w:fill="auto"/>
                  <w:vAlign w:val="center"/>
                </w:tcPr>
                <w:p w14:paraId="36B165C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29</w:t>
                  </w:r>
                </w:p>
              </w:tc>
              <w:tc>
                <w:tcPr>
                  <w:tcW w:w="445" w:type="pct"/>
                  <w:tcBorders>
                    <w:tl2br w:val="nil"/>
                    <w:tr2bl w:val="nil"/>
                  </w:tcBorders>
                  <w:shd w:val="clear" w:color="auto" w:fill="auto"/>
                  <w:vAlign w:val="center"/>
                </w:tcPr>
                <w:p w14:paraId="6347B44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1B016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shd w:val="clear" w:color="auto" w:fill="auto"/>
                  <w:vAlign w:val="center"/>
                </w:tcPr>
                <w:p w14:paraId="21C7EC57">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锑</w:t>
                  </w:r>
                </w:p>
              </w:tc>
              <w:tc>
                <w:tcPr>
                  <w:tcW w:w="990" w:type="pct"/>
                  <w:tcBorders>
                    <w:tl2br w:val="nil"/>
                    <w:tr2bl w:val="nil"/>
                  </w:tcBorders>
                  <w:shd w:val="clear" w:color="auto" w:fill="auto"/>
                  <w:vAlign w:val="center"/>
                </w:tcPr>
                <w:p w14:paraId="7B389C49">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120C5313">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5.94</w:t>
                  </w:r>
                </w:p>
              </w:tc>
              <w:tc>
                <w:tcPr>
                  <w:tcW w:w="786" w:type="pct"/>
                  <w:tcBorders>
                    <w:tl2br w:val="nil"/>
                    <w:tr2bl w:val="nil"/>
                  </w:tcBorders>
                  <w:shd w:val="clear" w:color="auto" w:fill="auto"/>
                  <w:vAlign w:val="center"/>
                </w:tcPr>
                <w:p w14:paraId="356BAC6B">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6.46</w:t>
                  </w:r>
                </w:p>
              </w:tc>
              <w:tc>
                <w:tcPr>
                  <w:tcW w:w="788" w:type="pct"/>
                  <w:tcBorders>
                    <w:tl2br w:val="nil"/>
                    <w:tr2bl w:val="nil"/>
                  </w:tcBorders>
                  <w:shd w:val="clear" w:color="auto" w:fill="auto"/>
                  <w:vAlign w:val="center"/>
                </w:tcPr>
                <w:p w14:paraId="58021C3E">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5.51</w:t>
                  </w:r>
                </w:p>
              </w:tc>
              <w:tc>
                <w:tcPr>
                  <w:tcW w:w="622" w:type="pct"/>
                  <w:tcBorders>
                    <w:tl2br w:val="nil"/>
                    <w:tr2bl w:val="nil"/>
                  </w:tcBorders>
                  <w:shd w:val="clear" w:color="auto" w:fill="auto"/>
                  <w:vAlign w:val="center"/>
                </w:tcPr>
                <w:p w14:paraId="0954752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180</w:t>
                  </w:r>
                </w:p>
              </w:tc>
              <w:tc>
                <w:tcPr>
                  <w:tcW w:w="445" w:type="pct"/>
                  <w:tcBorders>
                    <w:tl2br w:val="nil"/>
                    <w:tr2bl w:val="nil"/>
                  </w:tcBorders>
                  <w:shd w:val="clear" w:color="auto" w:fill="auto"/>
                  <w:vAlign w:val="center"/>
                </w:tcPr>
                <w:p w14:paraId="0F2225A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6671E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shd w:val="clear" w:color="auto" w:fill="auto"/>
                  <w:vAlign w:val="center"/>
                </w:tcPr>
                <w:p w14:paraId="2366AC41">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钴</w:t>
                  </w:r>
                </w:p>
              </w:tc>
              <w:tc>
                <w:tcPr>
                  <w:tcW w:w="990" w:type="pct"/>
                  <w:tcBorders>
                    <w:tl2br w:val="nil"/>
                    <w:tr2bl w:val="nil"/>
                  </w:tcBorders>
                  <w:shd w:val="clear" w:color="auto" w:fill="auto"/>
                  <w:vAlign w:val="center"/>
                </w:tcPr>
                <w:p w14:paraId="0971D56E">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23A4A68D">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786" w:type="pct"/>
                  <w:tcBorders>
                    <w:tl2br w:val="nil"/>
                    <w:tr2bl w:val="nil"/>
                  </w:tcBorders>
                  <w:shd w:val="clear" w:color="auto" w:fill="auto"/>
                  <w:vAlign w:val="center"/>
                </w:tcPr>
                <w:p w14:paraId="3B7F940A">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w:t>
                  </w:r>
                </w:p>
              </w:tc>
              <w:tc>
                <w:tcPr>
                  <w:tcW w:w="788" w:type="pct"/>
                  <w:tcBorders>
                    <w:tl2br w:val="nil"/>
                    <w:tr2bl w:val="nil"/>
                  </w:tcBorders>
                  <w:shd w:val="clear" w:color="auto" w:fill="auto"/>
                  <w:vAlign w:val="center"/>
                </w:tcPr>
                <w:p w14:paraId="234EC704">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w:t>
                  </w:r>
                </w:p>
              </w:tc>
              <w:tc>
                <w:tcPr>
                  <w:tcW w:w="622" w:type="pct"/>
                  <w:tcBorders>
                    <w:tl2br w:val="nil"/>
                    <w:tr2bl w:val="nil"/>
                  </w:tcBorders>
                  <w:shd w:val="clear" w:color="auto" w:fill="auto"/>
                  <w:vAlign w:val="center"/>
                </w:tcPr>
                <w:p w14:paraId="7CCA45D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70</w:t>
                  </w:r>
                </w:p>
              </w:tc>
              <w:tc>
                <w:tcPr>
                  <w:tcW w:w="445" w:type="pct"/>
                  <w:tcBorders>
                    <w:tl2br w:val="nil"/>
                    <w:tr2bl w:val="nil"/>
                  </w:tcBorders>
                  <w:shd w:val="clear" w:color="auto" w:fill="auto"/>
                  <w:vAlign w:val="center"/>
                </w:tcPr>
                <w:p w14:paraId="66D064A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7B707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shd w:val="clear" w:color="auto" w:fill="auto"/>
                  <w:vAlign w:val="center"/>
                </w:tcPr>
                <w:p w14:paraId="345F18B2">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氰化物</w:t>
                  </w:r>
                </w:p>
              </w:tc>
              <w:tc>
                <w:tcPr>
                  <w:tcW w:w="990" w:type="pct"/>
                  <w:tcBorders>
                    <w:tl2br w:val="nil"/>
                    <w:tr2bl w:val="nil"/>
                  </w:tcBorders>
                  <w:shd w:val="clear" w:color="auto" w:fill="auto"/>
                  <w:vAlign w:val="center"/>
                </w:tcPr>
                <w:p w14:paraId="05A593D9">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mg/kg</w:t>
                  </w:r>
                </w:p>
              </w:tc>
              <w:tc>
                <w:tcPr>
                  <w:tcW w:w="696" w:type="pct"/>
                  <w:tcBorders>
                    <w:tl2br w:val="nil"/>
                    <w:tr2bl w:val="nil"/>
                  </w:tcBorders>
                  <w:shd w:val="clear" w:color="auto" w:fill="auto"/>
                  <w:vAlign w:val="center"/>
                </w:tcPr>
                <w:p w14:paraId="3D0200B4">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0.06</w:t>
                  </w:r>
                </w:p>
              </w:tc>
              <w:tc>
                <w:tcPr>
                  <w:tcW w:w="786" w:type="pct"/>
                  <w:tcBorders>
                    <w:tl2br w:val="nil"/>
                    <w:tr2bl w:val="nil"/>
                  </w:tcBorders>
                  <w:shd w:val="clear" w:color="auto" w:fill="auto"/>
                  <w:vAlign w:val="center"/>
                </w:tcPr>
                <w:p w14:paraId="3619D463">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0.05</w:t>
                  </w:r>
                </w:p>
              </w:tc>
              <w:tc>
                <w:tcPr>
                  <w:tcW w:w="788" w:type="pct"/>
                  <w:tcBorders>
                    <w:tl2br w:val="nil"/>
                    <w:tr2bl w:val="nil"/>
                  </w:tcBorders>
                  <w:shd w:val="clear" w:color="auto" w:fill="auto"/>
                  <w:vAlign w:val="center"/>
                </w:tcPr>
                <w:p w14:paraId="77A2925E">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0.06</w:t>
                  </w:r>
                </w:p>
              </w:tc>
              <w:tc>
                <w:tcPr>
                  <w:tcW w:w="622" w:type="pct"/>
                  <w:tcBorders>
                    <w:tl2br w:val="nil"/>
                    <w:tr2bl w:val="nil"/>
                  </w:tcBorders>
                  <w:shd w:val="clear" w:color="auto" w:fill="auto"/>
                  <w:vAlign w:val="center"/>
                </w:tcPr>
                <w:p w14:paraId="4017172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135</w:t>
                  </w:r>
                </w:p>
              </w:tc>
              <w:tc>
                <w:tcPr>
                  <w:tcW w:w="445" w:type="pct"/>
                  <w:tcBorders>
                    <w:tl2br w:val="nil"/>
                    <w:tr2bl w:val="nil"/>
                  </w:tcBorders>
                  <w:shd w:val="clear" w:color="auto" w:fill="auto"/>
                  <w:vAlign w:val="center"/>
                </w:tcPr>
                <w:p w14:paraId="6FE10F4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017C4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shd w:val="clear" w:color="auto" w:fill="auto"/>
                  <w:vAlign w:val="center"/>
                </w:tcPr>
                <w:p w14:paraId="6C3DA5AC">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二噁英类</w:t>
                  </w:r>
                </w:p>
              </w:tc>
              <w:tc>
                <w:tcPr>
                  <w:tcW w:w="990" w:type="pct"/>
                  <w:tcBorders>
                    <w:tl2br w:val="nil"/>
                    <w:tr2bl w:val="nil"/>
                  </w:tcBorders>
                  <w:shd w:val="clear" w:color="auto" w:fill="auto"/>
                  <w:vAlign w:val="center"/>
                </w:tcPr>
                <w:p w14:paraId="1E5712A0">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leftChars="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ngTEQ/kg</w:t>
                  </w:r>
                </w:p>
              </w:tc>
              <w:tc>
                <w:tcPr>
                  <w:tcW w:w="696" w:type="pct"/>
                  <w:tcBorders>
                    <w:tl2br w:val="nil"/>
                    <w:tr2bl w:val="nil"/>
                  </w:tcBorders>
                  <w:shd w:val="clear" w:color="auto" w:fill="auto"/>
                  <w:vAlign w:val="center"/>
                </w:tcPr>
                <w:p w14:paraId="79F61855">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0.16</w:t>
                  </w:r>
                </w:p>
              </w:tc>
              <w:tc>
                <w:tcPr>
                  <w:tcW w:w="786" w:type="pct"/>
                  <w:tcBorders>
                    <w:tl2br w:val="nil"/>
                    <w:tr2bl w:val="nil"/>
                  </w:tcBorders>
                  <w:shd w:val="clear" w:color="auto" w:fill="auto"/>
                  <w:vAlign w:val="center"/>
                </w:tcPr>
                <w:p w14:paraId="549BBE5D">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0.023</w:t>
                  </w:r>
                </w:p>
              </w:tc>
              <w:tc>
                <w:tcPr>
                  <w:tcW w:w="788" w:type="pct"/>
                  <w:tcBorders>
                    <w:tl2br w:val="nil"/>
                    <w:tr2bl w:val="nil"/>
                  </w:tcBorders>
                  <w:shd w:val="clear" w:color="auto" w:fill="auto"/>
                  <w:vAlign w:val="center"/>
                </w:tcPr>
                <w:p w14:paraId="545D28A0">
                  <w:pPr>
                    <w:keepNext w:val="0"/>
                    <w:keepLines w:val="0"/>
                    <w:pageBreakBefore w:val="0"/>
                    <w:widowControl/>
                    <w:suppressLineNumbers w:val="0"/>
                    <w:kinsoku/>
                    <w:wordWrap/>
                    <w:overflowPunct/>
                    <w:topLinePunct w:val="0"/>
                    <w:bidi w:val="0"/>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0.024</w:t>
                  </w:r>
                </w:p>
              </w:tc>
              <w:tc>
                <w:tcPr>
                  <w:tcW w:w="622" w:type="pct"/>
                  <w:tcBorders>
                    <w:tl2br w:val="nil"/>
                    <w:tr2bl w:val="nil"/>
                  </w:tcBorders>
                  <w:shd w:val="clear" w:color="auto" w:fill="auto"/>
                  <w:vAlign w:val="center"/>
                </w:tcPr>
                <w:p w14:paraId="3E25645C">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40</w:t>
                  </w:r>
                </w:p>
              </w:tc>
              <w:tc>
                <w:tcPr>
                  <w:tcW w:w="445" w:type="pct"/>
                  <w:tcBorders>
                    <w:tl2br w:val="nil"/>
                    <w:tr2bl w:val="nil"/>
                  </w:tcBorders>
                  <w:shd w:val="clear" w:color="auto" w:fill="auto"/>
                  <w:vAlign w:val="center"/>
                </w:tcPr>
                <w:p w14:paraId="3DBC55DD">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达标</w:t>
                  </w:r>
                </w:p>
              </w:tc>
            </w:tr>
            <w:tr w14:paraId="33253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59" w:type="dxa"/>
                  <w:tcBorders>
                    <w:tl2br w:val="nil"/>
                    <w:tr2bl w:val="nil"/>
                  </w:tcBorders>
                  <w:shd w:val="clear" w:color="auto" w:fill="auto"/>
                  <w:vAlign w:val="center"/>
                </w:tcPr>
                <w:p w14:paraId="72DF069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pH</w:t>
                  </w:r>
                </w:p>
              </w:tc>
              <w:tc>
                <w:tcPr>
                  <w:tcW w:w="1739" w:type="dxa"/>
                  <w:tcBorders>
                    <w:tl2br w:val="nil"/>
                    <w:tr2bl w:val="nil"/>
                  </w:tcBorders>
                  <w:shd w:val="clear" w:color="auto" w:fill="auto"/>
                  <w:vAlign w:val="center"/>
                </w:tcPr>
                <w:p w14:paraId="2E74743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无量纲</w:t>
                  </w:r>
                </w:p>
              </w:tc>
              <w:tc>
                <w:tcPr>
                  <w:tcW w:w="1237" w:type="dxa"/>
                  <w:tcBorders>
                    <w:tl2br w:val="nil"/>
                    <w:tr2bl w:val="nil"/>
                  </w:tcBorders>
                  <w:shd w:val="clear" w:color="auto" w:fill="auto"/>
                  <w:vAlign w:val="center"/>
                </w:tcPr>
                <w:p w14:paraId="4C4E8C8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8.35</w:t>
                  </w:r>
                </w:p>
              </w:tc>
              <w:tc>
                <w:tcPr>
                  <w:tcW w:w="1395" w:type="dxa"/>
                  <w:tcBorders>
                    <w:tl2br w:val="nil"/>
                    <w:tr2bl w:val="nil"/>
                  </w:tcBorders>
                  <w:shd w:val="clear" w:color="auto" w:fill="auto"/>
                  <w:vAlign w:val="center"/>
                </w:tcPr>
                <w:p w14:paraId="248A140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8.30</w:t>
                  </w:r>
                </w:p>
              </w:tc>
              <w:tc>
                <w:tcPr>
                  <w:tcW w:w="1395" w:type="dxa"/>
                  <w:tcBorders>
                    <w:tl2br w:val="nil"/>
                    <w:tr2bl w:val="nil"/>
                  </w:tcBorders>
                  <w:shd w:val="clear" w:color="auto" w:fill="auto"/>
                  <w:vAlign w:val="center"/>
                </w:tcPr>
                <w:p w14:paraId="4D6F162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8.28</w:t>
                  </w:r>
                </w:p>
              </w:tc>
              <w:tc>
                <w:tcPr>
                  <w:tcW w:w="1073" w:type="dxa"/>
                  <w:tcBorders>
                    <w:tl2br w:val="nil"/>
                    <w:tr2bl w:val="nil"/>
                  </w:tcBorders>
                  <w:shd w:val="clear" w:color="auto" w:fill="auto"/>
                  <w:vAlign w:val="center"/>
                </w:tcPr>
                <w:p w14:paraId="093DFD9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776" w:type="dxa"/>
                  <w:tcBorders>
                    <w:tl2br w:val="nil"/>
                    <w:tr2bl w:val="nil"/>
                  </w:tcBorders>
                  <w:shd w:val="clear" w:color="auto" w:fill="auto"/>
                  <w:vAlign w:val="center"/>
                </w:tcPr>
                <w:p w14:paraId="3D1D4C6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19BD1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59" w:type="dxa"/>
                  <w:tcBorders>
                    <w:tl2br w:val="nil"/>
                    <w:tr2bl w:val="nil"/>
                  </w:tcBorders>
                  <w:shd w:val="clear" w:color="auto" w:fill="auto"/>
                  <w:vAlign w:val="center"/>
                </w:tcPr>
                <w:p w14:paraId="367BA84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锌</w:t>
                  </w:r>
                </w:p>
              </w:tc>
              <w:tc>
                <w:tcPr>
                  <w:tcW w:w="1739" w:type="dxa"/>
                  <w:tcBorders>
                    <w:tl2br w:val="nil"/>
                    <w:tr2bl w:val="nil"/>
                  </w:tcBorders>
                  <w:shd w:val="clear" w:color="auto" w:fill="auto"/>
                  <w:vAlign w:val="center"/>
                </w:tcPr>
                <w:p w14:paraId="28CC0C6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mg/kg</w:t>
                  </w:r>
                </w:p>
              </w:tc>
              <w:tc>
                <w:tcPr>
                  <w:tcW w:w="1237" w:type="dxa"/>
                  <w:tcBorders>
                    <w:tl2br w:val="nil"/>
                    <w:tr2bl w:val="nil"/>
                  </w:tcBorders>
                  <w:shd w:val="clear" w:color="auto" w:fill="auto"/>
                  <w:vAlign w:val="center"/>
                </w:tcPr>
                <w:p w14:paraId="18AE5BD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36</w:t>
                  </w:r>
                </w:p>
              </w:tc>
              <w:tc>
                <w:tcPr>
                  <w:tcW w:w="1395" w:type="dxa"/>
                  <w:tcBorders>
                    <w:tl2br w:val="nil"/>
                    <w:tr2bl w:val="nil"/>
                  </w:tcBorders>
                  <w:shd w:val="clear" w:color="auto" w:fill="auto"/>
                  <w:vAlign w:val="center"/>
                </w:tcPr>
                <w:p w14:paraId="7987AFB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34</w:t>
                  </w:r>
                </w:p>
              </w:tc>
              <w:tc>
                <w:tcPr>
                  <w:tcW w:w="1395" w:type="dxa"/>
                  <w:tcBorders>
                    <w:tl2br w:val="nil"/>
                    <w:tr2bl w:val="nil"/>
                  </w:tcBorders>
                  <w:shd w:val="clear" w:color="auto" w:fill="auto"/>
                  <w:vAlign w:val="center"/>
                </w:tcPr>
                <w:p w14:paraId="620D5F8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35</w:t>
                  </w:r>
                </w:p>
              </w:tc>
              <w:tc>
                <w:tcPr>
                  <w:tcW w:w="1073" w:type="dxa"/>
                  <w:tcBorders>
                    <w:tl2br w:val="nil"/>
                    <w:tr2bl w:val="nil"/>
                  </w:tcBorders>
                  <w:shd w:val="clear" w:color="auto" w:fill="auto"/>
                  <w:vAlign w:val="center"/>
                </w:tcPr>
                <w:p w14:paraId="7312EA2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color w:val="auto"/>
                      <w:sz w:val="21"/>
                      <w:szCs w:val="21"/>
                      <w:highlight w:val="none"/>
                      <w:lang w:val="en-US" w:eastAsia="zh-CN"/>
                    </w:rPr>
                    <w:t>/</w:t>
                  </w:r>
                </w:p>
              </w:tc>
              <w:tc>
                <w:tcPr>
                  <w:tcW w:w="776" w:type="dxa"/>
                  <w:tcBorders>
                    <w:tl2br w:val="nil"/>
                    <w:tr2bl w:val="nil"/>
                  </w:tcBorders>
                  <w:shd w:val="clear" w:color="auto" w:fill="auto"/>
                  <w:vAlign w:val="center"/>
                </w:tcPr>
                <w:p w14:paraId="2E24F5D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color w:val="auto"/>
                      <w:sz w:val="21"/>
                      <w:szCs w:val="21"/>
                      <w:highlight w:val="none"/>
                      <w:lang w:val="en-US" w:eastAsia="zh-CN"/>
                    </w:rPr>
                    <w:t>/</w:t>
                  </w:r>
                </w:p>
              </w:tc>
            </w:tr>
            <w:tr w14:paraId="46C49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59" w:type="dxa"/>
                  <w:tcBorders>
                    <w:tl2br w:val="nil"/>
                    <w:tr2bl w:val="nil"/>
                  </w:tcBorders>
                  <w:shd w:val="clear" w:color="auto" w:fill="auto"/>
                  <w:vAlign w:val="center"/>
                </w:tcPr>
                <w:p w14:paraId="56FB90B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甲苯</w:t>
                  </w:r>
                </w:p>
              </w:tc>
              <w:tc>
                <w:tcPr>
                  <w:tcW w:w="1739" w:type="dxa"/>
                  <w:tcBorders>
                    <w:tl2br w:val="nil"/>
                    <w:tr2bl w:val="nil"/>
                  </w:tcBorders>
                  <w:shd w:val="clear" w:color="auto" w:fill="auto"/>
                  <w:vAlign w:val="center"/>
                </w:tcPr>
                <w:p w14:paraId="26E3E5E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mg/kg</w:t>
                  </w:r>
                </w:p>
              </w:tc>
              <w:tc>
                <w:tcPr>
                  <w:tcW w:w="1237" w:type="dxa"/>
                  <w:tcBorders>
                    <w:tl2br w:val="nil"/>
                    <w:tr2bl w:val="nil"/>
                  </w:tcBorders>
                  <w:shd w:val="clear" w:color="auto" w:fill="auto"/>
                  <w:vAlign w:val="center"/>
                </w:tcPr>
                <w:p w14:paraId="08DD194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ND</w:t>
                  </w:r>
                </w:p>
              </w:tc>
              <w:tc>
                <w:tcPr>
                  <w:tcW w:w="1395" w:type="dxa"/>
                  <w:tcBorders>
                    <w:tl2br w:val="nil"/>
                    <w:tr2bl w:val="nil"/>
                  </w:tcBorders>
                  <w:shd w:val="clear" w:color="auto" w:fill="auto"/>
                  <w:vAlign w:val="center"/>
                </w:tcPr>
                <w:p w14:paraId="54EEEA6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ND</w:t>
                  </w:r>
                </w:p>
              </w:tc>
              <w:tc>
                <w:tcPr>
                  <w:tcW w:w="1395" w:type="dxa"/>
                  <w:tcBorders>
                    <w:tl2br w:val="nil"/>
                    <w:tr2bl w:val="nil"/>
                  </w:tcBorders>
                  <w:shd w:val="clear" w:color="auto" w:fill="auto"/>
                  <w:vAlign w:val="center"/>
                </w:tcPr>
                <w:p w14:paraId="0B0A3FB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1073" w:type="dxa"/>
                  <w:tcBorders>
                    <w:tl2br w:val="nil"/>
                    <w:tr2bl w:val="nil"/>
                  </w:tcBorders>
                  <w:shd w:val="clear" w:color="auto" w:fill="auto"/>
                  <w:vAlign w:val="center"/>
                </w:tcPr>
                <w:p w14:paraId="409A427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1200</w:t>
                  </w:r>
                </w:p>
              </w:tc>
              <w:tc>
                <w:tcPr>
                  <w:tcW w:w="776" w:type="dxa"/>
                  <w:tcBorders>
                    <w:tl2br w:val="nil"/>
                    <w:tr2bl w:val="nil"/>
                  </w:tcBorders>
                  <w:shd w:val="clear" w:color="auto" w:fill="auto"/>
                  <w:vAlign w:val="center"/>
                </w:tcPr>
                <w:p w14:paraId="22653CB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达标</w:t>
                  </w:r>
                </w:p>
              </w:tc>
            </w:tr>
            <w:tr w14:paraId="41DAE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59" w:type="dxa"/>
                  <w:tcBorders>
                    <w:tl2br w:val="nil"/>
                    <w:tr2bl w:val="nil"/>
                  </w:tcBorders>
                  <w:shd w:val="clear" w:color="auto" w:fill="auto"/>
                  <w:vAlign w:val="center"/>
                </w:tcPr>
                <w:p w14:paraId="2D8A395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邻二甲苯</w:t>
                  </w:r>
                </w:p>
              </w:tc>
              <w:tc>
                <w:tcPr>
                  <w:tcW w:w="1739" w:type="dxa"/>
                  <w:tcBorders>
                    <w:tl2br w:val="nil"/>
                    <w:tr2bl w:val="nil"/>
                  </w:tcBorders>
                  <w:shd w:val="clear" w:color="auto" w:fill="auto"/>
                  <w:vAlign w:val="center"/>
                </w:tcPr>
                <w:p w14:paraId="77F4B23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mg/kg</w:t>
                  </w:r>
                </w:p>
              </w:tc>
              <w:tc>
                <w:tcPr>
                  <w:tcW w:w="1237" w:type="dxa"/>
                  <w:tcBorders>
                    <w:tl2br w:val="nil"/>
                    <w:tr2bl w:val="nil"/>
                  </w:tcBorders>
                  <w:shd w:val="clear" w:color="auto" w:fill="auto"/>
                  <w:vAlign w:val="center"/>
                </w:tcPr>
                <w:p w14:paraId="7BA2958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ND</w:t>
                  </w:r>
                </w:p>
              </w:tc>
              <w:tc>
                <w:tcPr>
                  <w:tcW w:w="1395" w:type="dxa"/>
                  <w:tcBorders>
                    <w:tl2br w:val="nil"/>
                    <w:tr2bl w:val="nil"/>
                  </w:tcBorders>
                  <w:shd w:val="clear" w:color="auto" w:fill="auto"/>
                  <w:vAlign w:val="center"/>
                </w:tcPr>
                <w:p w14:paraId="5645A4F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ND</w:t>
                  </w:r>
                </w:p>
              </w:tc>
              <w:tc>
                <w:tcPr>
                  <w:tcW w:w="1395" w:type="dxa"/>
                  <w:tcBorders>
                    <w:tl2br w:val="nil"/>
                    <w:tr2bl w:val="nil"/>
                  </w:tcBorders>
                  <w:shd w:val="clear" w:color="auto" w:fill="auto"/>
                  <w:vAlign w:val="center"/>
                </w:tcPr>
                <w:p w14:paraId="48ECCE3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1073" w:type="dxa"/>
                  <w:tcBorders>
                    <w:tl2br w:val="nil"/>
                    <w:tr2bl w:val="nil"/>
                  </w:tcBorders>
                  <w:shd w:val="clear" w:color="auto" w:fill="auto"/>
                  <w:vAlign w:val="center"/>
                </w:tcPr>
                <w:p w14:paraId="62CD0B1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color w:val="auto"/>
                      <w:sz w:val="21"/>
                      <w:szCs w:val="21"/>
                      <w:highlight w:val="none"/>
                      <w:lang w:val="en-US" w:eastAsia="zh-CN"/>
                    </w:rPr>
                    <w:t>570</w:t>
                  </w:r>
                </w:p>
              </w:tc>
              <w:tc>
                <w:tcPr>
                  <w:tcW w:w="776" w:type="dxa"/>
                  <w:tcBorders>
                    <w:tl2br w:val="nil"/>
                    <w:tr2bl w:val="nil"/>
                  </w:tcBorders>
                  <w:shd w:val="clear" w:color="auto" w:fill="auto"/>
                  <w:vAlign w:val="center"/>
                </w:tcPr>
                <w:p w14:paraId="2B0E564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达标</w:t>
                  </w:r>
                </w:p>
              </w:tc>
            </w:tr>
            <w:tr w14:paraId="266BB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59" w:type="dxa"/>
                  <w:tcBorders>
                    <w:tl2br w:val="nil"/>
                    <w:tr2bl w:val="nil"/>
                  </w:tcBorders>
                  <w:shd w:val="clear" w:color="auto" w:fill="auto"/>
                  <w:vAlign w:val="center"/>
                </w:tcPr>
                <w:p w14:paraId="4BF6086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间二甲苯+对二甲苯</w:t>
                  </w:r>
                </w:p>
              </w:tc>
              <w:tc>
                <w:tcPr>
                  <w:tcW w:w="1739" w:type="dxa"/>
                  <w:tcBorders>
                    <w:tl2br w:val="nil"/>
                    <w:tr2bl w:val="nil"/>
                  </w:tcBorders>
                  <w:shd w:val="clear" w:color="auto" w:fill="auto"/>
                  <w:vAlign w:val="center"/>
                </w:tcPr>
                <w:p w14:paraId="765761D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mg/kg</w:t>
                  </w:r>
                </w:p>
              </w:tc>
              <w:tc>
                <w:tcPr>
                  <w:tcW w:w="1237" w:type="dxa"/>
                  <w:tcBorders>
                    <w:tl2br w:val="nil"/>
                    <w:tr2bl w:val="nil"/>
                  </w:tcBorders>
                  <w:shd w:val="clear" w:color="auto" w:fill="auto"/>
                  <w:vAlign w:val="center"/>
                </w:tcPr>
                <w:p w14:paraId="593E8BD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ND</w:t>
                  </w:r>
                </w:p>
              </w:tc>
              <w:tc>
                <w:tcPr>
                  <w:tcW w:w="1395" w:type="dxa"/>
                  <w:tcBorders>
                    <w:tl2br w:val="nil"/>
                    <w:tr2bl w:val="nil"/>
                  </w:tcBorders>
                  <w:shd w:val="clear" w:color="auto" w:fill="auto"/>
                  <w:vAlign w:val="center"/>
                </w:tcPr>
                <w:p w14:paraId="56CA6EC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ND</w:t>
                  </w:r>
                </w:p>
              </w:tc>
              <w:tc>
                <w:tcPr>
                  <w:tcW w:w="1395" w:type="dxa"/>
                  <w:tcBorders>
                    <w:tl2br w:val="nil"/>
                    <w:tr2bl w:val="nil"/>
                  </w:tcBorders>
                  <w:shd w:val="clear" w:color="auto" w:fill="auto"/>
                  <w:vAlign w:val="center"/>
                </w:tcPr>
                <w:p w14:paraId="674E21F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ND</w:t>
                  </w:r>
                </w:p>
              </w:tc>
              <w:tc>
                <w:tcPr>
                  <w:tcW w:w="1073" w:type="dxa"/>
                  <w:tcBorders>
                    <w:tl2br w:val="nil"/>
                    <w:tr2bl w:val="nil"/>
                  </w:tcBorders>
                  <w:shd w:val="clear" w:color="auto" w:fill="auto"/>
                  <w:vAlign w:val="center"/>
                </w:tcPr>
                <w:p w14:paraId="0B69F67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640</w:t>
                  </w:r>
                </w:p>
              </w:tc>
              <w:tc>
                <w:tcPr>
                  <w:tcW w:w="776" w:type="dxa"/>
                  <w:tcBorders>
                    <w:tl2br w:val="nil"/>
                    <w:tr2bl w:val="nil"/>
                  </w:tcBorders>
                  <w:shd w:val="clear" w:color="auto" w:fill="auto"/>
                  <w:vAlign w:val="center"/>
                </w:tcPr>
                <w:p w14:paraId="26CB1CB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达标</w:t>
                  </w:r>
                </w:p>
              </w:tc>
            </w:tr>
            <w:tr w14:paraId="4A5AB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70" w:type="pct"/>
                  <w:tcBorders>
                    <w:tl2br w:val="nil"/>
                    <w:tr2bl w:val="nil"/>
                  </w:tcBorders>
                  <w:shd w:val="clear" w:color="auto" w:fill="auto"/>
                  <w:vAlign w:val="center"/>
                </w:tcPr>
                <w:p w14:paraId="1E984BE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备注</w:t>
                  </w:r>
                </w:p>
              </w:tc>
              <w:tc>
                <w:tcPr>
                  <w:tcW w:w="4329" w:type="pct"/>
                  <w:gridSpan w:val="6"/>
                  <w:tcBorders>
                    <w:tl2br w:val="nil"/>
                    <w:tr2bl w:val="nil"/>
                  </w:tcBorders>
                  <w:shd w:val="clear" w:color="auto" w:fill="auto"/>
                  <w:vAlign w:val="center"/>
                </w:tcPr>
                <w:p w14:paraId="2EF8746C">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“&lt;”表示低于方法检出限</w:t>
                  </w:r>
                  <w:r>
                    <w:rPr>
                      <w:rFonts w:hint="eastAsia" w:ascii="Times New Roman" w:hAnsi="Times New Roman" w:eastAsia="宋体" w:cs="Times New Roman"/>
                      <w:color w:val="auto"/>
                      <w:sz w:val="21"/>
                      <w:szCs w:val="21"/>
                      <w:highlight w:val="none"/>
                      <w:lang w:val="en-US" w:eastAsia="zh-CN"/>
                    </w:rPr>
                    <w:t>，“ND”表示未检出</w:t>
                  </w:r>
                  <w:r>
                    <w:rPr>
                      <w:rFonts w:hint="default" w:ascii="Times New Roman" w:hAnsi="Times New Roman" w:eastAsia="宋体" w:cs="Times New Roman"/>
                      <w:color w:val="auto"/>
                      <w:sz w:val="21"/>
                      <w:szCs w:val="21"/>
                      <w:highlight w:val="none"/>
                      <w:lang w:val="en-US" w:eastAsia="zh-CN"/>
                    </w:rPr>
                    <w:t>；</w:t>
                  </w:r>
                </w:p>
              </w:tc>
            </w:tr>
          </w:tbl>
          <w:p w14:paraId="176D9FD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cs="Times New Roman"/>
                <w:color w:val="auto"/>
                <w:kern w:val="0"/>
                <w:szCs w:val="21"/>
                <w:lang w:val="en-US" w:eastAsia="zh-CN"/>
              </w:rPr>
            </w:pPr>
            <w:r>
              <w:rPr>
                <w:rFonts w:hint="eastAsia" w:cs="Times New Roman"/>
                <w:color w:val="auto"/>
                <w:kern w:val="0"/>
                <w:szCs w:val="21"/>
                <w:lang w:val="en-US" w:eastAsia="zh-CN"/>
              </w:rPr>
              <w:t>根据检测结果，土壤各点位检测因子均</w:t>
            </w:r>
            <w:r>
              <w:rPr>
                <w:rFonts w:hint="default" w:cs="Times New Roman"/>
                <w:color w:val="auto"/>
                <w:kern w:val="0"/>
                <w:szCs w:val="21"/>
                <w:lang w:val="en-US" w:eastAsia="zh-CN"/>
              </w:rPr>
              <w:t>满足</w:t>
            </w:r>
            <w:r>
              <w:rPr>
                <w:rFonts w:hint="eastAsia" w:cs="Times New Roman"/>
                <w:color w:val="auto"/>
                <w:kern w:val="0"/>
                <w:szCs w:val="21"/>
                <w:lang w:val="en-US" w:eastAsia="zh-CN"/>
              </w:rPr>
              <w:t>《</w:t>
            </w:r>
            <w:r>
              <w:rPr>
                <w:rFonts w:hint="eastAsia"/>
                <w:color w:val="auto"/>
                <w:highlight w:val="none"/>
                <w:lang w:val="zh-CN" w:eastAsia="zh-CN"/>
              </w:rPr>
              <w:t>土壤环境质量建设用地土壤污染风险管控标准</w:t>
            </w:r>
            <w:r>
              <w:rPr>
                <w:rFonts w:hint="eastAsia" w:cs="Times New Roman"/>
                <w:color w:val="auto"/>
                <w:kern w:val="0"/>
                <w:szCs w:val="21"/>
                <w:lang w:val="en-US" w:eastAsia="zh-CN"/>
              </w:rPr>
              <w:t>》</w:t>
            </w:r>
            <w:r>
              <w:rPr>
                <w:rFonts w:hint="eastAsia"/>
                <w:color w:val="auto"/>
                <w:highlight w:val="none"/>
                <w:lang w:val="zh-CN" w:eastAsia="zh-CN"/>
              </w:rPr>
              <w:t>GB36600-2018</w:t>
            </w:r>
            <w:r>
              <w:rPr>
                <w:rFonts w:hint="eastAsia" w:cs="Times New Roman"/>
                <w:color w:val="auto"/>
                <w:kern w:val="0"/>
                <w:szCs w:val="21"/>
                <w:lang w:val="en-US" w:eastAsia="zh-CN"/>
              </w:rPr>
              <w:t>中</w:t>
            </w:r>
            <w:r>
              <w:rPr>
                <w:rFonts w:hint="eastAsia"/>
                <w:color w:val="auto"/>
                <w:highlight w:val="none"/>
                <w:lang w:val="zh-CN" w:eastAsia="zh-CN"/>
              </w:rPr>
              <w:t>筛选值第二类标准限值要求。</w:t>
            </w:r>
          </w:p>
          <w:p w14:paraId="56918CB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cs="Times New Roman"/>
                <w:color w:val="auto"/>
                <w:kern w:val="0"/>
                <w:szCs w:val="21"/>
                <w:lang w:val="en-US" w:eastAsia="zh-CN"/>
              </w:rPr>
            </w:pPr>
            <w:r>
              <w:rPr>
                <w:rFonts w:hint="eastAsia" w:cs="Times New Roman"/>
                <w:color w:val="auto"/>
                <w:kern w:val="0"/>
                <w:szCs w:val="21"/>
                <w:lang w:val="en-US" w:eastAsia="zh-CN"/>
              </w:rPr>
              <w:t>（2）地下水现状监测</w:t>
            </w:r>
          </w:p>
          <w:p w14:paraId="339533D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w:t>
            </w:r>
            <w:r>
              <w:rPr>
                <w:rFonts w:hint="eastAsia" w:cs="Times New Roman"/>
                <w:color w:val="auto"/>
                <w:kern w:val="0"/>
                <w:szCs w:val="21"/>
                <w:lang w:val="en-US" w:eastAsia="zh-CN"/>
              </w:rPr>
              <w:t>地下水现状监测数据引用</w:t>
            </w:r>
            <w:r>
              <w:rPr>
                <w:rFonts w:hint="eastAsia" w:ascii="Times New Roman" w:hAnsi="Times New Roman" w:eastAsia="宋体" w:cs="Times New Roman"/>
                <w:color w:val="auto"/>
                <w:kern w:val="0"/>
                <w:szCs w:val="21"/>
                <w:lang w:val="en-US" w:eastAsia="zh-CN"/>
              </w:rPr>
              <w:t>内蒙古美力坚清蓝危废处置有限公司</w:t>
            </w:r>
            <w:r>
              <w:rPr>
                <w:rFonts w:hint="eastAsia" w:cs="Times New Roman"/>
                <w:color w:val="auto"/>
                <w:kern w:val="0"/>
                <w:szCs w:val="21"/>
                <w:lang w:val="en-US" w:eastAsia="zh-CN"/>
              </w:rPr>
              <w:t>例行检测数据</w:t>
            </w:r>
            <w:r>
              <w:rPr>
                <w:rFonts w:hint="eastAsia" w:ascii="Times New Roman" w:hAnsi="Times New Roman" w:eastAsia="宋体" w:cs="Times New Roman"/>
                <w:color w:val="auto"/>
                <w:kern w:val="0"/>
                <w:szCs w:val="21"/>
                <w:lang w:val="en-US" w:eastAsia="zh-CN"/>
              </w:rPr>
              <w:t>，</w:t>
            </w:r>
            <w:r>
              <w:rPr>
                <w:rFonts w:hint="eastAsia" w:cs="Times New Roman"/>
                <w:color w:val="auto"/>
                <w:kern w:val="0"/>
                <w:szCs w:val="21"/>
                <w:lang w:val="en-US" w:eastAsia="zh-CN"/>
              </w:rPr>
              <w:t>地下水</w:t>
            </w:r>
            <w:r>
              <w:rPr>
                <w:rFonts w:hint="eastAsia" w:ascii="Times New Roman" w:hAnsi="Times New Roman" w:eastAsia="宋体" w:cs="Times New Roman"/>
                <w:color w:val="auto"/>
                <w:kern w:val="0"/>
                <w:szCs w:val="21"/>
                <w:lang w:val="en-US" w:eastAsia="zh-CN"/>
              </w:rPr>
              <w:t>数据由内蒙古长达监测有限公司于202</w:t>
            </w:r>
            <w:r>
              <w:rPr>
                <w:rFonts w:hint="eastAsia" w:cs="Times New Roman"/>
                <w:color w:val="auto"/>
                <w:kern w:val="0"/>
                <w:szCs w:val="21"/>
                <w:lang w:val="en-US" w:eastAsia="zh-CN"/>
              </w:rPr>
              <w:t>6</w:t>
            </w:r>
            <w:r>
              <w:rPr>
                <w:rFonts w:hint="eastAsia" w:ascii="Times New Roman" w:hAnsi="Times New Roman" w:eastAsia="宋体" w:cs="Times New Roman"/>
                <w:color w:val="auto"/>
                <w:kern w:val="0"/>
                <w:szCs w:val="21"/>
                <w:lang w:val="en-US" w:eastAsia="zh-CN"/>
              </w:rPr>
              <w:t>年</w:t>
            </w:r>
            <w:r>
              <w:rPr>
                <w:rFonts w:hint="eastAsia" w:cs="Times New Roman"/>
                <w:color w:val="auto"/>
                <w:kern w:val="0"/>
                <w:szCs w:val="21"/>
                <w:lang w:val="en-US" w:eastAsia="zh-CN"/>
              </w:rPr>
              <w:t>3</w:t>
            </w:r>
            <w:r>
              <w:rPr>
                <w:rFonts w:hint="eastAsia" w:ascii="Times New Roman" w:hAnsi="Times New Roman" w:eastAsia="宋体" w:cs="Times New Roman"/>
                <w:color w:val="auto"/>
                <w:kern w:val="0"/>
                <w:szCs w:val="21"/>
                <w:lang w:val="en-US" w:eastAsia="zh-CN"/>
              </w:rPr>
              <w:t>月8~</w:t>
            </w:r>
            <w:r>
              <w:rPr>
                <w:rFonts w:hint="eastAsia" w:cs="Times New Roman"/>
                <w:color w:val="auto"/>
                <w:kern w:val="0"/>
                <w:szCs w:val="21"/>
                <w:lang w:val="en-US" w:eastAsia="zh-CN"/>
              </w:rPr>
              <w:t>11</w:t>
            </w:r>
            <w:r>
              <w:rPr>
                <w:rFonts w:hint="eastAsia" w:ascii="Times New Roman" w:hAnsi="Times New Roman" w:eastAsia="宋体" w:cs="Times New Roman"/>
                <w:color w:val="auto"/>
                <w:kern w:val="0"/>
                <w:szCs w:val="21"/>
                <w:lang w:val="en-US" w:eastAsia="zh-CN"/>
              </w:rPr>
              <w:t>日进行监测，</w:t>
            </w:r>
            <w:r>
              <w:rPr>
                <w:rFonts w:hint="eastAsia" w:cs="Times New Roman"/>
                <w:color w:val="auto"/>
                <w:kern w:val="0"/>
                <w:szCs w:val="21"/>
                <w:lang w:val="en-US" w:eastAsia="zh-CN"/>
              </w:rPr>
              <w:t>设置了3个</w:t>
            </w:r>
            <w:r>
              <w:rPr>
                <w:rFonts w:hint="eastAsia" w:ascii="Times New Roman" w:hAnsi="Times New Roman" w:eastAsia="宋体" w:cs="Times New Roman"/>
                <w:color w:val="auto"/>
                <w:kern w:val="0"/>
                <w:szCs w:val="21"/>
                <w:lang w:val="en-US" w:eastAsia="zh-CN"/>
              </w:rPr>
              <w:t>监测点</w:t>
            </w:r>
            <w:r>
              <w:rPr>
                <w:rFonts w:hint="eastAsia" w:cs="Times New Roman"/>
                <w:color w:val="auto"/>
                <w:kern w:val="0"/>
                <w:szCs w:val="21"/>
                <w:lang w:val="en-US" w:eastAsia="zh-CN"/>
              </w:rPr>
              <w:t>，分别</w:t>
            </w:r>
            <w:r>
              <w:rPr>
                <w:rFonts w:hint="eastAsia" w:ascii="Times New Roman" w:hAnsi="Times New Roman" w:eastAsia="宋体" w:cs="Times New Roman"/>
                <w:color w:val="auto"/>
                <w:kern w:val="0"/>
                <w:szCs w:val="21"/>
                <w:lang w:val="en-US" w:eastAsia="zh-CN"/>
              </w:rPr>
              <w:t>位于综合厂厂区东侧围墙外10m(上游对照井)</w:t>
            </w:r>
            <w:r>
              <w:rPr>
                <w:rFonts w:hint="eastAsia" w:cs="Times New Roman"/>
                <w:color w:val="auto"/>
                <w:kern w:val="0"/>
                <w:szCs w:val="21"/>
                <w:lang w:val="en-US" w:eastAsia="zh-CN"/>
              </w:rPr>
              <w:t>、厂区危废暂存库西侧靠近厂区边界下游监测井、远期预留用地西侧靠近厂区边界下游监测井。检测因子为：pH值、溶解性总固体、总硬度、水温、总大肠菌群、细菌总数、钠、汞、镉、铬、六价铬、砷、铅、锰、铁、氨氮、亚硝酸盐、硝酸盐、氰化物、氟化物、氯化物、硫酸盐、挥发酚、耗氧量共24项。检测频次为每天检测1次，检测1天。地下水现状检测结果如下。</w:t>
            </w:r>
          </w:p>
          <w:p w14:paraId="6E67C7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表3-8地下水现状监测结果</w:t>
            </w:r>
          </w:p>
          <w:tbl>
            <w:tblPr>
              <w:tblStyle w:val="68"/>
              <w:tblW w:w="82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9"/>
              <w:gridCol w:w="931"/>
              <w:gridCol w:w="1394"/>
              <w:gridCol w:w="1386"/>
              <w:gridCol w:w="1372"/>
              <w:gridCol w:w="1784"/>
            </w:tblGrid>
            <w:tr w14:paraId="1544E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1349" w:type="dxa"/>
                  <w:vMerge w:val="restart"/>
                  <w:vAlign w:val="center"/>
                </w:tcPr>
                <w:p w14:paraId="73383C68">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zh-CN" w:eastAsia="zh-CN"/>
                    </w:rPr>
                    <w:t>检测项目</w:t>
                  </w:r>
                </w:p>
              </w:tc>
              <w:tc>
                <w:tcPr>
                  <w:tcW w:w="931" w:type="dxa"/>
                  <w:vMerge w:val="restart"/>
                  <w:vAlign w:val="center"/>
                </w:tcPr>
                <w:p w14:paraId="69532020">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单位</w:t>
                  </w:r>
                </w:p>
              </w:tc>
              <w:tc>
                <w:tcPr>
                  <w:tcW w:w="4152" w:type="dxa"/>
                  <w:gridSpan w:val="3"/>
                  <w:vAlign w:val="center"/>
                </w:tcPr>
                <w:p w14:paraId="5B8DD93D">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检测结果</w:t>
                  </w:r>
                </w:p>
              </w:tc>
              <w:tc>
                <w:tcPr>
                  <w:tcW w:w="1784" w:type="dxa"/>
                  <w:vMerge w:val="restart"/>
                  <w:vAlign w:val="center"/>
                </w:tcPr>
                <w:p w14:paraId="1DBA8F9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标准限值</w:t>
                  </w:r>
                </w:p>
              </w:tc>
            </w:tr>
            <w:tr w14:paraId="1ED01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1349" w:type="dxa"/>
                  <w:vMerge w:val="continue"/>
                  <w:vAlign w:val="center"/>
                </w:tcPr>
                <w:p w14:paraId="6728652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p>
              </w:tc>
              <w:tc>
                <w:tcPr>
                  <w:tcW w:w="931" w:type="dxa"/>
                  <w:vMerge w:val="continue"/>
                  <w:vAlign w:val="center"/>
                </w:tcPr>
                <w:p w14:paraId="759871A1">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p>
              </w:tc>
              <w:tc>
                <w:tcPr>
                  <w:tcW w:w="1394" w:type="dxa"/>
                  <w:vAlign w:val="center"/>
                </w:tcPr>
                <w:p w14:paraId="2A181B6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综合厂厂区东侧围墙外10m(上游对照井)</w:t>
                  </w:r>
                </w:p>
              </w:tc>
              <w:tc>
                <w:tcPr>
                  <w:tcW w:w="1386" w:type="dxa"/>
                  <w:vAlign w:val="center"/>
                </w:tcPr>
                <w:p w14:paraId="3349C030">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厂区危废暂存库西侧靠近厂区边界下游监测井</w:t>
                  </w:r>
                </w:p>
              </w:tc>
              <w:tc>
                <w:tcPr>
                  <w:tcW w:w="1372" w:type="dxa"/>
                  <w:vAlign w:val="center"/>
                </w:tcPr>
                <w:p w14:paraId="224DE04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远期预留用地西侧靠近厂区边界下游监测井</w:t>
                  </w:r>
                </w:p>
              </w:tc>
              <w:tc>
                <w:tcPr>
                  <w:tcW w:w="1784" w:type="dxa"/>
                  <w:vMerge w:val="continue"/>
                  <w:vAlign w:val="center"/>
                </w:tcPr>
                <w:p w14:paraId="445775F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p>
              </w:tc>
            </w:tr>
            <w:tr w14:paraId="169DC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jc w:val="center"/>
              </w:trPr>
              <w:tc>
                <w:tcPr>
                  <w:tcW w:w="1349" w:type="dxa"/>
                  <w:vAlign w:val="center"/>
                </w:tcPr>
                <w:p w14:paraId="2DDC4FB1">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水温</w:t>
                  </w:r>
                </w:p>
              </w:tc>
              <w:tc>
                <w:tcPr>
                  <w:tcW w:w="931" w:type="dxa"/>
                  <w:vAlign w:val="center"/>
                </w:tcPr>
                <w:p w14:paraId="1E6D9E9C">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w:t>
                  </w:r>
                </w:p>
              </w:tc>
              <w:tc>
                <w:tcPr>
                  <w:tcW w:w="1394" w:type="dxa"/>
                  <w:vAlign w:val="center"/>
                </w:tcPr>
                <w:p w14:paraId="475FCA94">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8.9</w:t>
                  </w:r>
                </w:p>
              </w:tc>
              <w:tc>
                <w:tcPr>
                  <w:tcW w:w="1386" w:type="dxa"/>
                  <w:vAlign w:val="center"/>
                </w:tcPr>
                <w:p w14:paraId="6EDD54C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9.1</w:t>
                  </w:r>
                </w:p>
              </w:tc>
              <w:tc>
                <w:tcPr>
                  <w:tcW w:w="1372" w:type="dxa"/>
                  <w:vAlign w:val="center"/>
                </w:tcPr>
                <w:p w14:paraId="2B69E2E1">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9</w:t>
                  </w:r>
                </w:p>
              </w:tc>
              <w:tc>
                <w:tcPr>
                  <w:tcW w:w="1784" w:type="dxa"/>
                  <w:vAlign w:val="center"/>
                </w:tcPr>
                <w:p w14:paraId="1870966B">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w:t>
                  </w:r>
                </w:p>
              </w:tc>
            </w:tr>
            <w:tr w14:paraId="4E51C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jc w:val="center"/>
              </w:trPr>
              <w:tc>
                <w:tcPr>
                  <w:tcW w:w="1349" w:type="dxa"/>
                  <w:vAlign w:val="center"/>
                </w:tcPr>
                <w:p w14:paraId="12804BB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高锰酸盐指数(耗氧量)</w:t>
                  </w:r>
                </w:p>
              </w:tc>
              <w:tc>
                <w:tcPr>
                  <w:tcW w:w="931" w:type="dxa"/>
                  <w:vAlign w:val="center"/>
                </w:tcPr>
                <w:p w14:paraId="15D9064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338EA0E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1.0</w:t>
                  </w:r>
                </w:p>
              </w:tc>
              <w:tc>
                <w:tcPr>
                  <w:tcW w:w="1386" w:type="dxa"/>
                  <w:vAlign w:val="center"/>
                </w:tcPr>
                <w:p w14:paraId="26B0E51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1.1</w:t>
                  </w:r>
                </w:p>
              </w:tc>
              <w:tc>
                <w:tcPr>
                  <w:tcW w:w="1372" w:type="dxa"/>
                  <w:vAlign w:val="center"/>
                </w:tcPr>
                <w:p w14:paraId="7D5F9D3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0.8</w:t>
                  </w:r>
                </w:p>
              </w:tc>
              <w:tc>
                <w:tcPr>
                  <w:tcW w:w="1784" w:type="dxa"/>
                  <w:vAlign w:val="center"/>
                </w:tcPr>
                <w:p w14:paraId="740AED4C">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≤3.0</w:t>
                  </w:r>
                </w:p>
              </w:tc>
            </w:tr>
            <w:tr w14:paraId="684B1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1349" w:type="dxa"/>
                  <w:vAlign w:val="center"/>
                </w:tcPr>
                <w:p w14:paraId="0E22F3CB">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pH值</w:t>
                  </w:r>
                </w:p>
              </w:tc>
              <w:tc>
                <w:tcPr>
                  <w:tcW w:w="931" w:type="dxa"/>
                  <w:vAlign w:val="center"/>
                </w:tcPr>
                <w:p w14:paraId="35E91D84">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w:t>
                  </w:r>
                </w:p>
              </w:tc>
              <w:tc>
                <w:tcPr>
                  <w:tcW w:w="1394" w:type="dxa"/>
                  <w:vAlign w:val="center"/>
                </w:tcPr>
                <w:p w14:paraId="37F57B3B">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7.8</w:t>
                  </w:r>
                </w:p>
              </w:tc>
              <w:tc>
                <w:tcPr>
                  <w:tcW w:w="1386" w:type="dxa"/>
                  <w:vAlign w:val="center"/>
                </w:tcPr>
                <w:p w14:paraId="6DC9AC68">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7.9</w:t>
                  </w:r>
                </w:p>
              </w:tc>
              <w:tc>
                <w:tcPr>
                  <w:tcW w:w="1372" w:type="dxa"/>
                  <w:vAlign w:val="center"/>
                </w:tcPr>
                <w:p w14:paraId="239E805D">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7.7</w:t>
                  </w:r>
                </w:p>
              </w:tc>
              <w:tc>
                <w:tcPr>
                  <w:tcW w:w="1784" w:type="dxa"/>
                  <w:vAlign w:val="center"/>
                </w:tcPr>
                <w:p w14:paraId="27B9D63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6.5~8.5</w:t>
                  </w:r>
                </w:p>
              </w:tc>
            </w:tr>
            <w:tr w14:paraId="053B9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349" w:type="dxa"/>
                  <w:vAlign w:val="center"/>
                </w:tcPr>
                <w:p w14:paraId="78700280">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总硬度</w:t>
                  </w:r>
                </w:p>
              </w:tc>
              <w:tc>
                <w:tcPr>
                  <w:tcW w:w="931" w:type="dxa"/>
                  <w:vAlign w:val="center"/>
                </w:tcPr>
                <w:p w14:paraId="16FF630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141EA0FC">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206</w:t>
                  </w:r>
                </w:p>
              </w:tc>
              <w:tc>
                <w:tcPr>
                  <w:tcW w:w="1386" w:type="dxa"/>
                  <w:vAlign w:val="center"/>
                </w:tcPr>
                <w:p w14:paraId="6CDFC331">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317</w:t>
                  </w:r>
                </w:p>
              </w:tc>
              <w:tc>
                <w:tcPr>
                  <w:tcW w:w="1372" w:type="dxa"/>
                  <w:vAlign w:val="center"/>
                </w:tcPr>
                <w:p w14:paraId="30D943E7">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352</w:t>
                  </w:r>
                </w:p>
              </w:tc>
              <w:tc>
                <w:tcPr>
                  <w:tcW w:w="1784" w:type="dxa"/>
                  <w:vAlign w:val="center"/>
                </w:tcPr>
                <w:p w14:paraId="47F4572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≤450</w:t>
                  </w:r>
                </w:p>
              </w:tc>
            </w:tr>
            <w:tr w14:paraId="41A4B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jc w:val="center"/>
              </w:trPr>
              <w:tc>
                <w:tcPr>
                  <w:tcW w:w="1349" w:type="dxa"/>
                  <w:vAlign w:val="center"/>
                </w:tcPr>
                <w:p w14:paraId="43EFE521">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溶解性总固体</w:t>
                  </w:r>
                </w:p>
              </w:tc>
              <w:tc>
                <w:tcPr>
                  <w:tcW w:w="931" w:type="dxa"/>
                  <w:vAlign w:val="center"/>
                </w:tcPr>
                <w:p w14:paraId="3CD06B7C">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4F5F609C">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797</w:t>
                  </w:r>
                </w:p>
              </w:tc>
              <w:tc>
                <w:tcPr>
                  <w:tcW w:w="1386" w:type="dxa"/>
                  <w:vAlign w:val="center"/>
                </w:tcPr>
                <w:p w14:paraId="736FC43C">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963</w:t>
                  </w:r>
                </w:p>
              </w:tc>
              <w:tc>
                <w:tcPr>
                  <w:tcW w:w="1372" w:type="dxa"/>
                  <w:vAlign w:val="center"/>
                </w:tcPr>
                <w:p w14:paraId="436C6AA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b/>
                      <w:bCs/>
                      <w:color w:val="auto"/>
                      <w:sz w:val="21"/>
                      <w:szCs w:val="21"/>
                      <w:highlight w:val="none"/>
                      <w:lang w:val="en-US" w:eastAsia="zh-CN"/>
                    </w:rPr>
                    <w:t>1.06×10³</w:t>
                  </w:r>
                </w:p>
              </w:tc>
              <w:tc>
                <w:tcPr>
                  <w:tcW w:w="1784" w:type="dxa"/>
                  <w:vAlign w:val="center"/>
                </w:tcPr>
                <w:p w14:paraId="1CA0B88E">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≤1000</w:t>
                  </w:r>
                </w:p>
              </w:tc>
            </w:tr>
            <w:tr w14:paraId="7B003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349" w:type="dxa"/>
                  <w:vAlign w:val="center"/>
                </w:tcPr>
                <w:p w14:paraId="21F457C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氰化物</w:t>
                  </w:r>
                </w:p>
              </w:tc>
              <w:tc>
                <w:tcPr>
                  <w:tcW w:w="931" w:type="dxa"/>
                  <w:vAlign w:val="center"/>
                </w:tcPr>
                <w:p w14:paraId="629AEF41">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3A9355A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0.002L</w:t>
                  </w:r>
                </w:p>
              </w:tc>
              <w:tc>
                <w:tcPr>
                  <w:tcW w:w="1386" w:type="dxa"/>
                  <w:vAlign w:val="center"/>
                </w:tcPr>
                <w:p w14:paraId="19FC8AF4">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0.002L</w:t>
                  </w:r>
                </w:p>
              </w:tc>
              <w:tc>
                <w:tcPr>
                  <w:tcW w:w="1372" w:type="dxa"/>
                  <w:vAlign w:val="center"/>
                </w:tcPr>
                <w:p w14:paraId="39DE5488">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0.002L</w:t>
                  </w:r>
                </w:p>
              </w:tc>
              <w:tc>
                <w:tcPr>
                  <w:tcW w:w="1784" w:type="dxa"/>
                  <w:vAlign w:val="center"/>
                </w:tcPr>
                <w:p w14:paraId="65204A8E">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≤0.05</w:t>
                  </w:r>
                </w:p>
              </w:tc>
            </w:tr>
            <w:tr w14:paraId="4129C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1349" w:type="dxa"/>
                  <w:vAlign w:val="center"/>
                </w:tcPr>
                <w:p w14:paraId="466DE07C">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硫酸盐</w:t>
                  </w:r>
                </w:p>
              </w:tc>
              <w:tc>
                <w:tcPr>
                  <w:tcW w:w="931" w:type="dxa"/>
                  <w:vAlign w:val="center"/>
                </w:tcPr>
                <w:p w14:paraId="5ADF61B1">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18493A1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194</w:t>
                  </w:r>
                </w:p>
              </w:tc>
              <w:tc>
                <w:tcPr>
                  <w:tcW w:w="1386" w:type="dxa"/>
                  <w:vAlign w:val="center"/>
                </w:tcPr>
                <w:p w14:paraId="377C24F7">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220</w:t>
                  </w:r>
                </w:p>
              </w:tc>
              <w:tc>
                <w:tcPr>
                  <w:tcW w:w="1372" w:type="dxa"/>
                  <w:vAlign w:val="center"/>
                </w:tcPr>
                <w:p w14:paraId="0CF4CC2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b/>
                      <w:bCs/>
                      <w:color w:val="auto"/>
                      <w:sz w:val="21"/>
                      <w:szCs w:val="21"/>
                      <w:highlight w:val="none"/>
                      <w:lang w:val="en-US" w:eastAsia="zh-CN"/>
                    </w:rPr>
                    <w:t>255</w:t>
                  </w:r>
                </w:p>
              </w:tc>
              <w:tc>
                <w:tcPr>
                  <w:tcW w:w="1784" w:type="dxa"/>
                  <w:vAlign w:val="center"/>
                </w:tcPr>
                <w:p w14:paraId="10FD075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≤250</w:t>
                  </w:r>
                </w:p>
              </w:tc>
            </w:tr>
            <w:tr w14:paraId="76703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349" w:type="dxa"/>
                  <w:vAlign w:val="center"/>
                </w:tcPr>
                <w:p w14:paraId="2F993876">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硝酸盐氮</w:t>
                  </w:r>
                </w:p>
              </w:tc>
              <w:tc>
                <w:tcPr>
                  <w:tcW w:w="931" w:type="dxa"/>
                  <w:vAlign w:val="center"/>
                </w:tcPr>
                <w:p w14:paraId="1F91380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2D0E4FB7">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8.54</w:t>
                  </w:r>
                </w:p>
              </w:tc>
              <w:tc>
                <w:tcPr>
                  <w:tcW w:w="1386" w:type="dxa"/>
                  <w:vAlign w:val="center"/>
                </w:tcPr>
                <w:p w14:paraId="012972D0">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9.64</w:t>
                  </w:r>
                </w:p>
              </w:tc>
              <w:tc>
                <w:tcPr>
                  <w:tcW w:w="1372" w:type="dxa"/>
                  <w:vAlign w:val="center"/>
                </w:tcPr>
                <w:p w14:paraId="1C91385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10.7</w:t>
                  </w:r>
                </w:p>
              </w:tc>
              <w:tc>
                <w:tcPr>
                  <w:tcW w:w="1784" w:type="dxa"/>
                  <w:vAlign w:val="center"/>
                </w:tcPr>
                <w:p w14:paraId="0ADB8314">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≤20.0</w:t>
                  </w:r>
                </w:p>
              </w:tc>
            </w:tr>
            <w:tr w14:paraId="68E4F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1349" w:type="dxa"/>
                  <w:vAlign w:val="center"/>
                </w:tcPr>
                <w:p w14:paraId="2D80C8E6">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氯化物</w:t>
                  </w:r>
                </w:p>
              </w:tc>
              <w:tc>
                <w:tcPr>
                  <w:tcW w:w="931" w:type="dxa"/>
                  <w:vAlign w:val="center"/>
                </w:tcPr>
                <w:p w14:paraId="6CBFC85B">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69A8978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b/>
                      <w:bCs/>
                      <w:color w:val="auto"/>
                      <w:sz w:val="21"/>
                      <w:szCs w:val="21"/>
                      <w:highlight w:val="none"/>
                      <w:lang w:val="zh-CN" w:eastAsia="zh-CN"/>
                    </w:rPr>
                  </w:pPr>
                  <w:r>
                    <w:rPr>
                      <w:rFonts w:hint="eastAsia" w:ascii="Times New Roman" w:hAnsi="Times New Roman" w:eastAsia="宋体"/>
                      <w:b/>
                      <w:bCs/>
                      <w:color w:val="auto"/>
                      <w:sz w:val="21"/>
                      <w:szCs w:val="21"/>
                      <w:highlight w:val="none"/>
                      <w:lang w:val="zh-CN" w:eastAsia="zh-CN"/>
                    </w:rPr>
                    <w:t>272</w:t>
                  </w:r>
                </w:p>
              </w:tc>
              <w:tc>
                <w:tcPr>
                  <w:tcW w:w="1386" w:type="dxa"/>
                  <w:vAlign w:val="center"/>
                </w:tcPr>
                <w:p w14:paraId="4F4281B5">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b/>
                      <w:bCs/>
                      <w:color w:val="auto"/>
                      <w:sz w:val="21"/>
                      <w:szCs w:val="21"/>
                      <w:highlight w:val="none"/>
                      <w:lang w:val="zh-CN" w:eastAsia="zh-CN"/>
                    </w:rPr>
                  </w:pPr>
                  <w:r>
                    <w:rPr>
                      <w:rFonts w:hint="eastAsia" w:ascii="Times New Roman" w:hAnsi="Times New Roman" w:eastAsia="宋体"/>
                      <w:b/>
                      <w:bCs/>
                      <w:color w:val="auto"/>
                      <w:sz w:val="21"/>
                      <w:szCs w:val="21"/>
                      <w:highlight w:val="none"/>
                      <w:lang w:val="en-US" w:eastAsia="zh-CN"/>
                    </w:rPr>
                    <w:t>367</w:t>
                  </w:r>
                </w:p>
              </w:tc>
              <w:tc>
                <w:tcPr>
                  <w:tcW w:w="1372" w:type="dxa"/>
                  <w:vAlign w:val="center"/>
                </w:tcPr>
                <w:p w14:paraId="27DA2D9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b/>
                      <w:bCs/>
                      <w:color w:val="auto"/>
                      <w:sz w:val="21"/>
                      <w:szCs w:val="21"/>
                      <w:highlight w:val="none"/>
                      <w:lang w:val="zh-CN" w:eastAsia="zh-CN"/>
                    </w:rPr>
                  </w:pPr>
                  <w:r>
                    <w:rPr>
                      <w:rFonts w:hint="eastAsia" w:ascii="Times New Roman" w:hAnsi="Times New Roman" w:eastAsia="宋体"/>
                      <w:b/>
                      <w:bCs/>
                      <w:color w:val="auto"/>
                      <w:sz w:val="21"/>
                      <w:szCs w:val="21"/>
                      <w:highlight w:val="none"/>
                      <w:lang w:val="en-US" w:eastAsia="zh-CN"/>
                    </w:rPr>
                    <w:t>398</w:t>
                  </w:r>
                </w:p>
              </w:tc>
              <w:tc>
                <w:tcPr>
                  <w:tcW w:w="1784" w:type="dxa"/>
                  <w:vAlign w:val="center"/>
                </w:tcPr>
                <w:p w14:paraId="1AB9627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≤250</w:t>
                  </w:r>
                </w:p>
              </w:tc>
            </w:tr>
            <w:tr w14:paraId="7FDDD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1349" w:type="dxa"/>
                  <w:vAlign w:val="center"/>
                </w:tcPr>
                <w:p w14:paraId="34572E0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氟化物</w:t>
                  </w:r>
                </w:p>
              </w:tc>
              <w:tc>
                <w:tcPr>
                  <w:tcW w:w="931" w:type="dxa"/>
                  <w:vAlign w:val="center"/>
                </w:tcPr>
                <w:p w14:paraId="0099DE1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17F0EF6E">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b/>
                      <w:bCs/>
                      <w:color w:val="auto"/>
                      <w:sz w:val="21"/>
                      <w:szCs w:val="21"/>
                      <w:highlight w:val="none"/>
                      <w:lang w:val="zh-CN" w:eastAsia="zh-CN"/>
                    </w:rPr>
                  </w:pPr>
                  <w:r>
                    <w:rPr>
                      <w:rFonts w:hint="eastAsia" w:ascii="Times New Roman" w:hAnsi="Times New Roman" w:eastAsia="宋体"/>
                      <w:b/>
                      <w:bCs/>
                      <w:color w:val="auto"/>
                      <w:sz w:val="21"/>
                      <w:szCs w:val="21"/>
                      <w:highlight w:val="none"/>
                      <w:lang w:val="zh-CN" w:eastAsia="zh-CN"/>
                    </w:rPr>
                    <w:t>1.34</w:t>
                  </w:r>
                </w:p>
              </w:tc>
              <w:tc>
                <w:tcPr>
                  <w:tcW w:w="1386" w:type="dxa"/>
                  <w:vAlign w:val="center"/>
                </w:tcPr>
                <w:p w14:paraId="342063CC">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b/>
                      <w:bCs/>
                      <w:color w:val="auto"/>
                      <w:sz w:val="21"/>
                      <w:szCs w:val="21"/>
                      <w:highlight w:val="none"/>
                      <w:lang w:val="zh-CN" w:eastAsia="zh-CN"/>
                    </w:rPr>
                  </w:pPr>
                  <w:r>
                    <w:rPr>
                      <w:rFonts w:hint="eastAsia" w:ascii="Times New Roman" w:hAnsi="Times New Roman" w:eastAsia="宋体"/>
                      <w:b/>
                      <w:bCs/>
                      <w:color w:val="auto"/>
                      <w:sz w:val="21"/>
                      <w:szCs w:val="21"/>
                      <w:highlight w:val="none"/>
                      <w:lang w:val="en-US" w:eastAsia="zh-CN"/>
                    </w:rPr>
                    <w:t>1.45</w:t>
                  </w:r>
                </w:p>
              </w:tc>
              <w:tc>
                <w:tcPr>
                  <w:tcW w:w="1372" w:type="dxa"/>
                  <w:vAlign w:val="center"/>
                </w:tcPr>
                <w:p w14:paraId="7C47699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b/>
                      <w:bCs/>
                      <w:color w:val="auto"/>
                      <w:sz w:val="21"/>
                      <w:szCs w:val="21"/>
                      <w:highlight w:val="none"/>
                      <w:lang w:val="zh-CN" w:eastAsia="zh-CN"/>
                    </w:rPr>
                  </w:pPr>
                  <w:r>
                    <w:rPr>
                      <w:rFonts w:hint="eastAsia" w:ascii="Times New Roman" w:hAnsi="Times New Roman" w:eastAsia="宋体"/>
                      <w:b/>
                      <w:bCs/>
                      <w:color w:val="auto"/>
                      <w:sz w:val="21"/>
                      <w:szCs w:val="21"/>
                      <w:highlight w:val="none"/>
                      <w:lang w:val="en-US" w:eastAsia="zh-CN"/>
                    </w:rPr>
                    <w:t>1.27</w:t>
                  </w:r>
                </w:p>
              </w:tc>
              <w:tc>
                <w:tcPr>
                  <w:tcW w:w="1784" w:type="dxa"/>
                  <w:vAlign w:val="center"/>
                </w:tcPr>
                <w:p w14:paraId="632B613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≤1.0</w:t>
                  </w:r>
                </w:p>
              </w:tc>
            </w:tr>
            <w:tr w14:paraId="06C6D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349" w:type="dxa"/>
                  <w:vAlign w:val="center"/>
                </w:tcPr>
                <w:p w14:paraId="2443767D">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镉</w:t>
                  </w:r>
                </w:p>
              </w:tc>
              <w:tc>
                <w:tcPr>
                  <w:tcW w:w="931" w:type="dxa"/>
                  <w:vAlign w:val="center"/>
                </w:tcPr>
                <w:p w14:paraId="6BB3568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0547AA5B">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0.0001L</w:t>
                  </w:r>
                </w:p>
              </w:tc>
              <w:tc>
                <w:tcPr>
                  <w:tcW w:w="1386" w:type="dxa"/>
                  <w:vAlign w:val="center"/>
                </w:tcPr>
                <w:p w14:paraId="7B1DFDCD">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0.0001L</w:t>
                  </w:r>
                </w:p>
              </w:tc>
              <w:tc>
                <w:tcPr>
                  <w:tcW w:w="1372" w:type="dxa"/>
                  <w:vAlign w:val="center"/>
                </w:tcPr>
                <w:p w14:paraId="043E4807">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0.0001L</w:t>
                  </w:r>
                </w:p>
              </w:tc>
              <w:tc>
                <w:tcPr>
                  <w:tcW w:w="1784" w:type="dxa"/>
                  <w:vAlign w:val="center"/>
                </w:tcPr>
                <w:p w14:paraId="314D2C0D">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≤0.005</w:t>
                  </w:r>
                </w:p>
              </w:tc>
            </w:tr>
            <w:tr w14:paraId="2C12A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349" w:type="dxa"/>
                  <w:vAlign w:val="center"/>
                </w:tcPr>
                <w:p w14:paraId="522F7DA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铬</w:t>
                  </w:r>
                </w:p>
              </w:tc>
              <w:tc>
                <w:tcPr>
                  <w:tcW w:w="931" w:type="dxa"/>
                  <w:vAlign w:val="center"/>
                </w:tcPr>
                <w:p w14:paraId="705450B0">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7D3FE1D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0.03L</w:t>
                  </w:r>
                </w:p>
              </w:tc>
              <w:tc>
                <w:tcPr>
                  <w:tcW w:w="1386" w:type="dxa"/>
                  <w:vAlign w:val="center"/>
                </w:tcPr>
                <w:p w14:paraId="5F5B1A54">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0.03L</w:t>
                  </w:r>
                </w:p>
              </w:tc>
              <w:tc>
                <w:tcPr>
                  <w:tcW w:w="1372" w:type="dxa"/>
                  <w:vAlign w:val="center"/>
                </w:tcPr>
                <w:p w14:paraId="67B7E3A0">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0.03L</w:t>
                  </w:r>
                </w:p>
              </w:tc>
              <w:tc>
                <w:tcPr>
                  <w:tcW w:w="1784" w:type="dxa"/>
                  <w:vAlign w:val="center"/>
                </w:tcPr>
                <w:p w14:paraId="092C3EE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w:t>
                  </w:r>
                </w:p>
              </w:tc>
            </w:tr>
            <w:tr w14:paraId="0FC69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349" w:type="dxa"/>
                  <w:vAlign w:val="center"/>
                </w:tcPr>
                <w:p w14:paraId="6BD829E5">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钠</w:t>
                  </w:r>
                </w:p>
              </w:tc>
              <w:tc>
                <w:tcPr>
                  <w:tcW w:w="931" w:type="dxa"/>
                  <w:vAlign w:val="center"/>
                </w:tcPr>
                <w:p w14:paraId="6B858115">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2DA2B49B">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198</w:t>
                  </w:r>
                </w:p>
              </w:tc>
              <w:tc>
                <w:tcPr>
                  <w:tcW w:w="1386" w:type="dxa"/>
                  <w:vAlign w:val="center"/>
                </w:tcPr>
                <w:p w14:paraId="06A0952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b/>
                      <w:bCs/>
                      <w:color w:val="auto"/>
                      <w:sz w:val="21"/>
                      <w:szCs w:val="21"/>
                      <w:highlight w:val="none"/>
                      <w:lang w:val="zh-CN" w:eastAsia="zh-CN"/>
                    </w:rPr>
                  </w:pPr>
                  <w:r>
                    <w:rPr>
                      <w:rFonts w:hint="eastAsia" w:ascii="Times New Roman" w:hAnsi="Times New Roman" w:eastAsia="宋体"/>
                      <w:b/>
                      <w:bCs/>
                      <w:color w:val="auto"/>
                      <w:sz w:val="21"/>
                      <w:szCs w:val="21"/>
                      <w:highlight w:val="none"/>
                      <w:lang w:val="en-US" w:eastAsia="zh-CN"/>
                    </w:rPr>
                    <w:t>213</w:t>
                  </w:r>
                </w:p>
              </w:tc>
              <w:tc>
                <w:tcPr>
                  <w:tcW w:w="1372" w:type="dxa"/>
                  <w:vAlign w:val="center"/>
                </w:tcPr>
                <w:p w14:paraId="51E22024">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b/>
                      <w:bCs/>
                      <w:color w:val="auto"/>
                      <w:sz w:val="21"/>
                      <w:szCs w:val="21"/>
                      <w:highlight w:val="none"/>
                      <w:lang w:val="zh-CN" w:eastAsia="zh-CN"/>
                    </w:rPr>
                  </w:pPr>
                  <w:r>
                    <w:rPr>
                      <w:rFonts w:hint="eastAsia" w:ascii="Times New Roman" w:hAnsi="Times New Roman" w:eastAsia="宋体"/>
                      <w:b/>
                      <w:bCs/>
                      <w:color w:val="auto"/>
                      <w:sz w:val="21"/>
                      <w:szCs w:val="21"/>
                      <w:highlight w:val="none"/>
                      <w:lang w:val="en-US" w:eastAsia="zh-CN"/>
                    </w:rPr>
                    <w:t>250</w:t>
                  </w:r>
                </w:p>
              </w:tc>
              <w:tc>
                <w:tcPr>
                  <w:tcW w:w="1784" w:type="dxa"/>
                  <w:vAlign w:val="center"/>
                </w:tcPr>
                <w:p w14:paraId="1102A7E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≤200</w:t>
                  </w:r>
                </w:p>
              </w:tc>
            </w:tr>
            <w:tr w14:paraId="0D1DF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349" w:type="dxa"/>
                  <w:vAlign w:val="center"/>
                </w:tcPr>
                <w:p w14:paraId="6E4B8C6E">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铅</w:t>
                  </w:r>
                </w:p>
              </w:tc>
              <w:tc>
                <w:tcPr>
                  <w:tcW w:w="931" w:type="dxa"/>
                  <w:vAlign w:val="center"/>
                </w:tcPr>
                <w:p w14:paraId="2DE5F645">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57C4FC7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0.001L</w:t>
                  </w:r>
                </w:p>
              </w:tc>
              <w:tc>
                <w:tcPr>
                  <w:tcW w:w="1386" w:type="dxa"/>
                  <w:vAlign w:val="center"/>
                </w:tcPr>
                <w:p w14:paraId="380E6C76">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0.001L</w:t>
                  </w:r>
                </w:p>
              </w:tc>
              <w:tc>
                <w:tcPr>
                  <w:tcW w:w="1372" w:type="dxa"/>
                  <w:vAlign w:val="center"/>
                </w:tcPr>
                <w:p w14:paraId="24EC61F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0.001L</w:t>
                  </w:r>
                </w:p>
              </w:tc>
              <w:tc>
                <w:tcPr>
                  <w:tcW w:w="1784" w:type="dxa"/>
                  <w:vAlign w:val="center"/>
                </w:tcPr>
                <w:p w14:paraId="2E2F933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≤0.01</w:t>
                  </w:r>
                </w:p>
              </w:tc>
            </w:tr>
            <w:tr w14:paraId="05855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1349" w:type="dxa"/>
                  <w:vAlign w:val="center"/>
                </w:tcPr>
                <w:p w14:paraId="797F5A0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铁</w:t>
                  </w:r>
                </w:p>
              </w:tc>
              <w:tc>
                <w:tcPr>
                  <w:tcW w:w="931" w:type="dxa"/>
                  <w:vAlign w:val="center"/>
                </w:tcPr>
                <w:p w14:paraId="75A1611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75943F20">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0.03L</w:t>
                  </w:r>
                </w:p>
              </w:tc>
              <w:tc>
                <w:tcPr>
                  <w:tcW w:w="1386" w:type="dxa"/>
                  <w:vAlign w:val="center"/>
                </w:tcPr>
                <w:p w14:paraId="6A44B0F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0.03L</w:t>
                  </w:r>
                </w:p>
              </w:tc>
              <w:tc>
                <w:tcPr>
                  <w:tcW w:w="1372" w:type="dxa"/>
                  <w:vAlign w:val="center"/>
                </w:tcPr>
                <w:p w14:paraId="3919EB0E">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0.03L</w:t>
                  </w:r>
                </w:p>
              </w:tc>
              <w:tc>
                <w:tcPr>
                  <w:tcW w:w="1784" w:type="dxa"/>
                  <w:vAlign w:val="center"/>
                </w:tcPr>
                <w:p w14:paraId="0A96538E">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≤0.3</w:t>
                  </w:r>
                </w:p>
              </w:tc>
            </w:tr>
            <w:tr w14:paraId="3CA22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349" w:type="dxa"/>
                  <w:vAlign w:val="center"/>
                </w:tcPr>
                <w:p w14:paraId="741ABEE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锰</w:t>
                  </w:r>
                </w:p>
              </w:tc>
              <w:tc>
                <w:tcPr>
                  <w:tcW w:w="931" w:type="dxa"/>
                  <w:vAlign w:val="center"/>
                </w:tcPr>
                <w:p w14:paraId="4101CC21">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647B9E2E">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0.01L</w:t>
                  </w:r>
                </w:p>
              </w:tc>
              <w:tc>
                <w:tcPr>
                  <w:tcW w:w="1386" w:type="dxa"/>
                  <w:vAlign w:val="center"/>
                </w:tcPr>
                <w:p w14:paraId="299B371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0.01L</w:t>
                  </w:r>
                </w:p>
              </w:tc>
              <w:tc>
                <w:tcPr>
                  <w:tcW w:w="1372" w:type="dxa"/>
                  <w:vAlign w:val="center"/>
                </w:tcPr>
                <w:p w14:paraId="46590C48">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0.01L</w:t>
                  </w:r>
                </w:p>
              </w:tc>
              <w:tc>
                <w:tcPr>
                  <w:tcW w:w="1784" w:type="dxa"/>
                  <w:vAlign w:val="center"/>
                </w:tcPr>
                <w:p w14:paraId="68FCB5AB">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≤0.10</w:t>
                  </w:r>
                </w:p>
              </w:tc>
            </w:tr>
            <w:tr w14:paraId="1A171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349" w:type="dxa"/>
                  <w:vAlign w:val="center"/>
                </w:tcPr>
                <w:p w14:paraId="4E7B8356">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砷</w:t>
                  </w:r>
                </w:p>
              </w:tc>
              <w:tc>
                <w:tcPr>
                  <w:tcW w:w="931" w:type="dxa"/>
                  <w:vAlign w:val="center"/>
                </w:tcPr>
                <w:p w14:paraId="588011B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519E5A3C">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0.0003L</w:t>
                  </w:r>
                </w:p>
              </w:tc>
              <w:tc>
                <w:tcPr>
                  <w:tcW w:w="1386" w:type="dxa"/>
                  <w:vAlign w:val="center"/>
                </w:tcPr>
                <w:p w14:paraId="77E9E9A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0.0003L</w:t>
                  </w:r>
                </w:p>
              </w:tc>
              <w:tc>
                <w:tcPr>
                  <w:tcW w:w="1372" w:type="dxa"/>
                  <w:vAlign w:val="center"/>
                </w:tcPr>
                <w:p w14:paraId="555A5A01">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0.0003L</w:t>
                  </w:r>
                </w:p>
              </w:tc>
              <w:tc>
                <w:tcPr>
                  <w:tcW w:w="1784" w:type="dxa"/>
                  <w:vAlign w:val="center"/>
                </w:tcPr>
                <w:p w14:paraId="1932DCC7">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≤0.01</w:t>
                  </w:r>
                </w:p>
              </w:tc>
            </w:tr>
            <w:tr w14:paraId="3F3D0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349" w:type="dxa"/>
                  <w:vAlign w:val="center"/>
                </w:tcPr>
                <w:p w14:paraId="5DAC5A78">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汞</w:t>
                  </w:r>
                </w:p>
              </w:tc>
              <w:tc>
                <w:tcPr>
                  <w:tcW w:w="931" w:type="dxa"/>
                  <w:vAlign w:val="center"/>
                </w:tcPr>
                <w:p w14:paraId="0C835D4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51F88E3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0.00004L</w:t>
                  </w:r>
                </w:p>
              </w:tc>
              <w:tc>
                <w:tcPr>
                  <w:tcW w:w="1386" w:type="dxa"/>
                  <w:vAlign w:val="center"/>
                </w:tcPr>
                <w:p w14:paraId="18C8CA15">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0.00004L</w:t>
                  </w:r>
                </w:p>
              </w:tc>
              <w:tc>
                <w:tcPr>
                  <w:tcW w:w="1372" w:type="dxa"/>
                  <w:vAlign w:val="center"/>
                </w:tcPr>
                <w:p w14:paraId="2EF6F2E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0.00004L</w:t>
                  </w:r>
                </w:p>
              </w:tc>
              <w:tc>
                <w:tcPr>
                  <w:tcW w:w="1784" w:type="dxa"/>
                  <w:vAlign w:val="center"/>
                </w:tcPr>
                <w:p w14:paraId="298E69E0">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≤0.001</w:t>
                  </w:r>
                </w:p>
              </w:tc>
            </w:tr>
            <w:tr w14:paraId="23273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349" w:type="dxa"/>
                  <w:vAlign w:val="center"/>
                </w:tcPr>
                <w:p w14:paraId="72EDC0E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铬(六价)</w:t>
                  </w:r>
                </w:p>
              </w:tc>
              <w:tc>
                <w:tcPr>
                  <w:tcW w:w="931" w:type="dxa"/>
                  <w:vAlign w:val="center"/>
                </w:tcPr>
                <w:p w14:paraId="24A9867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052983C4">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0.004L</w:t>
                  </w:r>
                </w:p>
              </w:tc>
              <w:tc>
                <w:tcPr>
                  <w:tcW w:w="1386" w:type="dxa"/>
                  <w:vAlign w:val="center"/>
                </w:tcPr>
                <w:p w14:paraId="7A76982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0.004L</w:t>
                  </w:r>
                </w:p>
              </w:tc>
              <w:tc>
                <w:tcPr>
                  <w:tcW w:w="1372" w:type="dxa"/>
                  <w:vAlign w:val="center"/>
                </w:tcPr>
                <w:p w14:paraId="38152475">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0.004L</w:t>
                  </w:r>
                </w:p>
              </w:tc>
              <w:tc>
                <w:tcPr>
                  <w:tcW w:w="1784" w:type="dxa"/>
                  <w:vAlign w:val="center"/>
                </w:tcPr>
                <w:p w14:paraId="07DD2B9E">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≤0.05</w:t>
                  </w:r>
                </w:p>
              </w:tc>
            </w:tr>
            <w:tr w14:paraId="5AFAC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349" w:type="dxa"/>
                  <w:vAlign w:val="center"/>
                </w:tcPr>
                <w:p w14:paraId="3A546E5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氨氮</w:t>
                  </w:r>
                </w:p>
              </w:tc>
              <w:tc>
                <w:tcPr>
                  <w:tcW w:w="931" w:type="dxa"/>
                  <w:vAlign w:val="center"/>
                </w:tcPr>
                <w:p w14:paraId="2FBD1C1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7C461059">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0.100</w:t>
                  </w:r>
                </w:p>
              </w:tc>
              <w:tc>
                <w:tcPr>
                  <w:tcW w:w="1386" w:type="dxa"/>
                  <w:vAlign w:val="center"/>
                </w:tcPr>
                <w:p w14:paraId="5FCD64BD">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0.082</w:t>
                  </w:r>
                </w:p>
              </w:tc>
              <w:tc>
                <w:tcPr>
                  <w:tcW w:w="1372" w:type="dxa"/>
                  <w:vAlign w:val="center"/>
                </w:tcPr>
                <w:p w14:paraId="2D726A6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0.087</w:t>
                  </w:r>
                </w:p>
              </w:tc>
              <w:tc>
                <w:tcPr>
                  <w:tcW w:w="1784" w:type="dxa"/>
                  <w:vAlign w:val="center"/>
                </w:tcPr>
                <w:p w14:paraId="75F97908">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≤0.50</w:t>
                  </w:r>
                </w:p>
              </w:tc>
            </w:tr>
            <w:tr w14:paraId="2C38F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349" w:type="dxa"/>
                  <w:vAlign w:val="center"/>
                </w:tcPr>
                <w:p w14:paraId="17C47EA6">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亚硝酸盐</w:t>
                  </w:r>
                </w:p>
              </w:tc>
              <w:tc>
                <w:tcPr>
                  <w:tcW w:w="931" w:type="dxa"/>
                  <w:vAlign w:val="center"/>
                </w:tcPr>
                <w:p w14:paraId="17E4A14D">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1879762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0.003L</w:t>
                  </w:r>
                </w:p>
              </w:tc>
              <w:tc>
                <w:tcPr>
                  <w:tcW w:w="1386" w:type="dxa"/>
                  <w:vAlign w:val="center"/>
                </w:tcPr>
                <w:p w14:paraId="25E25CD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0.003L</w:t>
                  </w:r>
                </w:p>
              </w:tc>
              <w:tc>
                <w:tcPr>
                  <w:tcW w:w="1372" w:type="dxa"/>
                  <w:vAlign w:val="center"/>
                </w:tcPr>
                <w:p w14:paraId="767C9D24">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0.003L</w:t>
                  </w:r>
                </w:p>
              </w:tc>
              <w:tc>
                <w:tcPr>
                  <w:tcW w:w="1784" w:type="dxa"/>
                  <w:vAlign w:val="center"/>
                </w:tcPr>
                <w:p w14:paraId="70FBD5F6">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≤1.00</w:t>
                  </w:r>
                </w:p>
              </w:tc>
            </w:tr>
            <w:tr w14:paraId="38E86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349" w:type="dxa"/>
                  <w:vAlign w:val="center"/>
                </w:tcPr>
                <w:p w14:paraId="708AB8C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挥发酚</w:t>
                  </w:r>
                </w:p>
              </w:tc>
              <w:tc>
                <w:tcPr>
                  <w:tcW w:w="931" w:type="dxa"/>
                  <w:vAlign w:val="center"/>
                </w:tcPr>
                <w:p w14:paraId="245F99C8">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mg/L</w:t>
                  </w:r>
                </w:p>
              </w:tc>
              <w:tc>
                <w:tcPr>
                  <w:tcW w:w="1394" w:type="dxa"/>
                  <w:vAlign w:val="center"/>
                </w:tcPr>
                <w:p w14:paraId="2616BCD6">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0.0003L</w:t>
                  </w:r>
                </w:p>
              </w:tc>
              <w:tc>
                <w:tcPr>
                  <w:tcW w:w="1386" w:type="dxa"/>
                  <w:vAlign w:val="center"/>
                </w:tcPr>
                <w:p w14:paraId="2B103CFB">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0.0003L</w:t>
                  </w:r>
                </w:p>
              </w:tc>
              <w:tc>
                <w:tcPr>
                  <w:tcW w:w="1372" w:type="dxa"/>
                  <w:vAlign w:val="center"/>
                </w:tcPr>
                <w:p w14:paraId="4A71D4B0">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0.0003L</w:t>
                  </w:r>
                </w:p>
              </w:tc>
              <w:tc>
                <w:tcPr>
                  <w:tcW w:w="1784" w:type="dxa"/>
                  <w:vAlign w:val="center"/>
                </w:tcPr>
                <w:p w14:paraId="1D7863B8">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≤0.002</w:t>
                  </w:r>
                </w:p>
              </w:tc>
            </w:tr>
            <w:tr w14:paraId="2BA14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1349" w:type="dxa"/>
                  <w:vAlign w:val="center"/>
                </w:tcPr>
                <w:p w14:paraId="073C5A37">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细菌总数</w:t>
                  </w:r>
                </w:p>
              </w:tc>
              <w:tc>
                <w:tcPr>
                  <w:tcW w:w="931" w:type="dxa"/>
                  <w:vAlign w:val="center"/>
                </w:tcPr>
                <w:p w14:paraId="69E9C68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CFU/mL</w:t>
                  </w:r>
                </w:p>
              </w:tc>
              <w:tc>
                <w:tcPr>
                  <w:tcW w:w="1394" w:type="dxa"/>
                  <w:vAlign w:val="center"/>
                </w:tcPr>
                <w:p w14:paraId="01879182">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23</w:t>
                  </w:r>
                </w:p>
              </w:tc>
              <w:tc>
                <w:tcPr>
                  <w:tcW w:w="1386" w:type="dxa"/>
                  <w:vAlign w:val="center"/>
                </w:tcPr>
                <w:p w14:paraId="62A6BA58">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29</w:t>
                  </w:r>
                </w:p>
              </w:tc>
              <w:tc>
                <w:tcPr>
                  <w:tcW w:w="1372" w:type="dxa"/>
                  <w:vAlign w:val="center"/>
                </w:tcPr>
                <w:p w14:paraId="3922266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33</w:t>
                  </w:r>
                </w:p>
              </w:tc>
              <w:tc>
                <w:tcPr>
                  <w:tcW w:w="1784" w:type="dxa"/>
                  <w:vAlign w:val="center"/>
                </w:tcPr>
                <w:p w14:paraId="5411262E">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≤100</w:t>
                  </w:r>
                </w:p>
              </w:tc>
            </w:tr>
            <w:tr w14:paraId="1C4B1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1349" w:type="dxa"/>
                  <w:vAlign w:val="center"/>
                </w:tcPr>
                <w:p w14:paraId="125AA020">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总大肠菌群</w:t>
                  </w:r>
                </w:p>
              </w:tc>
              <w:tc>
                <w:tcPr>
                  <w:tcW w:w="931" w:type="dxa"/>
                  <w:vAlign w:val="center"/>
                </w:tcPr>
                <w:p w14:paraId="7DCFDDDA">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MPN/100mL</w:t>
                  </w:r>
                </w:p>
              </w:tc>
              <w:tc>
                <w:tcPr>
                  <w:tcW w:w="1394" w:type="dxa"/>
                  <w:vAlign w:val="center"/>
                </w:tcPr>
                <w:p w14:paraId="418BDE9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1.0L</w:t>
                  </w:r>
                </w:p>
              </w:tc>
              <w:tc>
                <w:tcPr>
                  <w:tcW w:w="1386" w:type="dxa"/>
                  <w:vAlign w:val="center"/>
                </w:tcPr>
                <w:p w14:paraId="2F8A1F6C">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1.0L</w:t>
                  </w:r>
                </w:p>
              </w:tc>
              <w:tc>
                <w:tcPr>
                  <w:tcW w:w="1372" w:type="dxa"/>
                  <w:vAlign w:val="center"/>
                </w:tcPr>
                <w:p w14:paraId="470BFF7F">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en-US" w:eastAsia="zh-CN"/>
                    </w:rPr>
                    <w:t>1.0L</w:t>
                  </w:r>
                </w:p>
              </w:tc>
              <w:tc>
                <w:tcPr>
                  <w:tcW w:w="1784" w:type="dxa"/>
                  <w:vAlign w:val="center"/>
                </w:tcPr>
                <w:p w14:paraId="1452ECCD">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≤3.0</w:t>
                  </w:r>
                </w:p>
              </w:tc>
            </w:tr>
            <w:tr w14:paraId="1D3AE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jc w:val="center"/>
              </w:trPr>
              <w:tc>
                <w:tcPr>
                  <w:tcW w:w="1349" w:type="dxa"/>
                  <w:vAlign w:val="center"/>
                </w:tcPr>
                <w:p w14:paraId="7638A2B1">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参考标准</w:t>
                  </w:r>
                </w:p>
              </w:tc>
              <w:tc>
                <w:tcPr>
                  <w:tcW w:w="6867" w:type="dxa"/>
                  <w:gridSpan w:val="5"/>
                  <w:vAlign w:val="center"/>
                </w:tcPr>
                <w:p w14:paraId="25560233">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《地下水质量标准》GB/T14848-2017IⅢ类限值</w:t>
                  </w:r>
                </w:p>
              </w:tc>
            </w:tr>
            <w:tr w14:paraId="3702E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1349" w:type="dxa"/>
                  <w:vAlign w:val="center"/>
                </w:tcPr>
                <w:p w14:paraId="2ABC4A64">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备注</w:t>
                  </w:r>
                </w:p>
              </w:tc>
              <w:tc>
                <w:tcPr>
                  <w:tcW w:w="6867" w:type="dxa"/>
                  <w:gridSpan w:val="5"/>
                  <w:vAlign w:val="center"/>
                </w:tcPr>
                <w:p w14:paraId="5409ED66">
                  <w:pPr>
                    <w:pStyle w:val="67"/>
                    <w:keepNext w:val="0"/>
                    <w:keepLines w:val="0"/>
                    <w:pageBreakBefore w:val="0"/>
                    <w:suppressLineNumbers w:val="0"/>
                    <w:kinsoku/>
                    <w:overflowPunct/>
                    <w:bidi w:val="0"/>
                    <w:spacing w:beforeAutospacing="0" w:after="0" w:afterLines="0" w:afterAutospacing="0"/>
                    <w:ind w:left="0" w:right="0"/>
                    <w:jc w:val="center"/>
                    <w:textAlignment w:val="auto"/>
                    <w:rPr>
                      <w:rFonts w:hint="eastAsia" w:ascii="Times New Roman" w:hAnsi="Times New Roman" w:eastAsia="宋体"/>
                      <w:color w:val="auto"/>
                      <w:sz w:val="21"/>
                      <w:szCs w:val="21"/>
                      <w:highlight w:val="none"/>
                      <w:lang w:val="zh-CN" w:eastAsia="zh-CN"/>
                    </w:rPr>
                  </w:pPr>
                  <w:r>
                    <w:rPr>
                      <w:rFonts w:hint="eastAsia" w:ascii="Times New Roman" w:hAnsi="Times New Roman" w:eastAsia="宋体"/>
                      <w:color w:val="auto"/>
                      <w:sz w:val="21"/>
                      <w:szCs w:val="21"/>
                      <w:highlight w:val="none"/>
                      <w:lang w:val="zh-CN" w:eastAsia="zh-CN"/>
                    </w:rPr>
                    <w:t>“L”——未检出</w:t>
                  </w:r>
                </w:p>
              </w:tc>
            </w:tr>
          </w:tbl>
          <w:p w14:paraId="7521C14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p>
          <w:p w14:paraId="3234F3A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根据例行监测报告的3个地下水现状监测点监测结果可知，超标因子包括溶解性总固体（超标1个点）、硫酸盐（超标1个点）、氯化物（超标3个点）、氟化物（超标3个点）、钠（超标2个点）。除此之外，其它监测点其它监测因子皆满足《地下水质量标准》（GB/T14848-2017）中Ⅲ类标准。</w:t>
            </w:r>
          </w:p>
          <w:p w14:paraId="09AAD2A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color w:val="auto"/>
              </w:rPr>
            </w:pPr>
            <w:r>
              <w:rPr>
                <w:rFonts w:hint="eastAsia" w:ascii="Times New Roman"/>
                <w:color w:val="auto"/>
                <w:lang w:val="en-US" w:eastAsia="zh-CN"/>
              </w:rPr>
              <w:t>根据</w:t>
            </w:r>
            <w:r>
              <w:rPr>
                <w:rFonts w:hint="default" w:ascii="Times New Roman"/>
                <w:color w:val="auto"/>
              </w:rPr>
              <w:t>《内蒙古蒙西高新技术工业园区地下水环境状况初步调查评估报告》</w:t>
            </w:r>
            <w:r>
              <w:rPr>
                <w:rFonts w:hint="eastAsia" w:ascii="Times New Roman"/>
                <w:color w:val="auto"/>
                <w:lang w:eastAsia="zh-CN"/>
              </w:rPr>
              <w:t>，</w:t>
            </w:r>
            <w:r>
              <w:rPr>
                <w:rFonts w:hint="default" w:ascii="Times New Roman"/>
                <w:color w:val="auto"/>
              </w:rPr>
              <w:t>该调查评估报告结合蒙西地区历史监测数据对超标因子超标原因进行了分析，结论为：蒙西镇位于千里山西侧和黄河东岸，地形为山前冲洪积平原，地下水系统属于山前台地与黄河冲积平原地下水系统，分为松散岩类孔隙潜水和半承压水，含水层为中更新统冲积、洪积层，岩性为浅黄色卵砾石、砂砾石、粗砂及中细砂，地下水径流方向由东向西，最终排泄于黄河。地下水在从山前到平原径流排泄过程中，水岩作用使含水层介质中大量的盐分溶解至地下水中，同时平原区地下水径流水力梯度变小（约为0.7‰），地下水径流滞缓，地下水的蒸发浓缩作用强烈，大量的溶质富集，造成盐类超标。因此，结合蒙西地区地下水历史监测数据分析和区域地质背景，蒙西地下水中溶解性总固体、总硬度、氯化物、氟化物、钠、硫酸盐背景值较高，存在超标现象。</w:t>
            </w:r>
          </w:p>
          <w:p w14:paraId="7256F75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color w:val="auto"/>
              </w:rPr>
            </w:pPr>
            <w:r>
              <w:rPr>
                <w:rFonts w:hint="default" w:ascii="Times New Roman"/>
                <w:color w:val="auto"/>
              </w:rPr>
              <w:t>根据调查评估报告可知，蒙西园区所在区域地下水中总硬度、溶解性总固体、氟化物、硫酸盐、钠和氯化物均存在超标</w:t>
            </w:r>
            <w:r>
              <w:rPr>
                <w:rFonts w:hint="eastAsia"/>
                <w:color w:val="auto"/>
                <w:lang w:val="en-US" w:eastAsia="zh-CN"/>
              </w:rPr>
              <w:t>现象</w:t>
            </w:r>
            <w:r>
              <w:rPr>
                <w:rFonts w:hint="default" w:ascii="Times New Roman"/>
                <w:color w:val="auto"/>
              </w:rPr>
              <w:t>，超标原因为该区域内天然水文地质条件所致。</w:t>
            </w:r>
          </w:p>
          <w:p w14:paraId="600868D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4、生态环境质量现状</w:t>
            </w:r>
          </w:p>
          <w:p w14:paraId="77030C2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本项目位于鄂托克高新技术产业开发区蒙西产业园内蒙古美力坚清蓝危废处置有限公司厂区内，不新增占地，根据《建设项目环境影响报告表编制技术指南（污染影响类）》，不开展生态环境现状调查。</w:t>
            </w:r>
          </w:p>
        </w:tc>
      </w:tr>
      <w:tr w14:paraId="370048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6" w:type="dxa"/>
            <w:noWrap w:val="0"/>
            <w:vAlign w:val="center"/>
          </w:tcPr>
          <w:p w14:paraId="517A2803">
            <w:pPr>
              <w:keepNext w:val="0"/>
              <w:keepLines w:val="0"/>
              <w:pageBreakBefore w:val="0"/>
              <w:suppressLineNumbers w:val="0"/>
              <w:kinsoku/>
              <w:wordWrap/>
              <w:overflowPunct/>
              <w:topLinePunct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kern w:val="0"/>
                <w:szCs w:val="21"/>
              </w:rPr>
            </w:pPr>
            <w:r>
              <w:rPr>
                <w:rFonts w:hint="default" w:ascii="Times New Roman" w:hAnsi="Times New Roman" w:eastAsia="宋体"/>
                <w:color w:val="auto"/>
                <w:kern w:val="0"/>
                <w:sz w:val="24"/>
                <w:szCs w:val="24"/>
              </w:rPr>
              <w:t>环境保护目标</w:t>
            </w:r>
          </w:p>
        </w:tc>
        <w:tc>
          <w:tcPr>
            <w:tcW w:w="8524" w:type="dxa"/>
            <w:noWrap w:val="0"/>
            <w:vAlign w:val="center"/>
          </w:tcPr>
          <w:p w14:paraId="58A70C0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根据《建设项目环境影响报告表编制技术指南（污染影响类）》关于环境保护目标的要求：大气环境保护目标为厂界外500米范围内的自然保护区、风景名胜区、居住区、文化区和农村地区中人群较集中的区域；声环境保护目标为厂界外50米范围内依据法律、法规、标准政策等确定的需要保持安静的建筑物及建筑物集中区；地下水环境保护目标为厂界外500米范围内的地下水集中式饮用水水源和热水、矿泉水、温泉等特殊地下水资源。</w:t>
            </w:r>
            <w:r>
              <w:rPr>
                <w:rFonts w:hint="eastAsia"/>
                <w:color w:val="auto"/>
                <w:lang w:val="en-US" w:eastAsia="zh-CN"/>
              </w:rPr>
              <w:t>本</w:t>
            </w:r>
            <w:r>
              <w:rPr>
                <w:rFonts w:hint="eastAsia" w:ascii="Times New Roman" w:hAnsi="Times New Roman" w:eastAsia="宋体" w:cs="Times New Roman"/>
                <w:color w:val="auto"/>
                <w:kern w:val="0"/>
                <w:szCs w:val="21"/>
                <w:lang w:val="en-US" w:eastAsia="zh-CN"/>
              </w:rPr>
              <w:t>项目与西鄂尔多斯国家级自然保护区相距3350m。</w:t>
            </w:r>
          </w:p>
          <w:p w14:paraId="3F9AA7E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本项目位于鄂托克高新技术产业开发区蒙西产业园内蒙古美力坚清蓝危废处置有限公司厂区内，厂址中心坐标为</w:t>
            </w:r>
            <w:r>
              <w:rPr>
                <w:rFonts w:hint="default" w:ascii="Times New Roman" w:hAnsi="Times New Roman" w:eastAsia="宋体" w:cs="Times New Roman"/>
                <w:color w:val="auto"/>
                <w:kern w:val="0"/>
                <w:szCs w:val="21"/>
                <w:lang w:val="en-US" w:eastAsia="zh-CN"/>
              </w:rPr>
              <w:t>106.77893341°E，39.89684767°N</w:t>
            </w:r>
            <w:r>
              <w:rPr>
                <w:rFonts w:hint="eastAsia" w:ascii="Times New Roman" w:hAnsi="Times New Roman" w:eastAsia="宋体" w:cs="Times New Roman"/>
                <w:color w:val="auto"/>
                <w:kern w:val="0"/>
                <w:szCs w:val="21"/>
                <w:lang w:val="en-US" w:eastAsia="zh-CN"/>
              </w:rPr>
              <w:t>。根据现场踏勘及工程资料，项目环境影响评价范围内无通讯电台、飞机场、导航台等通讯设施，无自然保护区、风景名胜区、世界文化和自然遗产地、饮用水水源保护区等敏感区域。经调查确定本项目不存在大气、地下水、声环境保护目标，具体如下：</w:t>
            </w:r>
          </w:p>
          <w:p w14:paraId="6979A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zh-CN" w:eastAsia="zh-CN"/>
              </w:rPr>
              <w:t>表3-</w:t>
            </w:r>
            <w:r>
              <w:rPr>
                <w:rFonts w:hint="eastAsia" w:ascii="Times New Roman" w:hAnsi="Times New Roman" w:eastAsia="宋体" w:cs="Times New Roman"/>
                <w:b/>
                <w:bCs/>
                <w:color w:val="auto"/>
                <w:sz w:val="24"/>
                <w:lang w:val="en-US" w:eastAsia="zh-CN"/>
              </w:rPr>
              <w:t>9</w:t>
            </w:r>
            <w:r>
              <w:rPr>
                <w:rFonts w:hint="eastAsia" w:ascii="Times New Roman" w:hAnsi="Times New Roman" w:eastAsia="宋体" w:cs="Times New Roman"/>
                <w:b/>
                <w:bCs/>
                <w:color w:val="auto"/>
                <w:sz w:val="24"/>
                <w:lang w:val="zh-CN" w:eastAsia="zh-CN"/>
              </w:rPr>
              <w:t>本项目主要环境保护对象与级别</w:t>
            </w:r>
          </w:p>
          <w:tbl>
            <w:tblPr>
              <w:tblStyle w:val="24"/>
              <w:tblW w:w="4930" w:type="pct"/>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1"/>
              <w:gridCol w:w="6821"/>
            </w:tblGrid>
            <w:tr w14:paraId="26696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831" w:type="pct"/>
                  <w:tcBorders>
                    <w:tl2br w:val="nil"/>
                    <w:tr2bl w:val="nil"/>
                  </w:tcBorders>
                  <w:noWrap w:val="0"/>
                  <w:vAlign w:val="center"/>
                </w:tcPr>
                <w:p w14:paraId="6B574AA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环境要素</w:t>
                  </w:r>
                </w:p>
              </w:tc>
              <w:tc>
                <w:tcPr>
                  <w:tcW w:w="4168" w:type="pct"/>
                  <w:tcBorders>
                    <w:tl2br w:val="nil"/>
                    <w:tr2bl w:val="nil"/>
                  </w:tcBorders>
                  <w:noWrap w:val="0"/>
                  <w:vAlign w:val="center"/>
                </w:tcPr>
                <w:p w14:paraId="37456DC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保护目标</w:t>
                  </w:r>
                </w:p>
              </w:tc>
            </w:tr>
            <w:tr w14:paraId="18938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831" w:type="pct"/>
                  <w:tcBorders>
                    <w:tl2br w:val="nil"/>
                    <w:tr2bl w:val="nil"/>
                  </w:tcBorders>
                  <w:noWrap w:val="0"/>
                  <w:vAlign w:val="center"/>
                </w:tcPr>
                <w:p w14:paraId="418E808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大气环境</w:t>
                  </w:r>
                </w:p>
              </w:tc>
              <w:tc>
                <w:tcPr>
                  <w:tcW w:w="4168" w:type="pct"/>
                  <w:tcBorders>
                    <w:tl2br w:val="nil"/>
                    <w:tr2bl w:val="nil"/>
                  </w:tcBorders>
                  <w:noWrap w:val="0"/>
                  <w:vAlign w:val="center"/>
                </w:tcPr>
                <w:p w14:paraId="1762768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厂界外500米范围内无自然保护区、风景名胜区、居住区、文化区和农村地区中人群较集中的区域。</w:t>
                  </w:r>
                </w:p>
              </w:tc>
            </w:tr>
            <w:tr w14:paraId="0CF0D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831" w:type="pct"/>
                  <w:tcBorders>
                    <w:tl2br w:val="nil"/>
                    <w:tr2bl w:val="nil"/>
                  </w:tcBorders>
                  <w:noWrap w:val="0"/>
                  <w:vAlign w:val="center"/>
                </w:tcPr>
                <w:p w14:paraId="60F7AD2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地下水环境</w:t>
                  </w:r>
                </w:p>
              </w:tc>
              <w:tc>
                <w:tcPr>
                  <w:tcW w:w="4168" w:type="pct"/>
                  <w:tcBorders>
                    <w:tl2br w:val="nil"/>
                    <w:tr2bl w:val="nil"/>
                  </w:tcBorders>
                  <w:noWrap w:val="0"/>
                  <w:vAlign w:val="center"/>
                </w:tcPr>
                <w:p w14:paraId="33C7F8F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厂界外500米范围内无地下水集中式饮用水水源和热水、矿泉水、温泉等特殊地下水资源。</w:t>
                  </w:r>
                </w:p>
              </w:tc>
            </w:tr>
            <w:tr w14:paraId="5798C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831" w:type="pct"/>
                  <w:tcBorders>
                    <w:tl2br w:val="nil"/>
                    <w:tr2bl w:val="nil"/>
                  </w:tcBorders>
                  <w:noWrap w:val="0"/>
                  <w:vAlign w:val="center"/>
                </w:tcPr>
                <w:p w14:paraId="3CB2D7A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声环境</w:t>
                  </w:r>
                </w:p>
              </w:tc>
              <w:tc>
                <w:tcPr>
                  <w:tcW w:w="4168" w:type="pct"/>
                  <w:tcBorders>
                    <w:tl2br w:val="nil"/>
                    <w:tr2bl w:val="nil"/>
                  </w:tcBorders>
                  <w:noWrap w:val="0"/>
                  <w:vAlign w:val="center"/>
                </w:tcPr>
                <w:p w14:paraId="55F3D7E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项目周围50m范围内无声环境保护目标</w:t>
                  </w:r>
                </w:p>
              </w:tc>
            </w:tr>
          </w:tbl>
          <w:p w14:paraId="71D61331">
            <w:pPr>
              <w:keepNext w:val="0"/>
              <w:keepLines w:val="0"/>
              <w:pageBreakBefore w:val="0"/>
              <w:suppressLineNumbers w:val="0"/>
              <w:kinsoku/>
              <w:wordWrap/>
              <w:overflowPunct/>
              <w:topLinePunct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kern w:val="0"/>
                <w:szCs w:val="21"/>
              </w:rPr>
            </w:pPr>
          </w:p>
        </w:tc>
      </w:tr>
      <w:tr w14:paraId="2BB233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466" w:type="dxa"/>
            <w:noWrap w:val="0"/>
            <w:tcMar>
              <w:left w:w="28" w:type="dxa"/>
              <w:right w:w="28" w:type="dxa"/>
            </w:tcMar>
            <w:vAlign w:val="center"/>
          </w:tcPr>
          <w:p w14:paraId="69E9D382">
            <w:pPr>
              <w:keepNext w:val="0"/>
              <w:keepLines w:val="0"/>
              <w:pageBreakBefore w:val="0"/>
              <w:suppressLineNumbers w:val="0"/>
              <w:kinsoku/>
              <w:wordWrap/>
              <w:overflowPunct/>
              <w:topLinePunct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kern w:val="0"/>
                <w:szCs w:val="21"/>
              </w:rPr>
            </w:pPr>
            <w:r>
              <w:rPr>
                <w:rFonts w:hint="default" w:ascii="Times New Roman" w:hAnsi="Times New Roman" w:eastAsia="宋体"/>
                <w:color w:val="auto"/>
                <w:kern w:val="0"/>
                <w:sz w:val="24"/>
                <w:szCs w:val="24"/>
              </w:rPr>
              <w:t>污染物排放控制标准</w:t>
            </w:r>
          </w:p>
        </w:tc>
        <w:tc>
          <w:tcPr>
            <w:tcW w:w="8524" w:type="dxa"/>
            <w:noWrap w:val="0"/>
            <w:vAlign w:val="center"/>
          </w:tcPr>
          <w:p w14:paraId="2673F34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zh-CN" w:eastAsia="zh-CN"/>
              </w:rPr>
            </w:pPr>
            <w:r>
              <w:rPr>
                <w:rFonts w:hint="eastAsia" w:ascii="Times New Roman" w:hAnsi="Times New Roman" w:eastAsia="宋体" w:cs="Times New Roman"/>
                <w:color w:val="auto"/>
                <w:kern w:val="0"/>
                <w:szCs w:val="21"/>
                <w:lang w:val="en-US" w:eastAsia="zh-CN"/>
              </w:rPr>
              <w:t>1、</w:t>
            </w:r>
            <w:r>
              <w:rPr>
                <w:rFonts w:hint="eastAsia" w:ascii="Times New Roman" w:hAnsi="Times New Roman" w:eastAsia="宋体" w:cs="Times New Roman"/>
                <w:color w:val="auto"/>
                <w:kern w:val="0"/>
                <w:szCs w:val="21"/>
                <w:lang w:val="zh-CN" w:eastAsia="zh-CN"/>
              </w:rPr>
              <w:t>废水排放标准</w:t>
            </w:r>
          </w:p>
          <w:p w14:paraId="71F1D7E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color w:val="auto"/>
                <w:lang w:val="en-US" w:eastAsia="zh-CN"/>
              </w:rPr>
              <w:t>施工期生产、生活废水</w:t>
            </w:r>
            <w:r>
              <w:rPr>
                <w:rFonts w:hint="eastAsia" w:cs="Times New Roman"/>
                <w:color w:val="auto"/>
                <w:kern w:val="0"/>
                <w:szCs w:val="21"/>
                <w:lang w:val="en-US" w:eastAsia="zh-CN"/>
              </w:rPr>
              <w:t>经厂内现有污水处理系统处理后</w:t>
            </w:r>
            <w:r>
              <w:rPr>
                <w:rFonts w:hint="eastAsia" w:ascii="Times New Roman" w:hAnsi="Times New Roman" w:eastAsia="宋体" w:cs="Times New Roman"/>
                <w:color w:val="auto"/>
                <w:kern w:val="0"/>
                <w:szCs w:val="21"/>
                <w:lang w:val="en-US" w:eastAsia="zh-CN"/>
              </w:rPr>
              <w:t>全部</w:t>
            </w:r>
            <w:r>
              <w:rPr>
                <w:rFonts w:hint="eastAsia" w:cs="Times New Roman"/>
                <w:color w:val="auto"/>
                <w:kern w:val="0"/>
                <w:szCs w:val="21"/>
                <w:lang w:val="en-US" w:eastAsia="zh-CN"/>
              </w:rPr>
              <w:t>厂内回用，</w:t>
            </w:r>
            <w:r>
              <w:rPr>
                <w:rFonts w:hint="eastAsia" w:ascii="Times New Roman" w:hAnsi="Times New Roman" w:eastAsia="宋体" w:cs="Times New Roman"/>
                <w:color w:val="auto"/>
                <w:kern w:val="0"/>
                <w:szCs w:val="21"/>
                <w:lang w:val="en-US" w:eastAsia="zh-CN"/>
              </w:rPr>
              <w:t>不外排。</w:t>
            </w:r>
          </w:p>
          <w:p w14:paraId="40DE005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运营期</w:t>
            </w:r>
            <w:r>
              <w:rPr>
                <w:rFonts w:hint="eastAsia" w:cs="Times New Roman"/>
                <w:color w:val="auto"/>
                <w:kern w:val="0"/>
                <w:szCs w:val="21"/>
                <w:lang w:val="en-US" w:eastAsia="zh-CN"/>
              </w:rPr>
              <w:t>产生的</w:t>
            </w:r>
            <w:r>
              <w:rPr>
                <w:rFonts w:hint="eastAsia" w:ascii="Times New Roman" w:hAnsi="Times New Roman" w:eastAsia="宋体" w:cs="Times New Roman"/>
                <w:color w:val="auto"/>
                <w:kern w:val="0"/>
                <w:szCs w:val="21"/>
                <w:lang w:val="en-US" w:eastAsia="zh-CN"/>
              </w:rPr>
              <w:t>生活</w:t>
            </w:r>
            <w:r>
              <w:rPr>
                <w:rFonts w:hint="eastAsia" w:cs="Times New Roman"/>
                <w:color w:val="auto"/>
                <w:kern w:val="0"/>
                <w:szCs w:val="21"/>
                <w:lang w:val="en-US" w:eastAsia="zh-CN"/>
              </w:rPr>
              <w:t>污水经厂内现有污水处理系统处理</w:t>
            </w:r>
            <w:r>
              <w:rPr>
                <w:rFonts w:hint="eastAsia" w:ascii="Times New Roman" w:hAnsi="Times New Roman" w:eastAsia="宋体" w:cs="Times New Roman"/>
                <w:color w:val="auto"/>
                <w:kern w:val="0"/>
                <w:szCs w:val="21"/>
                <w:lang w:val="en-US" w:eastAsia="zh-CN"/>
              </w:rPr>
              <w:t>全部</w:t>
            </w:r>
            <w:r>
              <w:rPr>
                <w:rFonts w:hint="eastAsia" w:cs="Times New Roman"/>
                <w:color w:val="auto"/>
                <w:kern w:val="0"/>
                <w:szCs w:val="21"/>
                <w:lang w:val="en-US" w:eastAsia="zh-CN"/>
              </w:rPr>
              <w:t>厂内回用，</w:t>
            </w:r>
            <w:r>
              <w:rPr>
                <w:rFonts w:hint="eastAsia" w:ascii="Times New Roman" w:hAnsi="Times New Roman" w:eastAsia="宋体" w:cs="Times New Roman"/>
                <w:color w:val="auto"/>
                <w:kern w:val="0"/>
                <w:szCs w:val="21"/>
                <w:lang w:val="en-US" w:eastAsia="zh-CN"/>
              </w:rPr>
              <w:t>不外排，</w:t>
            </w:r>
            <w:r>
              <w:rPr>
                <w:rFonts w:hint="default"/>
                <w:color w:val="auto"/>
                <w:highlight w:val="none"/>
              </w:rPr>
              <w:t>处理后的</w:t>
            </w:r>
            <w:r>
              <w:rPr>
                <w:rFonts w:hint="eastAsia"/>
                <w:color w:val="auto"/>
                <w:highlight w:val="none"/>
                <w:lang w:val="en-US" w:eastAsia="zh-CN"/>
              </w:rPr>
              <w:t>污水</w:t>
            </w:r>
            <w:r>
              <w:rPr>
                <w:rFonts w:hint="default"/>
                <w:color w:val="auto"/>
                <w:highlight w:val="none"/>
              </w:rPr>
              <w:t>水达到《城市污水再生利用工业用水水质》（GB/T19923-20</w:t>
            </w:r>
            <w:r>
              <w:rPr>
                <w:rFonts w:hint="eastAsia"/>
                <w:color w:val="auto"/>
                <w:highlight w:val="none"/>
                <w:lang w:val="en-US" w:eastAsia="zh-CN"/>
              </w:rPr>
              <w:t>24</w:t>
            </w:r>
            <w:r>
              <w:rPr>
                <w:rFonts w:hint="default"/>
                <w:color w:val="auto"/>
                <w:highlight w:val="none"/>
              </w:rPr>
              <w:t>）标准后</w:t>
            </w:r>
            <w:r>
              <w:rPr>
                <w:rFonts w:hint="eastAsia"/>
                <w:color w:val="auto"/>
                <w:highlight w:val="none"/>
                <w:lang w:val="en-US" w:eastAsia="zh-CN"/>
              </w:rPr>
              <w:t>全部</w:t>
            </w:r>
            <w:r>
              <w:rPr>
                <w:rFonts w:hint="default"/>
                <w:color w:val="auto"/>
                <w:highlight w:val="none"/>
              </w:rPr>
              <w:t>回用</w:t>
            </w:r>
            <w:r>
              <w:rPr>
                <w:rFonts w:hint="eastAsia"/>
                <w:color w:val="auto"/>
                <w:highlight w:val="none"/>
                <w:lang w:eastAsia="zh-CN"/>
              </w:rPr>
              <w:t>，</w:t>
            </w:r>
            <w:r>
              <w:rPr>
                <w:rFonts w:hint="eastAsia"/>
                <w:color w:val="auto"/>
                <w:highlight w:val="none"/>
                <w:lang w:val="en-US" w:eastAsia="zh-CN"/>
              </w:rPr>
              <w:t>详见表3-10</w:t>
            </w:r>
            <w:r>
              <w:rPr>
                <w:rFonts w:hint="eastAsia" w:ascii="Times New Roman" w:hAnsi="Times New Roman" w:eastAsia="宋体" w:cs="Times New Roman"/>
                <w:color w:val="auto"/>
                <w:kern w:val="0"/>
                <w:szCs w:val="21"/>
                <w:lang w:val="en-US" w:eastAsia="zh-CN"/>
              </w:rPr>
              <w:t>。</w:t>
            </w:r>
          </w:p>
          <w:p w14:paraId="7A30E2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9"/>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表3-10废水回用标准一览表</w:t>
            </w:r>
          </w:p>
          <w:tbl>
            <w:tblPr>
              <w:tblStyle w:val="2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69"/>
              <w:gridCol w:w="2769"/>
              <w:gridCol w:w="2770"/>
            </w:tblGrid>
            <w:tr w14:paraId="0EA32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9" w:type="dxa"/>
                  <w:tcBorders>
                    <w:tl2br w:val="nil"/>
                    <w:tr2bl w:val="nil"/>
                  </w:tcBorders>
                </w:tcPr>
                <w:p w14:paraId="33445B4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污染物项目</w:t>
                  </w:r>
                </w:p>
              </w:tc>
              <w:tc>
                <w:tcPr>
                  <w:tcW w:w="2769" w:type="dxa"/>
                  <w:tcBorders>
                    <w:tl2br w:val="nil"/>
                    <w:tr2bl w:val="nil"/>
                  </w:tcBorders>
                </w:tcPr>
                <w:p w14:paraId="2D252B1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单位</w:t>
                  </w:r>
                </w:p>
              </w:tc>
              <w:tc>
                <w:tcPr>
                  <w:tcW w:w="2770" w:type="dxa"/>
                  <w:tcBorders>
                    <w:tl2br w:val="nil"/>
                    <w:tr2bl w:val="nil"/>
                  </w:tcBorders>
                </w:tcPr>
                <w:p w14:paraId="717F891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标准要求</w:t>
                  </w:r>
                </w:p>
              </w:tc>
            </w:tr>
            <w:tr w14:paraId="62F9A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9" w:type="dxa"/>
                  <w:tcBorders>
                    <w:tl2br w:val="nil"/>
                    <w:tr2bl w:val="nil"/>
                  </w:tcBorders>
                </w:tcPr>
                <w:p w14:paraId="39F5242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PH</w:t>
                  </w:r>
                </w:p>
              </w:tc>
              <w:tc>
                <w:tcPr>
                  <w:tcW w:w="2769" w:type="dxa"/>
                  <w:tcBorders>
                    <w:tl2br w:val="nil"/>
                    <w:tr2bl w:val="nil"/>
                  </w:tcBorders>
                </w:tcPr>
                <w:p w14:paraId="3DDDD00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无量纲</w:t>
                  </w:r>
                </w:p>
              </w:tc>
              <w:tc>
                <w:tcPr>
                  <w:tcW w:w="2770" w:type="dxa"/>
                  <w:tcBorders>
                    <w:tl2br w:val="nil"/>
                    <w:tr2bl w:val="nil"/>
                  </w:tcBorders>
                </w:tcPr>
                <w:p w14:paraId="4F562E5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6.5~8.5</w:t>
                  </w:r>
                </w:p>
              </w:tc>
            </w:tr>
            <w:tr w14:paraId="7C47F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9" w:type="dxa"/>
                  <w:tcBorders>
                    <w:tl2br w:val="nil"/>
                    <w:tr2bl w:val="nil"/>
                  </w:tcBorders>
                </w:tcPr>
                <w:p w14:paraId="2648001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COD</w:t>
                  </w:r>
                </w:p>
              </w:tc>
              <w:tc>
                <w:tcPr>
                  <w:tcW w:w="2769" w:type="dxa"/>
                  <w:tcBorders>
                    <w:tl2br w:val="nil"/>
                    <w:tr2bl w:val="nil"/>
                  </w:tcBorders>
                </w:tcPr>
                <w:p w14:paraId="26D551B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mg/L</w:t>
                  </w:r>
                </w:p>
              </w:tc>
              <w:tc>
                <w:tcPr>
                  <w:tcW w:w="2770" w:type="dxa"/>
                  <w:tcBorders>
                    <w:tl2br w:val="nil"/>
                    <w:tr2bl w:val="nil"/>
                  </w:tcBorders>
                </w:tcPr>
                <w:p w14:paraId="046AB8B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≤60</w:t>
                  </w:r>
                </w:p>
              </w:tc>
            </w:tr>
            <w:tr w14:paraId="0E422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9" w:type="dxa"/>
                  <w:tcBorders>
                    <w:tl2br w:val="nil"/>
                    <w:tr2bl w:val="nil"/>
                  </w:tcBorders>
                </w:tcPr>
                <w:p w14:paraId="0407CA6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BOD</w:t>
                  </w:r>
                </w:p>
              </w:tc>
              <w:tc>
                <w:tcPr>
                  <w:tcW w:w="2769" w:type="dxa"/>
                  <w:tcBorders>
                    <w:tl2br w:val="nil"/>
                    <w:tr2bl w:val="nil"/>
                  </w:tcBorders>
                </w:tcPr>
                <w:p w14:paraId="6C15A6C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mg/L</w:t>
                  </w:r>
                </w:p>
              </w:tc>
              <w:tc>
                <w:tcPr>
                  <w:tcW w:w="2770" w:type="dxa"/>
                  <w:tcBorders>
                    <w:tl2br w:val="nil"/>
                    <w:tr2bl w:val="nil"/>
                  </w:tcBorders>
                </w:tcPr>
                <w:p w14:paraId="0623EF5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w:t>
                  </w:r>
                </w:p>
              </w:tc>
            </w:tr>
            <w:tr w14:paraId="47FE7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9" w:type="dxa"/>
                  <w:tcBorders>
                    <w:tl2br w:val="nil"/>
                    <w:tr2bl w:val="nil"/>
                  </w:tcBorders>
                </w:tcPr>
                <w:p w14:paraId="6FBF9B0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SS</w:t>
                  </w:r>
                </w:p>
              </w:tc>
              <w:tc>
                <w:tcPr>
                  <w:tcW w:w="2769" w:type="dxa"/>
                  <w:tcBorders>
                    <w:tl2br w:val="nil"/>
                    <w:tr2bl w:val="nil"/>
                  </w:tcBorders>
                </w:tcPr>
                <w:p w14:paraId="04D055E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mg/L</w:t>
                  </w:r>
                </w:p>
              </w:tc>
              <w:tc>
                <w:tcPr>
                  <w:tcW w:w="2770" w:type="dxa"/>
                  <w:tcBorders>
                    <w:tl2br w:val="nil"/>
                    <w:tr2bl w:val="nil"/>
                  </w:tcBorders>
                </w:tcPr>
                <w:p w14:paraId="0B43608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r>
            <w:tr w14:paraId="73AF6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9" w:type="dxa"/>
                  <w:tcBorders>
                    <w:tl2br w:val="nil"/>
                    <w:tr2bl w:val="nil"/>
                  </w:tcBorders>
                </w:tcPr>
                <w:p w14:paraId="08A4C7D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石油类</w:t>
                  </w:r>
                </w:p>
              </w:tc>
              <w:tc>
                <w:tcPr>
                  <w:tcW w:w="2769" w:type="dxa"/>
                  <w:tcBorders>
                    <w:tl2br w:val="nil"/>
                    <w:tr2bl w:val="nil"/>
                  </w:tcBorders>
                </w:tcPr>
                <w:p w14:paraId="5E34700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mg/L</w:t>
                  </w:r>
                </w:p>
              </w:tc>
              <w:tc>
                <w:tcPr>
                  <w:tcW w:w="2770" w:type="dxa"/>
                  <w:tcBorders>
                    <w:tl2br w:val="nil"/>
                    <w:tr2bl w:val="nil"/>
                  </w:tcBorders>
                </w:tcPr>
                <w:p w14:paraId="10D0452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r>
            <w:tr w14:paraId="25D74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9" w:type="dxa"/>
                  <w:tcBorders>
                    <w:tl2br w:val="nil"/>
                    <w:tr2bl w:val="nil"/>
                  </w:tcBorders>
                </w:tcPr>
                <w:p w14:paraId="10D31AA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总磷</w:t>
                  </w:r>
                </w:p>
              </w:tc>
              <w:tc>
                <w:tcPr>
                  <w:tcW w:w="2769" w:type="dxa"/>
                  <w:tcBorders>
                    <w:tl2br w:val="nil"/>
                    <w:tr2bl w:val="nil"/>
                  </w:tcBorders>
                </w:tcPr>
                <w:p w14:paraId="4078D2C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mg/L</w:t>
                  </w:r>
                </w:p>
              </w:tc>
              <w:tc>
                <w:tcPr>
                  <w:tcW w:w="2770" w:type="dxa"/>
                  <w:tcBorders>
                    <w:tl2br w:val="nil"/>
                    <w:tr2bl w:val="nil"/>
                  </w:tcBorders>
                </w:tcPr>
                <w:p w14:paraId="21800BA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r>
            <w:tr w14:paraId="1F46F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9" w:type="dxa"/>
                  <w:tcBorders>
                    <w:tl2br w:val="nil"/>
                    <w:tr2bl w:val="nil"/>
                  </w:tcBorders>
                </w:tcPr>
                <w:p w14:paraId="2DA0A96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总锌</w:t>
                  </w:r>
                </w:p>
              </w:tc>
              <w:tc>
                <w:tcPr>
                  <w:tcW w:w="2769" w:type="dxa"/>
                  <w:tcBorders>
                    <w:tl2br w:val="nil"/>
                    <w:tr2bl w:val="nil"/>
                  </w:tcBorders>
                </w:tcPr>
                <w:p w14:paraId="79E4C87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mg/L</w:t>
                  </w:r>
                </w:p>
              </w:tc>
              <w:tc>
                <w:tcPr>
                  <w:tcW w:w="2770" w:type="dxa"/>
                  <w:tcBorders>
                    <w:tl2br w:val="nil"/>
                    <w:tr2bl w:val="nil"/>
                  </w:tcBorders>
                </w:tcPr>
                <w:p w14:paraId="298B0D2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r>
            <w:tr w14:paraId="2CF92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9" w:type="dxa"/>
                  <w:tcBorders>
                    <w:tl2br w:val="nil"/>
                    <w:tr2bl w:val="nil"/>
                  </w:tcBorders>
                </w:tcPr>
                <w:p w14:paraId="4937EE4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总镍</w:t>
                  </w:r>
                </w:p>
              </w:tc>
              <w:tc>
                <w:tcPr>
                  <w:tcW w:w="2769" w:type="dxa"/>
                  <w:tcBorders>
                    <w:tl2br w:val="nil"/>
                    <w:tr2bl w:val="nil"/>
                  </w:tcBorders>
                </w:tcPr>
                <w:p w14:paraId="6C056ED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mg/L</w:t>
                  </w:r>
                </w:p>
              </w:tc>
              <w:tc>
                <w:tcPr>
                  <w:tcW w:w="2770" w:type="dxa"/>
                  <w:tcBorders>
                    <w:tl2br w:val="nil"/>
                    <w:tr2bl w:val="nil"/>
                  </w:tcBorders>
                </w:tcPr>
                <w:p w14:paraId="3F5A600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0.05</w:t>
                  </w:r>
                </w:p>
              </w:tc>
            </w:tr>
          </w:tbl>
          <w:p w14:paraId="60E98AC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2、废气排放标准</w:t>
            </w:r>
          </w:p>
          <w:p w14:paraId="5112EDD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施工期排放的粉尘执行《大气污染物综合排放标准》（GB16297-1996）中无组织排放监控浓度限值。</w:t>
            </w:r>
          </w:p>
          <w:p w14:paraId="27A7FF9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运营期</w:t>
            </w:r>
            <w:r>
              <w:rPr>
                <w:rFonts w:hint="eastAsia" w:ascii="Times New Roman" w:hAnsi="Times New Roman" w:eastAsia="宋体" w:cs="Times New Roman"/>
                <w:color w:val="auto"/>
                <w:kern w:val="0"/>
                <w:szCs w:val="21"/>
                <w:lang w:val="en-US" w:eastAsia="zh-CN"/>
              </w:rPr>
              <w:t>本项目产生的非甲烷总烃（VOCs）、颗粒物，执行</w:t>
            </w:r>
            <w:r>
              <w:rPr>
                <w:rFonts w:hint="eastAsia" w:ascii="Times New Roman" w:hAnsi="Times New Roman" w:eastAsia="宋体" w:cs="Times New Roman"/>
                <w:b w:val="0"/>
                <w:bCs w:val="0"/>
                <w:color w:val="auto"/>
                <w:szCs w:val="21"/>
                <w:lang w:val="zh-CN" w:eastAsia="zh-CN"/>
              </w:rPr>
              <w:t>《合成树脂工业污染物排放标准》（GB31572-2015</w:t>
            </w:r>
            <w:r>
              <w:rPr>
                <w:rFonts w:hint="eastAsia" w:cs="Times New Roman"/>
                <w:b w:val="0"/>
                <w:bCs w:val="0"/>
                <w:color w:val="auto"/>
                <w:szCs w:val="21"/>
                <w:lang w:val="zh-CN" w:eastAsia="zh-CN"/>
              </w:rPr>
              <w:t>，</w:t>
            </w:r>
            <w:r>
              <w:rPr>
                <w:rFonts w:hint="eastAsia" w:cs="Times New Roman"/>
                <w:b w:val="0"/>
                <w:bCs w:val="0"/>
                <w:color w:val="auto"/>
                <w:szCs w:val="21"/>
                <w:lang w:val="en-US" w:eastAsia="zh-CN"/>
              </w:rPr>
              <w:t>含2024年修改单</w:t>
            </w:r>
            <w:r>
              <w:rPr>
                <w:rFonts w:hint="eastAsia" w:ascii="Times New Roman" w:hAnsi="Times New Roman" w:eastAsia="宋体" w:cs="Times New Roman"/>
                <w:b w:val="0"/>
                <w:bCs w:val="0"/>
                <w:color w:val="auto"/>
                <w:szCs w:val="21"/>
                <w:lang w:val="zh-CN" w:eastAsia="zh-CN"/>
              </w:rPr>
              <w:t>）</w:t>
            </w:r>
            <w:r>
              <w:rPr>
                <w:rFonts w:hint="default" w:ascii="Times New Roman" w:hAnsi="Times New Roman" w:eastAsia="宋体"/>
                <w:color w:val="auto"/>
                <w:szCs w:val="21"/>
              </w:rPr>
              <w:t>表</w:t>
            </w:r>
            <w:r>
              <w:rPr>
                <w:rFonts w:hint="eastAsia"/>
                <w:color w:val="auto"/>
                <w:szCs w:val="21"/>
                <w:lang w:val="en-US" w:eastAsia="zh-CN"/>
              </w:rPr>
              <w:t>5</w:t>
            </w:r>
            <w:r>
              <w:rPr>
                <w:rFonts w:hint="default" w:ascii="Times New Roman" w:hAnsi="Times New Roman" w:eastAsia="宋体"/>
                <w:color w:val="auto"/>
                <w:szCs w:val="21"/>
              </w:rPr>
              <w:t>污染物</w:t>
            </w:r>
            <w:r>
              <w:rPr>
                <w:rFonts w:hint="eastAsia"/>
                <w:color w:val="auto"/>
                <w:szCs w:val="21"/>
                <w:lang w:val="en-US" w:eastAsia="zh-CN"/>
              </w:rPr>
              <w:t>特别</w:t>
            </w:r>
            <w:r>
              <w:rPr>
                <w:rFonts w:hint="default" w:ascii="Times New Roman" w:hAnsi="Times New Roman" w:eastAsia="宋体"/>
                <w:color w:val="auto"/>
                <w:szCs w:val="21"/>
              </w:rPr>
              <w:t>排放限值和表9</w:t>
            </w:r>
            <w:r>
              <w:rPr>
                <w:rFonts w:hint="eastAsia"/>
                <w:color w:val="auto"/>
                <w:lang w:val="en-US" w:eastAsia="zh-CN"/>
              </w:rPr>
              <w:t>污染物浓度限值</w:t>
            </w:r>
            <w:r>
              <w:rPr>
                <w:rFonts w:hint="default" w:ascii="Times New Roman" w:hAnsi="Times New Roman" w:eastAsia="宋体"/>
                <w:color w:val="auto"/>
                <w:szCs w:val="21"/>
              </w:rPr>
              <w:t>要求</w:t>
            </w:r>
            <w:r>
              <w:rPr>
                <w:rFonts w:hint="default" w:ascii="Times New Roman" w:hAnsi="Times New Roman" w:cs="Times New Roman"/>
                <w:color w:val="auto"/>
                <w:kern w:val="2"/>
                <w:szCs w:val="21"/>
                <w:highlight w:val="none"/>
              </w:rPr>
              <w:t>。</w:t>
            </w:r>
            <w:r>
              <w:rPr>
                <w:rFonts w:hint="eastAsia" w:ascii="Times New Roman" w:hAnsi="Times New Roman" w:eastAsia="宋体" w:cs="Times New Roman"/>
                <w:color w:val="auto"/>
                <w:kern w:val="0"/>
                <w:szCs w:val="21"/>
                <w:lang w:val="en-US" w:eastAsia="zh-CN"/>
              </w:rPr>
              <w:t>详见表3-</w:t>
            </w:r>
            <w:r>
              <w:rPr>
                <w:rFonts w:hint="eastAsia" w:cs="Times New Roman"/>
                <w:color w:val="auto"/>
                <w:kern w:val="0"/>
                <w:szCs w:val="21"/>
                <w:lang w:val="en-US" w:eastAsia="zh-CN"/>
              </w:rPr>
              <w:t>11</w:t>
            </w:r>
            <w:r>
              <w:rPr>
                <w:rFonts w:hint="eastAsia" w:ascii="Times New Roman" w:hAnsi="Times New Roman" w:eastAsia="宋体" w:cs="Times New Roman"/>
                <w:color w:val="auto"/>
                <w:kern w:val="0"/>
                <w:szCs w:val="21"/>
                <w:lang w:val="en-US" w:eastAsia="zh-CN"/>
              </w:rPr>
              <w:t>。</w:t>
            </w:r>
          </w:p>
          <w:p w14:paraId="5F764947">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eastAsia" w:ascii="Times New Roman" w:hAnsi="Times New Roman" w:eastAsia="宋体" w:cs="Times New Roman"/>
                <w:b/>
                <w:bCs/>
                <w:color w:val="auto"/>
                <w:sz w:val="24"/>
                <w:lang w:val="zh-CN" w:eastAsia="zh-CN"/>
              </w:rPr>
            </w:pPr>
            <w:r>
              <w:rPr>
                <w:rFonts w:hint="eastAsia" w:ascii="Times New Roman" w:hAnsi="Times New Roman" w:eastAsia="宋体" w:cs="Times New Roman"/>
                <w:b/>
                <w:bCs/>
                <w:color w:val="auto"/>
                <w:sz w:val="24"/>
                <w:lang w:val="zh-CN" w:eastAsia="zh-CN"/>
              </w:rPr>
              <w:t>表3-</w:t>
            </w:r>
            <w:r>
              <w:rPr>
                <w:rFonts w:hint="eastAsia" w:ascii="Times New Roman" w:hAnsi="Times New Roman" w:eastAsia="宋体" w:cs="Times New Roman"/>
                <w:b/>
                <w:bCs/>
                <w:color w:val="auto"/>
                <w:sz w:val="24"/>
                <w:lang w:val="en-US" w:eastAsia="zh-CN"/>
              </w:rPr>
              <w:t>11</w:t>
            </w:r>
            <w:r>
              <w:rPr>
                <w:rFonts w:hint="eastAsia" w:ascii="Times New Roman" w:hAnsi="Times New Roman" w:eastAsia="宋体" w:cs="Times New Roman"/>
                <w:b/>
                <w:bCs/>
                <w:color w:val="auto"/>
                <w:sz w:val="24"/>
                <w:lang w:val="zh-CN" w:eastAsia="zh-CN"/>
              </w:rPr>
              <w:t>废气污染物排放标准一览表</w:t>
            </w:r>
          </w:p>
          <w:tbl>
            <w:tblPr>
              <w:tblStyle w:val="2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1"/>
              <w:gridCol w:w="1515"/>
              <w:gridCol w:w="2756"/>
              <w:gridCol w:w="1463"/>
              <w:gridCol w:w="1590"/>
            </w:tblGrid>
            <w:tr w14:paraId="2B9DD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85" w:type="pct"/>
                  <w:tcBorders>
                    <w:tl2br w:val="nil"/>
                    <w:tr2bl w:val="nil"/>
                  </w:tcBorders>
                  <w:noWrap/>
                  <w:vAlign w:val="center"/>
                </w:tcPr>
                <w:p w14:paraId="07C030A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类别</w:t>
                  </w:r>
                </w:p>
              </w:tc>
              <w:tc>
                <w:tcPr>
                  <w:tcW w:w="913" w:type="pct"/>
                  <w:tcBorders>
                    <w:tl2br w:val="nil"/>
                    <w:tr2bl w:val="nil"/>
                  </w:tcBorders>
                  <w:noWrap/>
                  <w:vAlign w:val="center"/>
                </w:tcPr>
                <w:p w14:paraId="3BA4C46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污染物</w:t>
                  </w:r>
                </w:p>
              </w:tc>
              <w:tc>
                <w:tcPr>
                  <w:tcW w:w="1661" w:type="pct"/>
                  <w:tcBorders>
                    <w:tl2br w:val="nil"/>
                    <w:tr2bl w:val="nil"/>
                  </w:tcBorders>
                  <w:noWrap/>
                  <w:vAlign w:val="center"/>
                </w:tcPr>
                <w:p w14:paraId="74E4626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标准名称及级（类）别</w:t>
                  </w:r>
                </w:p>
              </w:tc>
              <w:tc>
                <w:tcPr>
                  <w:tcW w:w="881" w:type="pct"/>
                  <w:tcBorders>
                    <w:tl2br w:val="nil"/>
                    <w:tr2bl w:val="nil"/>
                  </w:tcBorders>
                  <w:noWrap/>
                  <w:vAlign w:val="center"/>
                </w:tcPr>
                <w:p w14:paraId="1858EC1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排气筒高度</w:t>
                  </w:r>
                </w:p>
                <w:p w14:paraId="280DBEA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（m）</w:t>
                  </w:r>
                </w:p>
              </w:tc>
              <w:tc>
                <w:tcPr>
                  <w:tcW w:w="958" w:type="pct"/>
                  <w:tcBorders>
                    <w:tl2br w:val="nil"/>
                    <w:tr2bl w:val="nil"/>
                  </w:tcBorders>
                  <w:noWrap/>
                  <w:vAlign w:val="center"/>
                </w:tcPr>
                <w:p w14:paraId="39CADF4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浓度限值</w:t>
                  </w:r>
                </w:p>
                <w:p w14:paraId="70BF9AC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（mg/</w:t>
                  </w:r>
                  <w:r>
                    <w:rPr>
                      <w:rFonts w:hint="default" w:ascii="Times New Roman" w:hAnsi="Times New Roman" w:eastAsia="宋体"/>
                      <w:color w:val="auto"/>
                      <w:sz w:val="21"/>
                      <w:szCs w:val="21"/>
                      <w:lang w:val="en-US" w:eastAsia="zh-CN"/>
                    </w:rPr>
                    <w:t>m</w:t>
                  </w:r>
                  <w:r>
                    <w:rPr>
                      <w:rFonts w:hint="default" w:ascii="Times New Roman" w:hAnsi="Times New Roman" w:eastAsia="宋体"/>
                      <w:color w:val="auto"/>
                      <w:sz w:val="21"/>
                      <w:szCs w:val="21"/>
                      <w:vertAlign w:val="superscript"/>
                      <w:lang w:val="en-US" w:eastAsia="zh-CN"/>
                    </w:rPr>
                    <w:t>3</w:t>
                  </w:r>
                  <w:r>
                    <w:rPr>
                      <w:rFonts w:hint="eastAsia" w:ascii="Times New Roman" w:hAnsi="Times New Roman" w:eastAsia="宋体"/>
                      <w:color w:val="auto"/>
                      <w:sz w:val="21"/>
                      <w:szCs w:val="21"/>
                      <w:lang w:val="zh-CN" w:eastAsia="zh-CN"/>
                    </w:rPr>
                    <w:t>）</w:t>
                  </w:r>
                </w:p>
              </w:tc>
            </w:tr>
            <w:tr w14:paraId="5D2AE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85" w:type="pct"/>
                  <w:vMerge w:val="restart"/>
                  <w:tcBorders>
                    <w:tl2br w:val="nil"/>
                    <w:tr2bl w:val="nil"/>
                  </w:tcBorders>
                  <w:noWrap/>
                  <w:vAlign w:val="center"/>
                </w:tcPr>
                <w:p w14:paraId="793FCC2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有组织</w:t>
                  </w:r>
                </w:p>
              </w:tc>
              <w:tc>
                <w:tcPr>
                  <w:tcW w:w="913" w:type="pct"/>
                  <w:tcBorders>
                    <w:tl2br w:val="nil"/>
                    <w:tr2bl w:val="nil"/>
                  </w:tcBorders>
                  <w:noWrap/>
                  <w:vAlign w:val="center"/>
                </w:tcPr>
                <w:p w14:paraId="5DEAEF4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非甲烷总烃</w:t>
                  </w:r>
                </w:p>
              </w:tc>
              <w:tc>
                <w:tcPr>
                  <w:tcW w:w="1661" w:type="pct"/>
                  <w:vMerge w:val="restart"/>
                  <w:tcBorders>
                    <w:tl2br w:val="nil"/>
                    <w:tr2bl w:val="nil"/>
                  </w:tcBorders>
                  <w:noWrap/>
                  <w:vAlign w:val="center"/>
                </w:tcPr>
                <w:p w14:paraId="1B7AC49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zh-CN" w:eastAsia="zh-CN"/>
                    </w:rPr>
                    <w:t>《合成树脂工业污染物排放标准》（GB31572-2015）</w:t>
                  </w:r>
                  <w:r>
                    <w:rPr>
                      <w:rFonts w:hint="default" w:ascii="Times New Roman" w:hAnsi="Times New Roman" w:eastAsia="宋体"/>
                      <w:color w:val="auto"/>
                      <w:sz w:val="21"/>
                      <w:szCs w:val="21"/>
                      <w:lang w:val="zh-CN" w:eastAsia="zh-CN"/>
                    </w:rPr>
                    <w:t>表</w:t>
                  </w:r>
                  <w:r>
                    <w:rPr>
                      <w:rFonts w:hint="eastAsia" w:ascii="Times New Roman" w:hAnsi="Times New Roman" w:eastAsia="宋体"/>
                      <w:color w:val="auto"/>
                      <w:sz w:val="21"/>
                      <w:szCs w:val="21"/>
                      <w:lang w:val="en-US" w:eastAsia="zh-CN"/>
                    </w:rPr>
                    <w:t>5</w:t>
                  </w:r>
                  <w:r>
                    <w:rPr>
                      <w:rFonts w:hint="default" w:ascii="Times New Roman" w:hAnsi="Times New Roman" w:eastAsia="宋体"/>
                      <w:color w:val="auto"/>
                      <w:sz w:val="21"/>
                      <w:szCs w:val="21"/>
                      <w:lang w:val="zh-CN" w:eastAsia="zh-CN"/>
                    </w:rPr>
                    <w:t>污染物</w:t>
                  </w:r>
                  <w:r>
                    <w:rPr>
                      <w:rFonts w:hint="eastAsia" w:ascii="Times New Roman" w:hAnsi="Times New Roman" w:eastAsia="宋体"/>
                      <w:color w:val="auto"/>
                      <w:sz w:val="21"/>
                      <w:szCs w:val="21"/>
                      <w:lang w:val="en-US" w:eastAsia="zh-CN"/>
                    </w:rPr>
                    <w:t>特别</w:t>
                  </w:r>
                  <w:r>
                    <w:rPr>
                      <w:rFonts w:hint="default" w:ascii="Times New Roman" w:hAnsi="Times New Roman" w:eastAsia="宋体"/>
                      <w:color w:val="auto"/>
                      <w:sz w:val="21"/>
                      <w:szCs w:val="21"/>
                      <w:lang w:val="zh-CN" w:eastAsia="zh-CN"/>
                    </w:rPr>
                    <w:t>排放限值和表9</w:t>
                  </w:r>
                  <w:r>
                    <w:rPr>
                      <w:rFonts w:hint="eastAsia" w:ascii="Times New Roman" w:hAnsi="Times New Roman" w:eastAsia="宋体"/>
                      <w:color w:val="auto"/>
                      <w:sz w:val="21"/>
                      <w:szCs w:val="21"/>
                      <w:lang w:val="en-US" w:eastAsia="zh-CN"/>
                    </w:rPr>
                    <w:t>污染物浓度限制</w:t>
                  </w:r>
                </w:p>
              </w:tc>
              <w:tc>
                <w:tcPr>
                  <w:tcW w:w="881" w:type="pct"/>
                  <w:tcBorders>
                    <w:tl2br w:val="nil"/>
                    <w:tr2bl w:val="nil"/>
                  </w:tcBorders>
                  <w:noWrap/>
                  <w:vAlign w:val="center"/>
                </w:tcPr>
                <w:p w14:paraId="2740C4B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15</w:t>
                  </w:r>
                </w:p>
              </w:tc>
              <w:tc>
                <w:tcPr>
                  <w:tcW w:w="958" w:type="pct"/>
                  <w:tcBorders>
                    <w:tl2br w:val="nil"/>
                    <w:tr2bl w:val="nil"/>
                  </w:tcBorders>
                  <w:noWrap/>
                  <w:vAlign w:val="center"/>
                </w:tcPr>
                <w:p w14:paraId="3FCC7FC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60</w:t>
                  </w:r>
                </w:p>
              </w:tc>
            </w:tr>
            <w:tr w14:paraId="403C4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85" w:type="pct"/>
                  <w:vMerge w:val="continue"/>
                  <w:tcBorders>
                    <w:tl2br w:val="nil"/>
                    <w:tr2bl w:val="nil"/>
                  </w:tcBorders>
                  <w:noWrap/>
                  <w:vAlign w:val="center"/>
                </w:tcPr>
                <w:p w14:paraId="61087F8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c>
                <w:tcPr>
                  <w:tcW w:w="913" w:type="pct"/>
                  <w:tcBorders>
                    <w:tl2br w:val="nil"/>
                    <w:tr2bl w:val="nil"/>
                  </w:tcBorders>
                  <w:noWrap/>
                  <w:vAlign w:val="center"/>
                </w:tcPr>
                <w:p w14:paraId="7F4B2A4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颗粒物</w:t>
                  </w:r>
                </w:p>
              </w:tc>
              <w:tc>
                <w:tcPr>
                  <w:tcW w:w="1661" w:type="pct"/>
                  <w:vMerge w:val="continue"/>
                  <w:tcBorders>
                    <w:tl2br w:val="nil"/>
                    <w:tr2bl w:val="nil"/>
                  </w:tcBorders>
                  <w:noWrap/>
                  <w:vAlign w:val="center"/>
                </w:tcPr>
                <w:p w14:paraId="75529EA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c>
                <w:tcPr>
                  <w:tcW w:w="881" w:type="pct"/>
                  <w:tcBorders>
                    <w:tl2br w:val="nil"/>
                    <w:tr2bl w:val="nil"/>
                  </w:tcBorders>
                  <w:noWrap/>
                  <w:vAlign w:val="center"/>
                </w:tcPr>
                <w:p w14:paraId="42166AD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15</w:t>
                  </w:r>
                </w:p>
              </w:tc>
              <w:tc>
                <w:tcPr>
                  <w:tcW w:w="958" w:type="pct"/>
                  <w:tcBorders>
                    <w:tl2br w:val="nil"/>
                    <w:tr2bl w:val="nil"/>
                  </w:tcBorders>
                  <w:noWrap/>
                  <w:vAlign w:val="center"/>
                </w:tcPr>
                <w:p w14:paraId="089402F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w:t>
                  </w:r>
                </w:p>
              </w:tc>
            </w:tr>
            <w:tr w14:paraId="2952F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498" w:type="pct"/>
                  <w:gridSpan w:val="2"/>
                  <w:tcBorders>
                    <w:tl2br w:val="nil"/>
                    <w:tr2bl w:val="nil"/>
                  </w:tcBorders>
                  <w:noWrap/>
                  <w:vAlign w:val="center"/>
                </w:tcPr>
                <w:p w14:paraId="620BD2B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单位产品非甲烷总烃排放量</w:t>
                  </w:r>
                </w:p>
              </w:tc>
              <w:tc>
                <w:tcPr>
                  <w:tcW w:w="1661" w:type="pct"/>
                  <w:vMerge w:val="continue"/>
                  <w:tcBorders>
                    <w:tl2br w:val="nil"/>
                    <w:tr2bl w:val="nil"/>
                  </w:tcBorders>
                  <w:noWrap/>
                  <w:vAlign w:val="center"/>
                </w:tcPr>
                <w:p w14:paraId="01236D4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c>
                <w:tcPr>
                  <w:tcW w:w="881" w:type="pct"/>
                  <w:tcBorders>
                    <w:tl2br w:val="nil"/>
                    <w:tr2bl w:val="nil"/>
                  </w:tcBorders>
                  <w:noWrap/>
                  <w:vAlign w:val="center"/>
                </w:tcPr>
                <w:p w14:paraId="009C18F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w:t>
                  </w:r>
                </w:p>
              </w:tc>
              <w:tc>
                <w:tcPr>
                  <w:tcW w:w="958" w:type="pct"/>
                  <w:tcBorders>
                    <w:tl2br w:val="nil"/>
                    <w:tr2bl w:val="nil"/>
                  </w:tcBorders>
                  <w:noWrap/>
                  <w:vAlign w:val="center"/>
                </w:tcPr>
                <w:p w14:paraId="249DBF1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0.3（</w:t>
                  </w:r>
                  <w:r>
                    <w:rPr>
                      <w:rFonts w:hint="eastAsia" w:ascii="Times New Roman" w:hAnsi="Times New Roman" w:eastAsia="宋体"/>
                      <w:color w:val="auto"/>
                      <w:sz w:val="21"/>
                      <w:szCs w:val="21"/>
                      <w:lang w:val="zh-CN" w:eastAsia="zh-CN"/>
                    </w:rPr>
                    <w:t>kg/t</w:t>
                  </w:r>
                  <w:r>
                    <w:rPr>
                      <w:rFonts w:hint="eastAsia" w:ascii="Times New Roman" w:hAnsi="Times New Roman" w:eastAsia="宋体"/>
                      <w:color w:val="auto"/>
                      <w:sz w:val="21"/>
                      <w:szCs w:val="21"/>
                      <w:lang w:val="en-US" w:eastAsia="zh-CN"/>
                    </w:rPr>
                    <w:t>）</w:t>
                  </w:r>
                </w:p>
              </w:tc>
            </w:tr>
            <w:tr w14:paraId="75229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85" w:type="pct"/>
                  <w:vMerge w:val="restart"/>
                  <w:tcBorders>
                    <w:tl2br w:val="nil"/>
                    <w:tr2bl w:val="nil"/>
                  </w:tcBorders>
                  <w:noWrap/>
                  <w:vAlign w:val="center"/>
                </w:tcPr>
                <w:p w14:paraId="722D4AB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无组织</w:t>
                  </w:r>
                </w:p>
              </w:tc>
              <w:tc>
                <w:tcPr>
                  <w:tcW w:w="913" w:type="pct"/>
                  <w:tcBorders>
                    <w:tl2br w:val="nil"/>
                    <w:tr2bl w:val="nil"/>
                  </w:tcBorders>
                  <w:noWrap/>
                  <w:vAlign w:val="center"/>
                </w:tcPr>
                <w:p w14:paraId="6CBF58A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非甲烷总烃</w:t>
                  </w:r>
                </w:p>
              </w:tc>
              <w:tc>
                <w:tcPr>
                  <w:tcW w:w="1661" w:type="pct"/>
                  <w:vMerge w:val="continue"/>
                  <w:tcBorders>
                    <w:tl2br w:val="nil"/>
                    <w:tr2bl w:val="nil"/>
                  </w:tcBorders>
                  <w:noWrap/>
                  <w:vAlign w:val="center"/>
                </w:tcPr>
                <w:p w14:paraId="34A2104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c>
                <w:tcPr>
                  <w:tcW w:w="881" w:type="pct"/>
                  <w:tcBorders>
                    <w:tl2br w:val="nil"/>
                    <w:tr2bl w:val="nil"/>
                  </w:tcBorders>
                  <w:noWrap/>
                  <w:vAlign w:val="center"/>
                </w:tcPr>
                <w:p w14:paraId="2830D34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w:t>
                  </w:r>
                </w:p>
              </w:tc>
              <w:tc>
                <w:tcPr>
                  <w:tcW w:w="958" w:type="pct"/>
                  <w:tcBorders>
                    <w:tl2br w:val="nil"/>
                    <w:tr2bl w:val="nil"/>
                  </w:tcBorders>
                  <w:noWrap/>
                  <w:vAlign w:val="center"/>
                </w:tcPr>
                <w:p w14:paraId="1407310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4.0</w:t>
                  </w:r>
                </w:p>
              </w:tc>
            </w:tr>
            <w:tr w14:paraId="53750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85" w:type="pct"/>
                  <w:vMerge w:val="continue"/>
                  <w:tcBorders>
                    <w:tl2br w:val="nil"/>
                    <w:tr2bl w:val="nil"/>
                  </w:tcBorders>
                  <w:noWrap/>
                  <w:vAlign w:val="center"/>
                </w:tcPr>
                <w:p w14:paraId="3686D1C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c>
                <w:tcPr>
                  <w:tcW w:w="913" w:type="pct"/>
                  <w:tcBorders>
                    <w:tl2br w:val="nil"/>
                    <w:tr2bl w:val="nil"/>
                  </w:tcBorders>
                  <w:noWrap/>
                  <w:vAlign w:val="center"/>
                </w:tcPr>
                <w:p w14:paraId="2FE02D2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颗粒物</w:t>
                  </w:r>
                </w:p>
              </w:tc>
              <w:tc>
                <w:tcPr>
                  <w:tcW w:w="1661" w:type="pct"/>
                  <w:vMerge w:val="continue"/>
                  <w:tcBorders>
                    <w:tl2br w:val="nil"/>
                    <w:tr2bl w:val="nil"/>
                  </w:tcBorders>
                  <w:noWrap/>
                  <w:vAlign w:val="center"/>
                </w:tcPr>
                <w:p w14:paraId="2498DD2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c>
                <w:tcPr>
                  <w:tcW w:w="881" w:type="pct"/>
                  <w:tcBorders>
                    <w:tl2br w:val="nil"/>
                    <w:tr2bl w:val="nil"/>
                  </w:tcBorders>
                  <w:noWrap/>
                  <w:vAlign w:val="center"/>
                </w:tcPr>
                <w:p w14:paraId="5D6AD58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w:t>
                  </w:r>
                </w:p>
              </w:tc>
              <w:tc>
                <w:tcPr>
                  <w:tcW w:w="958" w:type="pct"/>
                  <w:tcBorders>
                    <w:tl2br w:val="nil"/>
                    <w:tr2bl w:val="nil"/>
                  </w:tcBorders>
                  <w:noWrap/>
                  <w:vAlign w:val="center"/>
                </w:tcPr>
                <w:p w14:paraId="2412C00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1.0</w:t>
                  </w:r>
                </w:p>
              </w:tc>
            </w:tr>
            <w:tr w14:paraId="3706B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85" w:type="pct"/>
                  <w:tcBorders>
                    <w:tl2br w:val="nil"/>
                    <w:tr2bl w:val="nil"/>
                  </w:tcBorders>
                  <w:noWrap/>
                  <w:vAlign w:val="center"/>
                </w:tcPr>
                <w:p w14:paraId="3C851A4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有组织</w:t>
                  </w:r>
                </w:p>
              </w:tc>
              <w:tc>
                <w:tcPr>
                  <w:tcW w:w="913" w:type="pct"/>
                  <w:vMerge w:val="restart"/>
                  <w:tcBorders>
                    <w:tl2br w:val="nil"/>
                    <w:tr2bl w:val="nil"/>
                  </w:tcBorders>
                  <w:noWrap/>
                  <w:vAlign w:val="center"/>
                </w:tcPr>
                <w:p w14:paraId="1C60666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臭气浓度</w:t>
                  </w:r>
                </w:p>
              </w:tc>
              <w:tc>
                <w:tcPr>
                  <w:tcW w:w="1661" w:type="pct"/>
                  <w:vMerge w:val="restart"/>
                  <w:tcBorders>
                    <w:tl2br w:val="nil"/>
                    <w:tr2bl w:val="nil"/>
                  </w:tcBorders>
                  <w:noWrap/>
                  <w:vAlign w:val="center"/>
                </w:tcPr>
                <w:p w14:paraId="43E63FA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《恶臭污染物排放标准》(GB14554-1993)</w:t>
                  </w:r>
                </w:p>
              </w:tc>
              <w:tc>
                <w:tcPr>
                  <w:tcW w:w="881" w:type="pct"/>
                  <w:tcBorders>
                    <w:tl2br w:val="nil"/>
                    <w:tr2bl w:val="nil"/>
                  </w:tcBorders>
                  <w:noWrap/>
                  <w:vAlign w:val="center"/>
                </w:tcPr>
                <w:p w14:paraId="3DF6741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15</w:t>
                  </w:r>
                </w:p>
              </w:tc>
              <w:tc>
                <w:tcPr>
                  <w:tcW w:w="958" w:type="pct"/>
                  <w:tcBorders>
                    <w:tl2br w:val="nil"/>
                    <w:tr2bl w:val="nil"/>
                  </w:tcBorders>
                  <w:noWrap/>
                  <w:vAlign w:val="center"/>
                </w:tcPr>
                <w:p w14:paraId="6D1474C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2000（无量纲）</w:t>
                  </w:r>
                </w:p>
              </w:tc>
            </w:tr>
            <w:tr w14:paraId="1DE84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85" w:type="pct"/>
                  <w:tcBorders>
                    <w:tl2br w:val="nil"/>
                    <w:tr2bl w:val="nil"/>
                  </w:tcBorders>
                  <w:noWrap/>
                  <w:vAlign w:val="center"/>
                </w:tcPr>
                <w:p w14:paraId="1EC33CA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无组织</w:t>
                  </w:r>
                </w:p>
              </w:tc>
              <w:tc>
                <w:tcPr>
                  <w:tcW w:w="913" w:type="pct"/>
                  <w:vMerge w:val="continue"/>
                  <w:tcBorders>
                    <w:tl2br w:val="nil"/>
                    <w:tr2bl w:val="nil"/>
                  </w:tcBorders>
                  <w:noWrap/>
                  <w:vAlign w:val="center"/>
                </w:tcPr>
                <w:p w14:paraId="6BC8A2C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color w:val="auto"/>
                      <w:sz w:val="21"/>
                      <w:szCs w:val="21"/>
                      <w:lang w:val="en-US" w:eastAsia="zh-CN"/>
                    </w:rPr>
                  </w:pPr>
                </w:p>
              </w:tc>
              <w:tc>
                <w:tcPr>
                  <w:tcW w:w="1661" w:type="pct"/>
                  <w:vMerge w:val="continue"/>
                  <w:tcBorders>
                    <w:tl2br w:val="nil"/>
                    <w:tr2bl w:val="nil"/>
                  </w:tcBorders>
                  <w:noWrap/>
                  <w:vAlign w:val="center"/>
                </w:tcPr>
                <w:p w14:paraId="6C83B48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c>
                <w:tcPr>
                  <w:tcW w:w="881" w:type="pct"/>
                  <w:tcBorders>
                    <w:tl2br w:val="nil"/>
                    <w:tr2bl w:val="nil"/>
                  </w:tcBorders>
                  <w:noWrap/>
                  <w:vAlign w:val="center"/>
                </w:tcPr>
                <w:p w14:paraId="012A89F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color w:val="auto"/>
                      <w:sz w:val="21"/>
                      <w:szCs w:val="21"/>
                      <w:lang w:val="en-US" w:eastAsia="zh-CN"/>
                    </w:rPr>
                  </w:pPr>
                  <w:r>
                    <w:rPr>
                      <w:rFonts w:hint="eastAsia"/>
                      <w:color w:val="auto"/>
                      <w:sz w:val="21"/>
                      <w:szCs w:val="21"/>
                      <w:lang w:val="en-US" w:eastAsia="zh-CN"/>
                    </w:rPr>
                    <w:t>—</w:t>
                  </w:r>
                </w:p>
              </w:tc>
              <w:tc>
                <w:tcPr>
                  <w:tcW w:w="958" w:type="pct"/>
                  <w:tcBorders>
                    <w:tl2br w:val="nil"/>
                    <w:tr2bl w:val="nil"/>
                  </w:tcBorders>
                  <w:noWrap/>
                  <w:vAlign w:val="center"/>
                </w:tcPr>
                <w:p w14:paraId="583B680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color w:val="auto"/>
                      <w:sz w:val="21"/>
                      <w:szCs w:val="21"/>
                      <w:lang w:val="en-US" w:eastAsia="zh-CN"/>
                    </w:rPr>
                  </w:pPr>
                  <w:r>
                    <w:rPr>
                      <w:rFonts w:hint="eastAsia"/>
                      <w:color w:val="auto"/>
                      <w:sz w:val="21"/>
                      <w:szCs w:val="21"/>
                      <w:lang w:val="en-US" w:eastAsia="zh-CN"/>
                    </w:rPr>
                    <w:t>20（无量纲）</w:t>
                  </w:r>
                </w:p>
              </w:tc>
            </w:tr>
          </w:tbl>
          <w:p w14:paraId="79B79EA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3、噪声排放标准</w:t>
            </w:r>
          </w:p>
          <w:p w14:paraId="20E930C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本项目施工期噪声执行《</w:t>
            </w:r>
            <w:r>
              <w:rPr>
                <w:rFonts w:hint="default" w:ascii="Times New Roman" w:hAnsi="Times New Roman" w:eastAsia="宋体" w:cs="Times New Roman"/>
                <w:color w:val="auto"/>
                <w:kern w:val="0"/>
                <w:szCs w:val="21"/>
                <w:lang w:val="en-US" w:eastAsia="zh-CN"/>
              </w:rPr>
              <w:t>建筑施工噪声排放标准</w:t>
            </w:r>
            <w:r>
              <w:rPr>
                <w:rFonts w:hint="eastAsia" w:ascii="Times New Roman" w:hAnsi="Times New Roman" w:eastAsia="宋体" w:cs="Times New Roman"/>
                <w:color w:val="auto"/>
                <w:kern w:val="0"/>
                <w:szCs w:val="21"/>
                <w:lang w:val="en-US" w:eastAsia="zh-CN"/>
              </w:rPr>
              <w:t>》（GB12523-2025）。</w:t>
            </w:r>
          </w:p>
          <w:p w14:paraId="034D252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运营期厂界噪声执行《工业企业厂界环境噪声排放标准》（GB12348-2008）中3类区标准，具体标准值见表3-</w:t>
            </w:r>
            <w:r>
              <w:rPr>
                <w:rFonts w:hint="eastAsia" w:cs="Times New Roman"/>
                <w:color w:val="auto"/>
                <w:kern w:val="0"/>
                <w:szCs w:val="21"/>
                <w:lang w:val="en-US" w:eastAsia="zh-CN"/>
              </w:rPr>
              <w:t>2</w:t>
            </w:r>
            <w:r>
              <w:rPr>
                <w:rFonts w:hint="eastAsia" w:ascii="Times New Roman" w:hAnsi="Times New Roman" w:eastAsia="宋体" w:cs="Times New Roman"/>
                <w:color w:val="auto"/>
                <w:kern w:val="0"/>
                <w:szCs w:val="21"/>
                <w:lang w:val="en-US" w:eastAsia="zh-CN"/>
              </w:rPr>
              <w:t>~1</w:t>
            </w:r>
            <w:r>
              <w:rPr>
                <w:rFonts w:hint="eastAsia" w:cs="Times New Roman"/>
                <w:color w:val="auto"/>
                <w:kern w:val="0"/>
                <w:szCs w:val="21"/>
                <w:lang w:val="en-US" w:eastAsia="zh-CN"/>
              </w:rPr>
              <w:t>3</w:t>
            </w:r>
            <w:r>
              <w:rPr>
                <w:rFonts w:hint="eastAsia" w:ascii="Times New Roman" w:hAnsi="Times New Roman" w:eastAsia="宋体" w:cs="Times New Roman"/>
                <w:color w:val="auto"/>
                <w:kern w:val="0"/>
                <w:szCs w:val="21"/>
                <w:lang w:val="en-US" w:eastAsia="zh-CN"/>
              </w:rPr>
              <w:t>。</w:t>
            </w:r>
          </w:p>
          <w:p w14:paraId="2CD45F15">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eastAsia" w:ascii="Times New Roman" w:hAnsi="Times New Roman" w:eastAsia="宋体" w:cs="Times New Roman"/>
                <w:b/>
                <w:bCs/>
                <w:color w:val="auto"/>
                <w:sz w:val="24"/>
                <w:lang w:val="zh-CN" w:eastAsia="zh-CN"/>
              </w:rPr>
            </w:pPr>
            <w:r>
              <w:rPr>
                <w:rFonts w:hint="eastAsia" w:ascii="Times New Roman" w:hAnsi="Times New Roman" w:eastAsia="宋体" w:cs="Times New Roman"/>
                <w:b/>
                <w:bCs/>
                <w:color w:val="auto"/>
                <w:sz w:val="24"/>
                <w:lang w:val="zh-CN" w:eastAsia="zh-CN"/>
              </w:rPr>
              <w:t>表3-</w:t>
            </w:r>
            <w:r>
              <w:rPr>
                <w:rFonts w:hint="eastAsia" w:ascii="Times New Roman" w:hAnsi="Times New Roman" w:eastAsia="宋体" w:cs="Times New Roman"/>
                <w:b/>
                <w:bCs/>
                <w:color w:val="auto"/>
                <w:sz w:val="24"/>
                <w:lang w:val="en-US" w:eastAsia="zh-CN"/>
              </w:rPr>
              <w:t>12</w:t>
            </w:r>
            <w:r>
              <w:rPr>
                <w:rFonts w:hint="eastAsia" w:ascii="Times New Roman" w:hAnsi="Times New Roman" w:eastAsia="宋体" w:cs="Times New Roman"/>
                <w:b/>
                <w:bCs/>
                <w:color w:val="auto"/>
                <w:sz w:val="24"/>
                <w:lang w:val="zh-CN" w:eastAsia="zh-CN"/>
              </w:rPr>
              <w:t>建筑施工场界噪声限值</w:t>
            </w:r>
          </w:p>
          <w:tbl>
            <w:tblPr>
              <w:tblStyle w:val="2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20"/>
              <w:gridCol w:w="3048"/>
              <w:gridCol w:w="2929"/>
            </w:tblGrid>
            <w:tr w14:paraId="5FD08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2226" w:type="dxa"/>
                  <w:vMerge w:val="restart"/>
                  <w:noWrap w:val="0"/>
                  <w:vAlign w:val="center"/>
                </w:tcPr>
                <w:p w14:paraId="4456AA7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建筑施工场界</w:t>
                  </w:r>
                </w:p>
              </w:tc>
              <w:tc>
                <w:tcPr>
                  <w:tcW w:w="5733" w:type="dxa"/>
                  <w:gridSpan w:val="2"/>
                  <w:noWrap w:val="0"/>
                  <w:vAlign w:val="center"/>
                </w:tcPr>
                <w:p w14:paraId="2FEA1FE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噪声限值dB（A）</w:t>
                  </w:r>
                </w:p>
              </w:tc>
            </w:tr>
            <w:tr w14:paraId="354FA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2226" w:type="dxa"/>
                  <w:vMerge w:val="continue"/>
                  <w:noWrap w:val="0"/>
                  <w:vAlign w:val="center"/>
                </w:tcPr>
                <w:p w14:paraId="7185FFA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c>
                <w:tcPr>
                  <w:tcW w:w="2923" w:type="dxa"/>
                  <w:noWrap w:val="0"/>
                  <w:vAlign w:val="center"/>
                </w:tcPr>
                <w:p w14:paraId="08082AE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昼间</w:t>
                  </w:r>
                </w:p>
              </w:tc>
              <w:tc>
                <w:tcPr>
                  <w:tcW w:w="2810" w:type="dxa"/>
                  <w:noWrap w:val="0"/>
                  <w:vAlign w:val="center"/>
                </w:tcPr>
                <w:p w14:paraId="131B471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夜间</w:t>
                  </w:r>
                </w:p>
              </w:tc>
            </w:tr>
            <w:tr w14:paraId="73C06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226" w:type="dxa"/>
                  <w:vMerge w:val="continue"/>
                  <w:noWrap w:val="0"/>
                  <w:vAlign w:val="center"/>
                </w:tcPr>
                <w:p w14:paraId="38E0D3E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p>
              </w:tc>
              <w:tc>
                <w:tcPr>
                  <w:tcW w:w="2923" w:type="dxa"/>
                  <w:noWrap w:val="0"/>
                  <w:vAlign w:val="center"/>
                </w:tcPr>
                <w:p w14:paraId="6F22A43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70</w:t>
                  </w:r>
                </w:p>
              </w:tc>
              <w:tc>
                <w:tcPr>
                  <w:tcW w:w="2810" w:type="dxa"/>
                  <w:noWrap w:val="0"/>
                  <w:vAlign w:val="center"/>
                </w:tcPr>
                <w:p w14:paraId="3ED1F2B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55</w:t>
                  </w:r>
                </w:p>
              </w:tc>
            </w:tr>
          </w:tbl>
          <w:p w14:paraId="4FCD31E4">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eastAsia" w:ascii="Times New Roman" w:hAnsi="Times New Roman" w:eastAsia="宋体" w:cs="Times New Roman"/>
                <w:b/>
                <w:bCs/>
                <w:color w:val="auto"/>
                <w:sz w:val="24"/>
                <w:lang w:val="zh-CN" w:eastAsia="zh-CN"/>
              </w:rPr>
            </w:pPr>
            <w:r>
              <w:rPr>
                <w:rFonts w:hint="eastAsia" w:ascii="Times New Roman" w:hAnsi="Times New Roman" w:eastAsia="宋体" w:cs="Times New Roman"/>
                <w:b/>
                <w:bCs/>
                <w:color w:val="auto"/>
                <w:sz w:val="24"/>
                <w:lang w:val="zh-CN" w:eastAsia="zh-CN"/>
              </w:rPr>
              <w:t>表3-</w:t>
            </w:r>
            <w:r>
              <w:rPr>
                <w:rFonts w:hint="eastAsia" w:ascii="Times New Roman" w:hAnsi="Times New Roman" w:eastAsia="宋体" w:cs="Times New Roman"/>
                <w:b/>
                <w:bCs/>
                <w:color w:val="auto"/>
                <w:sz w:val="24"/>
                <w:lang w:val="en-US" w:eastAsia="zh-CN"/>
              </w:rPr>
              <w:t>13</w:t>
            </w:r>
            <w:r>
              <w:rPr>
                <w:rFonts w:hint="eastAsia" w:ascii="Times New Roman" w:hAnsi="Times New Roman" w:eastAsia="宋体" w:cs="Times New Roman"/>
                <w:b/>
                <w:bCs/>
                <w:color w:val="auto"/>
                <w:sz w:val="24"/>
                <w:lang w:val="zh-CN" w:eastAsia="zh-CN"/>
              </w:rPr>
              <w:t>工业企业厂界环境噪声排放标准单位：dB（A）</w:t>
            </w:r>
          </w:p>
          <w:tbl>
            <w:tblPr>
              <w:tblStyle w:val="24"/>
              <w:tblW w:w="840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49"/>
              <w:gridCol w:w="3104"/>
              <w:gridCol w:w="2954"/>
            </w:tblGrid>
            <w:tr w14:paraId="3CD59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340" w:hRule="atLeast"/>
              </w:trPr>
              <w:tc>
                <w:tcPr>
                  <w:tcW w:w="2349" w:type="dxa"/>
                  <w:noWrap w:val="0"/>
                  <w:vAlign w:val="center"/>
                </w:tcPr>
                <w:p w14:paraId="4470ECA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类别</w:t>
                  </w:r>
                </w:p>
              </w:tc>
              <w:tc>
                <w:tcPr>
                  <w:tcW w:w="3104" w:type="dxa"/>
                  <w:noWrap w:val="0"/>
                  <w:vAlign w:val="center"/>
                </w:tcPr>
                <w:p w14:paraId="606EB55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昼间dB（A）</w:t>
                  </w:r>
                </w:p>
              </w:tc>
              <w:tc>
                <w:tcPr>
                  <w:tcW w:w="2954" w:type="dxa"/>
                  <w:noWrap w:val="0"/>
                  <w:vAlign w:val="center"/>
                </w:tcPr>
                <w:p w14:paraId="20953B6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zh-CN" w:eastAsia="zh-CN"/>
                    </w:rPr>
                    <w:t>夜间dB（A）</w:t>
                  </w:r>
                </w:p>
              </w:tc>
            </w:tr>
            <w:tr w14:paraId="17C47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2349" w:type="dxa"/>
                  <w:noWrap w:val="0"/>
                  <w:vAlign w:val="center"/>
                </w:tcPr>
                <w:p w14:paraId="2119501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3</w:t>
                  </w:r>
                  <w:r>
                    <w:rPr>
                      <w:rFonts w:hint="eastAsia" w:ascii="Times New Roman" w:hAnsi="Times New Roman" w:eastAsia="宋体"/>
                      <w:color w:val="auto"/>
                      <w:sz w:val="21"/>
                      <w:szCs w:val="21"/>
                      <w:lang w:val="zh-CN" w:eastAsia="zh-CN"/>
                    </w:rPr>
                    <w:t>类区</w:t>
                  </w:r>
                </w:p>
              </w:tc>
              <w:tc>
                <w:tcPr>
                  <w:tcW w:w="3104" w:type="dxa"/>
                  <w:noWrap w:val="0"/>
                  <w:vAlign w:val="center"/>
                </w:tcPr>
                <w:p w14:paraId="4C558D7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65</w:t>
                  </w:r>
                </w:p>
              </w:tc>
              <w:tc>
                <w:tcPr>
                  <w:tcW w:w="2954" w:type="dxa"/>
                  <w:noWrap w:val="0"/>
                  <w:vAlign w:val="center"/>
                </w:tcPr>
                <w:p w14:paraId="3085CEE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55</w:t>
                  </w:r>
                </w:p>
              </w:tc>
            </w:tr>
          </w:tbl>
          <w:p w14:paraId="2980D3C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4、固废排放标准</w:t>
            </w:r>
          </w:p>
          <w:p w14:paraId="18B5F79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olor w:val="auto"/>
                <w:kern w:val="0"/>
                <w:szCs w:val="21"/>
              </w:rPr>
            </w:pPr>
            <w:r>
              <w:rPr>
                <w:rFonts w:hint="eastAsia" w:ascii="Times New Roman" w:hAnsi="Times New Roman" w:eastAsia="宋体" w:cs="Times New Roman"/>
                <w:color w:val="auto"/>
                <w:kern w:val="0"/>
                <w:szCs w:val="21"/>
                <w:lang w:val="en-US" w:eastAsia="zh-CN"/>
              </w:rPr>
              <w:t>一般固废执行</w:t>
            </w:r>
            <w:bookmarkStart w:id="4" w:name="OLE_LINK22"/>
            <w:r>
              <w:rPr>
                <w:rFonts w:hint="default"/>
                <w:color w:val="auto"/>
                <w:kern w:val="0"/>
                <w:sz w:val="24"/>
                <w:highlight w:val="none"/>
              </w:rPr>
              <w:t>《一般工业固体废物贮存</w:t>
            </w:r>
            <w:r>
              <w:rPr>
                <w:rFonts w:hint="eastAsia"/>
                <w:color w:val="auto"/>
                <w:kern w:val="0"/>
                <w:sz w:val="24"/>
                <w:highlight w:val="none"/>
              </w:rPr>
              <w:t>和填埋</w:t>
            </w:r>
            <w:r>
              <w:rPr>
                <w:rFonts w:hint="default"/>
                <w:color w:val="auto"/>
                <w:kern w:val="0"/>
                <w:sz w:val="24"/>
                <w:highlight w:val="none"/>
              </w:rPr>
              <w:t>污染控制标准》（GB18599-2</w:t>
            </w:r>
            <w:r>
              <w:rPr>
                <w:rFonts w:hint="eastAsia"/>
                <w:color w:val="auto"/>
                <w:kern w:val="0"/>
                <w:sz w:val="24"/>
                <w:highlight w:val="none"/>
              </w:rPr>
              <w:t>020</w:t>
            </w:r>
            <w:r>
              <w:rPr>
                <w:rFonts w:hint="default"/>
                <w:color w:val="auto"/>
                <w:kern w:val="0"/>
                <w:sz w:val="24"/>
                <w:highlight w:val="none"/>
              </w:rPr>
              <w:t>）</w:t>
            </w:r>
            <w:bookmarkEnd w:id="4"/>
            <w:r>
              <w:rPr>
                <w:rFonts w:hint="eastAsia" w:ascii="Times New Roman" w:hAnsi="Times New Roman" w:eastAsia="宋体" w:cs="Times New Roman"/>
                <w:color w:val="auto"/>
                <w:kern w:val="0"/>
                <w:szCs w:val="21"/>
                <w:lang w:val="en-US" w:eastAsia="zh-CN"/>
              </w:rPr>
              <w:t>中的有关规定，危险固废执行《危险废物贮存污染控制标准》（GB18597-20</w:t>
            </w:r>
            <w:r>
              <w:rPr>
                <w:rFonts w:hint="eastAsia" w:cs="Times New Roman"/>
                <w:color w:val="auto"/>
                <w:kern w:val="0"/>
                <w:szCs w:val="21"/>
                <w:lang w:val="en-US" w:eastAsia="zh-CN"/>
              </w:rPr>
              <w:t>23</w:t>
            </w:r>
            <w:r>
              <w:rPr>
                <w:rFonts w:hint="eastAsia" w:ascii="Times New Roman" w:hAnsi="Times New Roman" w:eastAsia="宋体" w:cs="Times New Roman"/>
                <w:color w:val="auto"/>
                <w:kern w:val="0"/>
                <w:szCs w:val="21"/>
                <w:lang w:val="en-US" w:eastAsia="zh-CN"/>
              </w:rPr>
              <w:t>）中的有关规定。</w:t>
            </w:r>
          </w:p>
        </w:tc>
      </w:tr>
      <w:tr w14:paraId="7B60B1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466" w:type="dxa"/>
            <w:noWrap w:val="0"/>
            <w:vAlign w:val="center"/>
          </w:tcPr>
          <w:p w14:paraId="55814F79">
            <w:pPr>
              <w:keepNext w:val="0"/>
              <w:keepLines w:val="0"/>
              <w:pageBreakBefore w:val="0"/>
              <w:suppressLineNumbers w:val="0"/>
              <w:kinsoku/>
              <w:wordWrap/>
              <w:overflowPunct/>
              <w:topLinePunct w:val="0"/>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color w:val="auto"/>
                <w:kern w:val="0"/>
                <w:szCs w:val="21"/>
              </w:rPr>
            </w:pPr>
            <w:r>
              <w:rPr>
                <w:rFonts w:hint="default" w:ascii="Times New Roman" w:hAnsi="Times New Roman" w:eastAsia="宋体"/>
                <w:color w:val="auto"/>
                <w:kern w:val="0"/>
                <w:sz w:val="24"/>
                <w:szCs w:val="24"/>
              </w:rPr>
              <w:t>总量控制指标</w:t>
            </w:r>
          </w:p>
        </w:tc>
        <w:tc>
          <w:tcPr>
            <w:tcW w:w="8524" w:type="dxa"/>
            <w:noWrap w:val="0"/>
            <w:vAlign w:val="center"/>
          </w:tcPr>
          <w:p w14:paraId="7702957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现阶段进行总量控制的指标为SO</w:t>
            </w:r>
            <w:r>
              <w:rPr>
                <w:rFonts w:hint="eastAsia" w:ascii="Times New Roman" w:hAnsi="Times New Roman" w:eastAsia="宋体" w:cs="Times New Roman"/>
                <w:color w:val="auto"/>
                <w:kern w:val="0"/>
                <w:szCs w:val="21"/>
                <w:highlight w:val="none"/>
                <w:vertAlign w:val="subscript"/>
                <w:lang w:val="en-US" w:eastAsia="zh-CN"/>
              </w:rPr>
              <w:t>2</w:t>
            </w:r>
            <w:r>
              <w:rPr>
                <w:rFonts w:hint="eastAsia" w:ascii="Times New Roman" w:hAnsi="Times New Roman" w:eastAsia="宋体" w:cs="Times New Roman"/>
                <w:color w:val="auto"/>
                <w:kern w:val="0"/>
                <w:szCs w:val="21"/>
                <w:highlight w:val="none"/>
                <w:lang w:val="en-US" w:eastAsia="zh-CN"/>
              </w:rPr>
              <w:t>、NO</w:t>
            </w:r>
            <w:r>
              <w:rPr>
                <w:rFonts w:hint="eastAsia" w:ascii="Times New Roman" w:hAnsi="Times New Roman" w:eastAsia="宋体" w:cs="Times New Roman"/>
                <w:color w:val="auto"/>
                <w:kern w:val="0"/>
                <w:szCs w:val="21"/>
                <w:highlight w:val="none"/>
                <w:vertAlign w:val="subscript"/>
                <w:lang w:val="en-US" w:eastAsia="zh-CN"/>
              </w:rPr>
              <w:t>X</w:t>
            </w:r>
            <w:r>
              <w:rPr>
                <w:rFonts w:hint="eastAsia" w:ascii="Times New Roman" w:hAnsi="Times New Roman" w:eastAsia="宋体" w:cs="Times New Roman"/>
                <w:color w:val="auto"/>
                <w:kern w:val="0"/>
                <w:szCs w:val="21"/>
                <w:highlight w:val="none"/>
                <w:lang w:val="en-US" w:eastAsia="zh-CN"/>
              </w:rPr>
              <w:t>和COD、NH</w:t>
            </w:r>
            <w:r>
              <w:rPr>
                <w:rFonts w:hint="eastAsia" w:ascii="Times New Roman" w:hAnsi="Times New Roman" w:eastAsia="宋体" w:cs="Times New Roman"/>
                <w:color w:val="auto"/>
                <w:kern w:val="0"/>
                <w:szCs w:val="21"/>
                <w:highlight w:val="none"/>
                <w:vertAlign w:val="subscript"/>
                <w:lang w:val="en-US" w:eastAsia="zh-CN"/>
              </w:rPr>
              <w:t>3</w:t>
            </w:r>
            <w:r>
              <w:rPr>
                <w:rFonts w:hint="eastAsia" w:ascii="Times New Roman" w:hAnsi="Times New Roman" w:eastAsia="宋体" w:cs="Times New Roman"/>
                <w:color w:val="auto"/>
                <w:kern w:val="0"/>
                <w:szCs w:val="21"/>
                <w:highlight w:val="none"/>
                <w:lang w:val="en-US" w:eastAsia="zh-CN"/>
              </w:rPr>
              <w:t>-N四项，“十四五”期间加强VOCs总量控制。本项目总量控制指标如下：</w:t>
            </w:r>
          </w:p>
          <w:p w14:paraId="70B3005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废气：本项目VOCs排放量为0.</w:t>
            </w:r>
            <w:r>
              <w:rPr>
                <w:rFonts w:hint="eastAsia" w:cs="Times New Roman"/>
                <w:color w:val="auto"/>
                <w:kern w:val="0"/>
                <w:szCs w:val="21"/>
                <w:highlight w:val="none"/>
                <w:lang w:val="en-US" w:eastAsia="zh-CN"/>
              </w:rPr>
              <w:t>596</w:t>
            </w:r>
            <w:r>
              <w:rPr>
                <w:rFonts w:hint="eastAsia" w:ascii="Times New Roman" w:hAnsi="Times New Roman" w:eastAsia="宋体" w:cs="Times New Roman"/>
                <w:color w:val="auto"/>
                <w:kern w:val="0"/>
                <w:szCs w:val="21"/>
                <w:highlight w:val="none"/>
                <w:lang w:val="en-US" w:eastAsia="zh-CN"/>
              </w:rPr>
              <w:t>t/a。</w:t>
            </w:r>
          </w:p>
          <w:p w14:paraId="273360D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olor w:val="auto"/>
                <w:kern w:val="0"/>
                <w:szCs w:val="21"/>
              </w:rPr>
            </w:pPr>
            <w:r>
              <w:rPr>
                <w:rFonts w:hint="eastAsia" w:ascii="Times New Roman" w:hAnsi="Times New Roman" w:eastAsia="宋体" w:cs="Times New Roman"/>
                <w:color w:val="auto"/>
                <w:kern w:val="0"/>
                <w:szCs w:val="21"/>
                <w:highlight w:val="none"/>
                <w:lang w:val="en-US" w:eastAsia="zh-CN"/>
              </w:rPr>
              <w:t>废水：本项目</w:t>
            </w:r>
            <w:r>
              <w:rPr>
                <w:rFonts w:hint="eastAsia" w:cs="Times New Roman"/>
                <w:color w:val="auto"/>
                <w:kern w:val="0"/>
                <w:szCs w:val="21"/>
                <w:highlight w:val="none"/>
                <w:lang w:val="en-US" w:eastAsia="zh-CN"/>
              </w:rPr>
              <w:t>无生产</w:t>
            </w:r>
            <w:r>
              <w:rPr>
                <w:rFonts w:hint="eastAsia" w:ascii="Times New Roman" w:hAnsi="Times New Roman" w:eastAsia="宋体" w:cs="Times New Roman"/>
                <w:color w:val="auto"/>
                <w:kern w:val="0"/>
                <w:szCs w:val="21"/>
                <w:highlight w:val="none"/>
                <w:lang w:val="en-US" w:eastAsia="zh-CN"/>
              </w:rPr>
              <w:t>废水</w:t>
            </w:r>
            <w:r>
              <w:rPr>
                <w:rFonts w:hint="eastAsia" w:cs="Times New Roman"/>
                <w:color w:val="auto"/>
                <w:kern w:val="0"/>
                <w:szCs w:val="21"/>
                <w:highlight w:val="none"/>
                <w:lang w:val="en-US" w:eastAsia="zh-CN"/>
              </w:rPr>
              <w:t>产生，</w:t>
            </w:r>
            <w:r>
              <w:rPr>
                <w:rFonts w:hint="eastAsia" w:ascii="Times New Roman" w:hAnsi="Times New Roman" w:eastAsia="宋体" w:cs="Times New Roman"/>
                <w:color w:val="auto"/>
                <w:kern w:val="0"/>
                <w:szCs w:val="21"/>
                <w:highlight w:val="none"/>
                <w:lang w:val="en-US" w:eastAsia="zh-CN"/>
              </w:rPr>
              <w:t>因此无需申请废水污染物总量控制指标。</w:t>
            </w:r>
          </w:p>
        </w:tc>
      </w:tr>
    </w:tbl>
    <w:p w14:paraId="7F39DAD7">
      <w:pPr>
        <w:pStyle w:val="21"/>
        <w:keepNext w:val="0"/>
        <w:keepLines w:val="0"/>
        <w:pageBreakBefore w:val="0"/>
        <w:kinsoku/>
        <w:overflowPunct/>
        <w:bidi w:val="0"/>
        <w:spacing w:before="0" w:beforeAutospacing="0" w:after="0" w:afterLines="0" w:afterAutospacing="0"/>
        <w:jc w:val="center"/>
        <w:textAlignment w:val="auto"/>
        <w:outlineLvl w:val="0"/>
        <w:rPr>
          <w:rFonts w:ascii="Times New Roman" w:hAnsi="Times New Roman" w:eastAsia="宋体"/>
          <w:snapToGrid w:val="0"/>
          <w:color w:val="auto"/>
          <w:sz w:val="30"/>
          <w:szCs w:val="30"/>
        </w:rPr>
      </w:pPr>
      <w:r>
        <w:rPr>
          <w:rFonts w:ascii="Times New Roman" w:hAnsi="Times New Roman" w:eastAsia="宋体"/>
          <w:snapToGrid w:val="0"/>
          <w:color w:val="auto"/>
          <w:sz w:val="36"/>
          <w:szCs w:val="36"/>
        </w:rPr>
        <w:br w:type="page"/>
      </w:r>
      <w:r>
        <w:rPr>
          <w:rFonts w:ascii="Times New Roman" w:hAnsi="Times New Roman" w:eastAsia="宋体"/>
          <w:snapToGrid w:val="0"/>
          <w:color w:val="auto"/>
          <w:sz w:val="30"/>
          <w:szCs w:val="30"/>
        </w:rPr>
        <w:t>四、主要环境影响和保护措施</w:t>
      </w:r>
    </w:p>
    <w:tbl>
      <w:tblPr>
        <w:tblStyle w:val="24"/>
        <w:tblW w:w="91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8"/>
        <w:gridCol w:w="8754"/>
      </w:tblGrid>
      <w:tr w14:paraId="3E6568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418" w:type="dxa"/>
            <w:noWrap w:val="0"/>
            <w:tcMar>
              <w:left w:w="28" w:type="dxa"/>
              <w:right w:w="28" w:type="dxa"/>
            </w:tcMar>
            <w:vAlign w:val="center"/>
          </w:tcPr>
          <w:p w14:paraId="54223823">
            <w:pPr>
              <w:pStyle w:val="21"/>
              <w:keepNext w:val="0"/>
              <w:keepLines w:val="0"/>
              <w:pageBreakBefore w:val="0"/>
              <w:suppressLineNumbers w:val="0"/>
              <w:kinsoku/>
              <w:wordWrap/>
              <w:overflowPunct/>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bCs/>
                <w:color w:val="auto"/>
                <w:kern w:val="2"/>
                <w:sz w:val="21"/>
                <w:szCs w:val="21"/>
              </w:rPr>
            </w:pPr>
            <w:r>
              <w:rPr>
                <w:rFonts w:hint="default" w:ascii="Times New Roman" w:hAnsi="Times New Roman" w:eastAsia="宋体"/>
                <w:color w:val="auto"/>
                <w:kern w:val="2"/>
                <w:sz w:val="24"/>
                <w:szCs w:val="24"/>
              </w:rPr>
              <w:t>施工期环境保护措施</w:t>
            </w:r>
          </w:p>
        </w:tc>
        <w:tc>
          <w:tcPr>
            <w:tcW w:w="8754" w:type="dxa"/>
            <w:noWrap w:val="0"/>
            <w:vAlign w:val="center"/>
          </w:tcPr>
          <w:p w14:paraId="7C6DAE7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本项目在施工中将产生建筑施工废水、噪声、粉尘、固废等环境污染物，各项施工活动将会不可避免地对周围环境造成一定的影响，其中以施工噪声和粉尘的影响最为突出，做好施工期环保工作尤为重要。</w:t>
            </w:r>
          </w:p>
          <w:p w14:paraId="7F5C2BB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zh-CN" w:eastAsia="zh-CN"/>
              </w:rPr>
              <w:t>1、</w:t>
            </w:r>
            <w:r>
              <w:rPr>
                <w:rFonts w:hint="eastAsia" w:ascii="Times New Roman" w:hAnsi="Times New Roman" w:eastAsia="宋体" w:cs="Times New Roman"/>
                <w:b/>
                <w:bCs/>
                <w:color w:val="auto"/>
                <w:kern w:val="0"/>
                <w:szCs w:val="21"/>
                <w:lang w:val="en-US" w:eastAsia="zh-CN"/>
              </w:rPr>
              <w:t>大气环境保护措施</w:t>
            </w:r>
          </w:p>
          <w:p w14:paraId="2AE4403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（1）大气污染物分析</w:t>
            </w:r>
          </w:p>
          <w:p w14:paraId="1432A04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大气污染物主要来源于施工扬尘、建筑机械排放的废气和进出工地的车辆排放的汽车尾气。施工期扬尘的主要来源为现场堆放、建筑材料现场搬运及堆放、施工垃圾的清理及堆放和运输车辆造成的现场道路的扬尘。施工期间扬尘污染具有如下特点:流动性、瞬时性、无组织排放。</w:t>
            </w:r>
          </w:p>
          <w:p w14:paraId="6F65B6E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此外，运输车辆的进出和施工机械运行中，都将产生地面扬尘和废气排放，使空气中CO、TSP及NOx浓度有所增加，但局限在施工现场周围邻近区域。</w:t>
            </w:r>
          </w:p>
          <w:p w14:paraId="771A228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（2）在施工期采取的防治措施</w:t>
            </w:r>
          </w:p>
          <w:p w14:paraId="1AEFB5F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①施工基地周围设一定高度的围屏。</w:t>
            </w:r>
          </w:p>
          <w:p w14:paraId="620C5F2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②加强施工区的规划管理，防止建材在装卸、堆放、拌合过程中的粉尘外逸。建筑材料的堆场应定点定位，并采取防尘、抑尘措施，如在大风天气，对散料堆场采用水喷淋防尘。</w:t>
            </w:r>
          </w:p>
          <w:p w14:paraId="210C0E8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③散装水泥下部出口处设置防尘袋，以防水泥散逸。</w:t>
            </w:r>
          </w:p>
          <w:p w14:paraId="161387B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④运输车主要进出的主干道应定期洒水清扫。</w:t>
            </w:r>
          </w:p>
          <w:p w14:paraId="6D90409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⑤加强运输管理，坚持文明装卸。</w:t>
            </w:r>
          </w:p>
          <w:p w14:paraId="3E7D10E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⑥加强对机械、车辆的维修保养，禁止以柴油为燃料的施工机械超负荷工作，减少污染物的排放。</w:t>
            </w:r>
          </w:p>
          <w:p w14:paraId="0A747F3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⑦加强对施工人员的环保教育，提高全体施工人员的环保意识，坚持文明施工、科学施工。</w:t>
            </w:r>
          </w:p>
          <w:p w14:paraId="6B74F8A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（3）采取相应措施后，施工期大气污染物对周围大气环境的影响较小，项目所在区域的大气环境仍能满足二类功能区的要求。</w:t>
            </w:r>
          </w:p>
          <w:p w14:paraId="741D168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2、水环境保护措施</w:t>
            </w:r>
          </w:p>
          <w:p w14:paraId="0BF516B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（1）施工废水</w:t>
            </w:r>
          </w:p>
          <w:p w14:paraId="50373C8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zh-CN" w:eastAsia="zh-CN"/>
              </w:rPr>
            </w:pPr>
            <w:r>
              <w:rPr>
                <w:rFonts w:hint="eastAsia" w:ascii="Times New Roman" w:hAnsi="Times New Roman" w:eastAsia="宋体" w:cs="Times New Roman"/>
                <w:color w:val="auto"/>
                <w:kern w:val="0"/>
                <w:szCs w:val="21"/>
                <w:lang w:val="zh-CN" w:eastAsia="zh-CN"/>
              </w:rPr>
              <w:t>本项目地基开挖深度较浅，不会产生地下涌水。施工生产废水主要为混凝土养护废水、设备车辆冲洗水等，废水量</w:t>
            </w:r>
            <w:r>
              <w:rPr>
                <w:rFonts w:hint="eastAsia" w:ascii="Times New Roman" w:hAnsi="Times New Roman" w:eastAsia="宋体" w:cs="Times New Roman"/>
                <w:color w:val="auto"/>
                <w:kern w:val="0"/>
                <w:szCs w:val="21"/>
                <w:lang w:val="en-US" w:eastAsia="zh-CN"/>
              </w:rPr>
              <w:t>1</w:t>
            </w:r>
            <w:r>
              <w:rPr>
                <w:rFonts w:hint="eastAsia" w:ascii="Times New Roman" w:hAnsi="Times New Roman" w:eastAsia="宋体" w:cs="Times New Roman"/>
                <w:color w:val="auto"/>
                <w:kern w:val="0"/>
                <w:szCs w:val="21"/>
                <w:lang w:val="zh-CN" w:eastAsia="zh-CN"/>
              </w:rPr>
              <w:t>t/d左右。这些废水中主要污染物为SS，施工场地内的施工废水经临时沉淀池沉淀后全部回用和洒水抑尘，施工废水不外排。</w:t>
            </w:r>
          </w:p>
          <w:p w14:paraId="5A56789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zh-CN" w:eastAsia="zh-CN"/>
              </w:rPr>
            </w:pPr>
            <w:r>
              <w:rPr>
                <w:rFonts w:hint="eastAsia" w:ascii="Times New Roman" w:hAnsi="Times New Roman" w:eastAsia="宋体" w:cs="Times New Roman"/>
                <w:color w:val="auto"/>
                <w:kern w:val="0"/>
                <w:szCs w:val="21"/>
                <w:lang w:val="zh-CN" w:eastAsia="zh-CN"/>
              </w:rPr>
              <w:t>（2）生活污水</w:t>
            </w:r>
          </w:p>
          <w:p w14:paraId="1125B70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zh-CN" w:eastAsia="zh-CN"/>
              </w:rPr>
            </w:pPr>
            <w:r>
              <w:rPr>
                <w:rFonts w:hint="eastAsia" w:ascii="Times New Roman" w:hAnsi="Times New Roman" w:eastAsia="宋体" w:cs="Times New Roman"/>
                <w:color w:val="auto"/>
                <w:kern w:val="0"/>
                <w:szCs w:val="21"/>
                <w:lang w:val="zh-CN" w:eastAsia="zh-CN"/>
              </w:rPr>
              <w:t>生活污水主要污染物为COD、BOD</w:t>
            </w:r>
            <w:r>
              <w:rPr>
                <w:rFonts w:hint="eastAsia" w:ascii="Times New Roman" w:hAnsi="Times New Roman" w:eastAsia="宋体" w:cs="Times New Roman"/>
                <w:color w:val="auto"/>
                <w:kern w:val="0"/>
                <w:szCs w:val="21"/>
                <w:vertAlign w:val="subscript"/>
                <w:lang w:val="zh-CN" w:eastAsia="zh-CN"/>
              </w:rPr>
              <w:t>5</w:t>
            </w:r>
            <w:r>
              <w:rPr>
                <w:rFonts w:hint="eastAsia" w:ascii="Times New Roman" w:hAnsi="Times New Roman" w:eastAsia="宋体" w:cs="Times New Roman"/>
                <w:color w:val="auto"/>
                <w:kern w:val="0"/>
                <w:szCs w:val="21"/>
                <w:lang w:val="zh-CN" w:eastAsia="zh-CN"/>
              </w:rPr>
              <w:t>、NH</w:t>
            </w:r>
            <w:r>
              <w:rPr>
                <w:rFonts w:hint="eastAsia" w:ascii="Times New Roman" w:hAnsi="Times New Roman" w:eastAsia="宋体" w:cs="Times New Roman"/>
                <w:color w:val="auto"/>
                <w:kern w:val="0"/>
                <w:szCs w:val="21"/>
                <w:vertAlign w:val="subscript"/>
                <w:lang w:val="zh-CN" w:eastAsia="zh-CN"/>
              </w:rPr>
              <w:t>3</w:t>
            </w:r>
            <w:r>
              <w:rPr>
                <w:rFonts w:hint="eastAsia" w:ascii="Times New Roman" w:hAnsi="Times New Roman" w:eastAsia="宋体" w:cs="Times New Roman"/>
                <w:color w:val="auto"/>
                <w:kern w:val="0"/>
                <w:szCs w:val="21"/>
                <w:lang w:val="zh-CN" w:eastAsia="zh-CN"/>
              </w:rPr>
              <w:t>-N、SS，</w:t>
            </w:r>
            <w:r>
              <w:rPr>
                <w:rFonts w:hint="eastAsia" w:ascii="Times New Roman" w:hAnsi="Times New Roman" w:eastAsia="宋体" w:cs="Times New Roman"/>
                <w:color w:val="auto"/>
                <w:kern w:val="0"/>
                <w:szCs w:val="21"/>
                <w:lang w:val="en-US" w:eastAsia="zh-CN"/>
              </w:rPr>
              <w:t>生活污水</w:t>
            </w:r>
            <w:r>
              <w:rPr>
                <w:rFonts w:hint="eastAsia" w:ascii="Times New Roman" w:hAnsi="Times New Roman" w:eastAsia="宋体" w:cs="Times New Roman"/>
                <w:color w:val="auto"/>
                <w:kern w:val="0"/>
                <w:szCs w:val="21"/>
                <w:lang w:val="zh-CN" w:eastAsia="zh-CN"/>
              </w:rPr>
              <w:t>经</w:t>
            </w:r>
            <w:r>
              <w:rPr>
                <w:rFonts w:hint="eastAsia" w:ascii="Times New Roman" w:hAnsi="Times New Roman" w:eastAsia="宋体" w:cs="Times New Roman"/>
                <w:color w:val="auto"/>
                <w:kern w:val="0"/>
                <w:szCs w:val="21"/>
                <w:lang w:val="en-US" w:eastAsia="zh-CN"/>
              </w:rPr>
              <w:t>现有污水处理站</w:t>
            </w:r>
            <w:r>
              <w:rPr>
                <w:rFonts w:hint="default"/>
                <w:color w:val="auto"/>
                <w:highlight w:val="none"/>
              </w:rPr>
              <w:t>处理达标后全部回用</w:t>
            </w:r>
            <w:r>
              <w:rPr>
                <w:rFonts w:hint="eastAsia" w:ascii="Times New Roman" w:hAnsi="Times New Roman" w:eastAsia="宋体" w:cs="Times New Roman"/>
                <w:color w:val="auto"/>
                <w:kern w:val="0"/>
                <w:szCs w:val="21"/>
                <w:lang w:val="zh-CN" w:eastAsia="zh-CN"/>
              </w:rPr>
              <w:t>。</w:t>
            </w:r>
          </w:p>
          <w:p w14:paraId="35FDEED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3、声环境保护措施</w:t>
            </w:r>
          </w:p>
          <w:p w14:paraId="28C9766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施工期各种施工机械设备运转和物料运输均会产生噪声，其噪声可达60～90dB（A）之间，施工期间各种施工设备均为露天作业，对周围声环境有一定的影响。施工期主要机械噪声源强见表4-1。</w:t>
            </w:r>
          </w:p>
          <w:p w14:paraId="39DE717A">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表4-1施工期主要机械噪声源强表</w:t>
            </w:r>
          </w:p>
          <w:tbl>
            <w:tblPr>
              <w:tblStyle w:val="24"/>
              <w:tblW w:w="80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51"/>
              <w:gridCol w:w="2397"/>
              <w:gridCol w:w="4091"/>
            </w:tblGrid>
            <w:tr w14:paraId="454AC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 w:hRule="atLeast"/>
                <w:jc w:val="center"/>
              </w:trPr>
              <w:tc>
                <w:tcPr>
                  <w:tcW w:w="1551" w:type="dxa"/>
                  <w:tcBorders>
                    <w:tl2br w:val="nil"/>
                    <w:tr2bl w:val="nil"/>
                  </w:tcBorders>
                  <w:noWrap w:val="0"/>
                  <w:vAlign w:val="center"/>
                </w:tcPr>
                <w:p w14:paraId="74A828D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序号</w:t>
                  </w:r>
                </w:p>
              </w:tc>
              <w:tc>
                <w:tcPr>
                  <w:tcW w:w="2397" w:type="dxa"/>
                  <w:tcBorders>
                    <w:tl2br w:val="nil"/>
                    <w:tr2bl w:val="nil"/>
                  </w:tcBorders>
                  <w:noWrap w:val="0"/>
                  <w:vAlign w:val="center"/>
                </w:tcPr>
                <w:p w14:paraId="77C9C7C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机械名称</w:t>
                  </w:r>
                </w:p>
              </w:tc>
              <w:tc>
                <w:tcPr>
                  <w:tcW w:w="4091" w:type="dxa"/>
                  <w:tcBorders>
                    <w:tl2br w:val="nil"/>
                    <w:tr2bl w:val="nil"/>
                  </w:tcBorders>
                  <w:noWrap w:val="0"/>
                  <w:vAlign w:val="center"/>
                </w:tcPr>
                <w:p w14:paraId="4FB5B13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距声源10m处平均噪声级dB（A）</w:t>
                  </w:r>
                </w:p>
              </w:tc>
            </w:tr>
            <w:tr w14:paraId="7A4BF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 w:hRule="atLeast"/>
                <w:jc w:val="center"/>
              </w:trPr>
              <w:tc>
                <w:tcPr>
                  <w:tcW w:w="1551" w:type="dxa"/>
                  <w:tcBorders>
                    <w:tl2br w:val="nil"/>
                    <w:tr2bl w:val="nil"/>
                  </w:tcBorders>
                  <w:noWrap w:val="0"/>
                  <w:vAlign w:val="center"/>
                </w:tcPr>
                <w:p w14:paraId="61EC9E6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c>
                <w:tcPr>
                  <w:tcW w:w="2397" w:type="dxa"/>
                  <w:tcBorders>
                    <w:tl2br w:val="nil"/>
                    <w:tr2bl w:val="nil"/>
                  </w:tcBorders>
                  <w:noWrap w:val="0"/>
                  <w:vAlign w:val="center"/>
                </w:tcPr>
                <w:p w14:paraId="57586EE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推土机</w:t>
                  </w:r>
                </w:p>
              </w:tc>
              <w:tc>
                <w:tcPr>
                  <w:tcW w:w="4091" w:type="dxa"/>
                  <w:tcBorders>
                    <w:tl2br w:val="nil"/>
                    <w:tr2bl w:val="nil"/>
                  </w:tcBorders>
                  <w:noWrap w:val="0"/>
                  <w:vAlign w:val="center"/>
                </w:tcPr>
                <w:p w14:paraId="08F3F28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76</w:t>
                  </w:r>
                </w:p>
              </w:tc>
            </w:tr>
            <w:tr w14:paraId="45044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 w:hRule="atLeast"/>
                <w:jc w:val="center"/>
              </w:trPr>
              <w:tc>
                <w:tcPr>
                  <w:tcW w:w="1551" w:type="dxa"/>
                  <w:tcBorders>
                    <w:tl2br w:val="nil"/>
                    <w:tr2bl w:val="nil"/>
                  </w:tcBorders>
                  <w:noWrap w:val="0"/>
                  <w:vAlign w:val="center"/>
                </w:tcPr>
                <w:p w14:paraId="6B567BB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w:t>
                  </w:r>
                </w:p>
              </w:tc>
              <w:tc>
                <w:tcPr>
                  <w:tcW w:w="2397" w:type="dxa"/>
                  <w:tcBorders>
                    <w:tl2br w:val="nil"/>
                    <w:tr2bl w:val="nil"/>
                  </w:tcBorders>
                  <w:noWrap w:val="0"/>
                  <w:vAlign w:val="center"/>
                </w:tcPr>
                <w:p w14:paraId="299D409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挖掘机</w:t>
                  </w:r>
                </w:p>
              </w:tc>
              <w:tc>
                <w:tcPr>
                  <w:tcW w:w="4091" w:type="dxa"/>
                  <w:tcBorders>
                    <w:tl2br w:val="nil"/>
                    <w:tr2bl w:val="nil"/>
                  </w:tcBorders>
                  <w:noWrap w:val="0"/>
                  <w:vAlign w:val="center"/>
                </w:tcPr>
                <w:p w14:paraId="7AD2C20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82</w:t>
                  </w:r>
                </w:p>
              </w:tc>
            </w:tr>
            <w:tr w14:paraId="42764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 w:hRule="atLeast"/>
                <w:jc w:val="center"/>
              </w:trPr>
              <w:tc>
                <w:tcPr>
                  <w:tcW w:w="1551" w:type="dxa"/>
                  <w:tcBorders>
                    <w:tl2br w:val="nil"/>
                    <w:tr2bl w:val="nil"/>
                  </w:tcBorders>
                  <w:noWrap w:val="0"/>
                  <w:vAlign w:val="center"/>
                </w:tcPr>
                <w:p w14:paraId="1BDB931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w:t>
                  </w:r>
                </w:p>
              </w:tc>
              <w:tc>
                <w:tcPr>
                  <w:tcW w:w="2397" w:type="dxa"/>
                  <w:tcBorders>
                    <w:tl2br w:val="nil"/>
                    <w:tr2bl w:val="nil"/>
                  </w:tcBorders>
                  <w:noWrap w:val="0"/>
                  <w:vAlign w:val="center"/>
                </w:tcPr>
                <w:p w14:paraId="6636790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插入式振捣器</w:t>
                  </w:r>
                </w:p>
              </w:tc>
              <w:tc>
                <w:tcPr>
                  <w:tcW w:w="4091" w:type="dxa"/>
                  <w:tcBorders>
                    <w:tl2br w:val="nil"/>
                    <w:tr2bl w:val="nil"/>
                  </w:tcBorders>
                  <w:noWrap w:val="0"/>
                  <w:vAlign w:val="center"/>
                </w:tcPr>
                <w:p w14:paraId="5E930C5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84</w:t>
                  </w:r>
                </w:p>
              </w:tc>
            </w:tr>
            <w:tr w14:paraId="5C36D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1551" w:type="dxa"/>
                  <w:tcBorders>
                    <w:tl2br w:val="nil"/>
                    <w:tr2bl w:val="nil"/>
                  </w:tcBorders>
                  <w:noWrap w:val="0"/>
                  <w:vAlign w:val="center"/>
                </w:tcPr>
                <w:p w14:paraId="3644D88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w:t>
                  </w:r>
                </w:p>
              </w:tc>
              <w:tc>
                <w:tcPr>
                  <w:tcW w:w="2397" w:type="dxa"/>
                  <w:tcBorders>
                    <w:tl2br w:val="nil"/>
                    <w:tr2bl w:val="nil"/>
                  </w:tcBorders>
                  <w:noWrap w:val="0"/>
                  <w:vAlign w:val="center"/>
                </w:tcPr>
                <w:p w14:paraId="339E4F0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运输汽车</w:t>
                  </w:r>
                </w:p>
              </w:tc>
              <w:tc>
                <w:tcPr>
                  <w:tcW w:w="4091" w:type="dxa"/>
                  <w:tcBorders>
                    <w:tl2br w:val="nil"/>
                    <w:tr2bl w:val="nil"/>
                  </w:tcBorders>
                  <w:noWrap w:val="0"/>
                  <w:vAlign w:val="center"/>
                </w:tcPr>
                <w:p w14:paraId="3E3D52D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82</w:t>
                  </w:r>
                </w:p>
              </w:tc>
            </w:tr>
          </w:tbl>
          <w:p w14:paraId="6CCCD95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根据同类工程调查情况，距噪声源约250m左右，噪声强度可降到55dB（A）以下，可以满足《建筑施工场界环境噪声排放标准》（GB12523-20</w:t>
            </w:r>
            <w:r>
              <w:rPr>
                <w:rFonts w:hint="eastAsia" w:cs="Times New Roman"/>
                <w:color w:val="auto"/>
                <w:kern w:val="0"/>
                <w:szCs w:val="21"/>
                <w:lang w:val="en-US" w:eastAsia="zh-CN"/>
              </w:rPr>
              <w:t>25</w:t>
            </w:r>
            <w:r>
              <w:rPr>
                <w:rFonts w:hint="eastAsia" w:ascii="Times New Roman" w:hAnsi="Times New Roman" w:eastAsia="宋体" w:cs="Times New Roman"/>
                <w:color w:val="auto"/>
                <w:kern w:val="0"/>
                <w:szCs w:val="21"/>
                <w:lang w:val="en-US" w:eastAsia="zh-CN"/>
              </w:rPr>
              <w:t>）的要求，施工噪声经距离衰减后对周围环境影响不大。</w:t>
            </w:r>
          </w:p>
          <w:p w14:paraId="5E742C4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施工期间应采取有效措施，减少噪声对周围环境的影响，具体措施如下：</w:t>
            </w:r>
          </w:p>
          <w:p w14:paraId="414C631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①合理安排施工计划和施工机械设备组合以及施工时间，禁止在午间（12：00-14：00）和夜间（22：00-6：00）施工。</w:t>
            </w:r>
          </w:p>
          <w:p w14:paraId="199B6B1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②施工单位应采用先进的施工工艺，合理选用施工机械，尽量选用噪声较低的施工设备。</w:t>
            </w:r>
          </w:p>
          <w:p w14:paraId="276DF77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③合理布置施工现场出入口，禁止在施工现场鸣笛等措施。</w:t>
            </w:r>
          </w:p>
          <w:p w14:paraId="2EC3CBF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④运输车辆作业应安排在白天，控制车速，物料装卸时，轻装慢卸。</w:t>
            </w:r>
          </w:p>
          <w:p w14:paraId="24270AC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⑤减低人为噪音，按规定操作机械设备，遵守作业规定，减少碰撞噪音。</w:t>
            </w:r>
          </w:p>
          <w:p w14:paraId="36E257E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olor w:val="auto"/>
                <w:szCs w:val="21"/>
              </w:rPr>
            </w:pPr>
            <w:r>
              <w:rPr>
                <w:rFonts w:hint="eastAsia" w:ascii="Times New Roman" w:hAnsi="Times New Roman" w:eastAsia="宋体" w:cs="Times New Roman"/>
                <w:color w:val="auto"/>
                <w:kern w:val="0"/>
                <w:szCs w:val="21"/>
                <w:lang w:val="en-US" w:eastAsia="zh-CN"/>
              </w:rPr>
              <w:t>采取以上措施，施工期的噪声对周围环境影响较小且随着施工结束其影响也随之消失。</w:t>
            </w:r>
          </w:p>
          <w:p w14:paraId="2F7D815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4、固体废物处置措施</w:t>
            </w:r>
          </w:p>
          <w:p w14:paraId="72A3419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（1）生活垃圾</w:t>
            </w:r>
          </w:p>
          <w:p w14:paraId="3937DBB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施工生活垃圾采用垃圾袋集中收集，由当地环卫部门统一处理。</w:t>
            </w:r>
          </w:p>
          <w:p w14:paraId="059C4F3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（2）建筑垃圾</w:t>
            </w:r>
          </w:p>
          <w:p w14:paraId="589A10C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建筑施工垃圾的堆放不仅占用大量的土地，影响景观，还在晴天引起扬尘，雨天导致道路泥泞，并产生淋溶废水污染环境，会对大气、景观环境产生不利影响。</w:t>
            </w:r>
          </w:p>
          <w:p w14:paraId="61E87FE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为防止施工期固体废物对周围环境带来不利影响，要求施工单位在工程施工期采取以下污染防治措施：</w:t>
            </w:r>
          </w:p>
          <w:p w14:paraId="6AFDFED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fldChar w:fldCharType="begin"/>
            </w:r>
            <w:r>
              <w:rPr>
                <w:rFonts w:hint="eastAsia" w:ascii="Times New Roman" w:hAnsi="Times New Roman" w:eastAsia="宋体" w:cs="Times New Roman"/>
                <w:color w:val="auto"/>
                <w:kern w:val="0"/>
                <w:szCs w:val="21"/>
                <w:lang w:val="en-US" w:eastAsia="zh-CN"/>
              </w:rPr>
              <w:instrText xml:space="preserve"> = 1 \* GB3 </w:instrText>
            </w:r>
            <w:r>
              <w:rPr>
                <w:rFonts w:hint="eastAsia" w:ascii="Times New Roman" w:hAnsi="Times New Roman" w:eastAsia="宋体" w:cs="Times New Roman"/>
                <w:color w:val="auto"/>
                <w:kern w:val="0"/>
                <w:szCs w:val="21"/>
                <w:lang w:val="en-US" w:eastAsia="zh-CN"/>
              </w:rPr>
              <w:fldChar w:fldCharType="separate"/>
            </w:r>
            <w:r>
              <w:rPr>
                <w:rFonts w:hint="eastAsia" w:ascii="Times New Roman" w:hAnsi="Times New Roman" w:eastAsia="宋体" w:cs="Times New Roman"/>
                <w:color w:val="auto"/>
                <w:kern w:val="0"/>
                <w:szCs w:val="21"/>
                <w:lang w:val="en-US" w:eastAsia="zh-CN"/>
              </w:rPr>
              <w:t>①</w:t>
            </w:r>
            <w:r>
              <w:rPr>
                <w:rFonts w:hint="eastAsia" w:ascii="Times New Roman" w:hAnsi="Times New Roman" w:eastAsia="宋体" w:cs="Times New Roman"/>
                <w:color w:val="auto"/>
                <w:kern w:val="0"/>
                <w:szCs w:val="21"/>
                <w:lang w:val="en-US" w:eastAsia="zh-CN"/>
              </w:rPr>
              <w:fldChar w:fldCharType="end"/>
            </w:r>
            <w:r>
              <w:rPr>
                <w:rFonts w:hint="eastAsia" w:ascii="Times New Roman" w:hAnsi="Times New Roman" w:eastAsia="宋体" w:cs="Times New Roman"/>
                <w:color w:val="auto"/>
                <w:kern w:val="0"/>
                <w:szCs w:val="21"/>
                <w:lang w:val="en-US" w:eastAsia="zh-CN"/>
              </w:rPr>
              <w:t>弃土、废渣等固体废物必须妥善处理，及时清运</w:t>
            </w:r>
            <w:r>
              <w:rPr>
                <w:rFonts w:hint="eastAsia" w:cs="Times New Roman"/>
                <w:color w:val="auto"/>
                <w:kern w:val="0"/>
                <w:szCs w:val="21"/>
                <w:lang w:val="en-US" w:eastAsia="zh-CN"/>
              </w:rPr>
              <w:t>。</w:t>
            </w:r>
          </w:p>
          <w:p w14:paraId="0B2EC6C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fldChar w:fldCharType="begin"/>
            </w:r>
            <w:r>
              <w:rPr>
                <w:rFonts w:hint="eastAsia" w:ascii="Times New Roman" w:hAnsi="Times New Roman" w:eastAsia="宋体" w:cs="Times New Roman"/>
                <w:color w:val="auto"/>
                <w:kern w:val="0"/>
                <w:szCs w:val="21"/>
                <w:lang w:val="en-US" w:eastAsia="zh-CN"/>
              </w:rPr>
              <w:instrText xml:space="preserve"> = 2 \* GB3 </w:instrText>
            </w:r>
            <w:r>
              <w:rPr>
                <w:rFonts w:hint="eastAsia" w:ascii="Times New Roman" w:hAnsi="Times New Roman" w:eastAsia="宋体" w:cs="Times New Roman"/>
                <w:color w:val="auto"/>
                <w:kern w:val="0"/>
                <w:szCs w:val="21"/>
                <w:lang w:val="en-US" w:eastAsia="zh-CN"/>
              </w:rPr>
              <w:fldChar w:fldCharType="separate"/>
            </w:r>
            <w:r>
              <w:rPr>
                <w:rFonts w:hint="eastAsia" w:ascii="Times New Roman" w:hAnsi="Times New Roman" w:eastAsia="宋体" w:cs="Times New Roman"/>
                <w:color w:val="auto"/>
                <w:kern w:val="0"/>
                <w:szCs w:val="21"/>
                <w:lang w:val="en-US" w:eastAsia="zh-CN"/>
              </w:rPr>
              <w:t>②</w:t>
            </w:r>
            <w:r>
              <w:rPr>
                <w:rFonts w:hint="eastAsia" w:ascii="Times New Roman" w:hAnsi="Times New Roman" w:eastAsia="宋体" w:cs="Times New Roman"/>
                <w:color w:val="auto"/>
                <w:kern w:val="0"/>
                <w:szCs w:val="21"/>
                <w:lang w:val="en-US" w:eastAsia="zh-CN"/>
              </w:rPr>
              <w:fldChar w:fldCharType="end"/>
            </w:r>
            <w:r>
              <w:rPr>
                <w:rFonts w:hint="eastAsia" w:ascii="Times New Roman" w:hAnsi="Times New Roman" w:eastAsia="宋体" w:cs="Times New Roman"/>
                <w:color w:val="auto"/>
                <w:kern w:val="0"/>
                <w:szCs w:val="21"/>
                <w:lang w:val="en-US" w:eastAsia="zh-CN"/>
              </w:rPr>
              <w:t>合理规划施工方案，科学布局弃土弃渣堆放场，做到挖填方平衡，尽量少占弃土弃渣堆放场地，以减少废土的运输量，也可减少施工粉尘的排放；</w:t>
            </w:r>
          </w:p>
          <w:p w14:paraId="7292DB4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fldChar w:fldCharType="begin"/>
            </w:r>
            <w:r>
              <w:rPr>
                <w:rFonts w:hint="eastAsia" w:ascii="Times New Roman" w:hAnsi="Times New Roman" w:eastAsia="宋体" w:cs="Times New Roman"/>
                <w:color w:val="auto"/>
                <w:kern w:val="0"/>
                <w:szCs w:val="21"/>
                <w:lang w:val="en-US" w:eastAsia="zh-CN"/>
              </w:rPr>
              <w:instrText xml:space="preserve"> = 3 \* GB3 </w:instrText>
            </w:r>
            <w:r>
              <w:rPr>
                <w:rFonts w:hint="eastAsia" w:ascii="Times New Roman" w:hAnsi="Times New Roman" w:eastAsia="宋体" w:cs="Times New Roman"/>
                <w:color w:val="auto"/>
                <w:kern w:val="0"/>
                <w:szCs w:val="21"/>
                <w:lang w:val="en-US" w:eastAsia="zh-CN"/>
              </w:rPr>
              <w:fldChar w:fldCharType="separate"/>
            </w:r>
            <w:r>
              <w:rPr>
                <w:rFonts w:hint="eastAsia" w:ascii="Times New Roman" w:hAnsi="Times New Roman" w:eastAsia="宋体" w:cs="Times New Roman"/>
                <w:color w:val="auto"/>
                <w:kern w:val="0"/>
                <w:szCs w:val="21"/>
                <w:lang w:val="en-US" w:eastAsia="zh-CN"/>
              </w:rPr>
              <w:t>③</w:t>
            </w:r>
            <w:r>
              <w:rPr>
                <w:rFonts w:hint="eastAsia" w:ascii="Times New Roman" w:hAnsi="Times New Roman" w:eastAsia="宋体" w:cs="Times New Roman"/>
                <w:color w:val="auto"/>
                <w:kern w:val="0"/>
                <w:szCs w:val="21"/>
                <w:lang w:val="en-US" w:eastAsia="zh-CN"/>
              </w:rPr>
              <w:fldChar w:fldCharType="end"/>
            </w:r>
            <w:r>
              <w:rPr>
                <w:rFonts w:hint="eastAsia" w:ascii="Times New Roman" w:hAnsi="Times New Roman" w:eastAsia="宋体" w:cs="Times New Roman"/>
                <w:color w:val="auto"/>
                <w:kern w:val="0"/>
                <w:szCs w:val="21"/>
                <w:lang w:val="en-US" w:eastAsia="zh-CN"/>
              </w:rPr>
              <w:t>项目施工单位设临时垃圾箱对生活垃圾妥善安排收集，由当地环卫部门集中处理，以免对周围环境造成明显影响。设立建筑垃圾集中收集地点。</w:t>
            </w:r>
          </w:p>
          <w:p w14:paraId="6ED3654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bCs/>
                <w:color w:val="auto"/>
                <w:spacing w:val="-10"/>
                <w:szCs w:val="21"/>
              </w:rPr>
            </w:pPr>
            <w:r>
              <w:rPr>
                <w:rFonts w:hint="eastAsia" w:ascii="Times New Roman" w:hAnsi="Times New Roman" w:eastAsia="宋体" w:cs="Times New Roman"/>
                <w:color w:val="auto"/>
                <w:kern w:val="0"/>
                <w:szCs w:val="21"/>
                <w:lang w:val="en-US" w:eastAsia="zh-CN"/>
              </w:rPr>
              <w:t>只要严格按照上述措施，加强管理，对各类固体废物分类收集，合理处置，施工期固体废物对环境的影响较小。</w:t>
            </w:r>
          </w:p>
        </w:tc>
      </w:tr>
      <w:tr w14:paraId="3A8C95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418" w:type="dxa"/>
            <w:noWrap w:val="0"/>
            <w:tcMar>
              <w:left w:w="28" w:type="dxa"/>
              <w:right w:w="28" w:type="dxa"/>
            </w:tcMar>
            <w:vAlign w:val="center"/>
          </w:tcPr>
          <w:p w14:paraId="5510C97B">
            <w:pPr>
              <w:keepNext w:val="0"/>
              <w:keepLines w:val="0"/>
              <w:pageBreakBefore w:val="0"/>
              <w:suppressLineNumbers w:val="0"/>
              <w:kinsoku/>
              <w:wordWrap/>
              <w:overflowPunct/>
              <w:bidi w:val="0"/>
              <w:adjustRightInd w:val="0"/>
              <w:snapToGrid w:val="0"/>
              <w:spacing w:before="0" w:beforeAutospacing="0" w:after="0" w:afterLines="0" w:afterAutospacing="0" w:line="276" w:lineRule="auto"/>
              <w:ind w:left="0" w:right="0"/>
              <w:jc w:val="center"/>
              <w:textAlignment w:val="auto"/>
              <w:rPr>
                <w:rFonts w:hint="default" w:ascii="Times New Roman" w:hAnsi="Times New Roman" w:eastAsia="宋体"/>
                <w:bCs/>
                <w:color w:val="auto"/>
                <w:szCs w:val="21"/>
              </w:rPr>
            </w:pPr>
            <w:r>
              <w:rPr>
                <w:rFonts w:hint="default" w:ascii="Times New Roman" w:hAnsi="Times New Roman" w:eastAsia="宋体"/>
                <w:bCs/>
                <w:color w:val="auto"/>
                <w:sz w:val="24"/>
                <w:szCs w:val="24"/>
              </w:rPr>
              <w:t>运营期环境影响和保护措施</w:t>
            </w:r>
          </w:p>
        </w:tc>
        <w:tc>
          <w:tcPr>
            <w:tcW w:w="8754" w:type="dxa"/>
            <w:noWrap w:val="0"/>
            <w:vAlign w:val="center"/>
          </w:tcPr>
          <w:p w14:paraId="577A744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1、废气</w:t>
            </w:r>
          </w:p>
          <w:p w14:paraId="053B12A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1.1废气污染源源强核算及污染物产排情况</w:t>
            </w:r>
          </w:p>
          <w:p w14:paraId="58EBA67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项目运营期产生的废气主要为</w:t>
            </w:r>
            <w:r>
              <w:rPr>
                <w:rFonts w:hint="eastAsia" w:cs="Times New Roman"/>
                <w:color w:val="auto"/>
                <w:kern w:val="0"/>
                <w:szCs w:val="21"/>
                <w:lang w:val="en-US" w:eastAsia="zh-CN"/>
              </w:rPr>
              <w:t>原料混合干燥、</w:t>
            </w:r>
            <w:r>
              <w:rPr>
                <w:rFonts w:hint="eastAsia" w:ascii="Times New Roman" w:hAnsi="Times New Roman" w:eastAsia="宋体" w:cs="Times New Roman"/>
                <w:color w:val="auto"/>
                <w:kern w:val="0"/>
                <w:szCs w:val="21"/>
                <w:lang w:val="en-US" w:eastAsia="zh-CN"/>
              </w:rPr>
              <w:t>吹塑成型过程过程产生的有机废气</w:t>
            </w:r>
            <w:r>
              <w:rPr>
                <w:rFonts w:hint="eastAsia" w:cs="Times New Roman"/>
                <w:color w:val="auto"/>
                <w:kern w:val="0"/>
                <w:szCs w:val="21"/>
                <w:lang w:val="en-US" w:eastAsia="zh-CN"/>
              </w:rPr>
              <w:t>，原料混合干燥、吹塑成型、修边粉碎过程、焊接、打磨过程产生的颗粒物</w:t>
            </w:r>
            <w:r>
              <w:rPr>
                <w:rFonts w:hint="eastAsia" w:ascii="Times New Roman" w:hAnsi="Times New Roman" w:eastAsia="宋体" w:cs="Times New Roman"/>
                <w:color w:val="auto"/>
                <w:kern w:val="0"/>
                <w:szCs w:val="21"/>
                <w:lang w:val="en-US" w:eastAsia="zh-CN"/>
              </w:rPr>
              <w:t>。本次评价按照《第二次全国污染源普查产排污核算系数手册》和相关排污数据进行核算进行了填写。</w:t>
            </w:r>
          </w:p>
          <w:p w14:paraId="461D7F4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①</w:t>
            </w:r>
            <w:r>
              <w:rPr>
                <w:rFonts w:hint="eastAsia" w:ascii="Times New Roman" w:hAnsi="Times New Roman" w:eastAsia="宋体" w:cs="Times New Roman"/>
                <w:color w:val="auto"/>
                <w:kern w:val="0"/>
                <w:szCs w:val="21"/>
                <w:lang w:val="en-US" w:eastAsia="zh-CN"/>
              </w:rPr>
              <w:t>原料混合干燥、吹塑废气（G1~2、G4~G5）</w:t>
            </w:r>
          </w:p>
          <w:p w14:paraId="2D6852A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原料混合干燥过程与吹塑成型过程产生的主要污染物有VOCs</w:t>
            </w:r>
            <w:r>
              <w:rPr>
                <w:rFonts w:hint="eastAsia"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以非甲烷总烃计</w:t>
            </w:r>
            <w:r>
              <w:rPr>
                <w:rFonts w:hint="eastAsia" w:cs="Times New Roman"/>
                <w:color w:val="auto"/>
                <w:kern w:val="0"/>
                <w:szCs w:val="21"/>
                <w:lang w:val="en-US" w:eastAsia="zh-CN"/>
              </w:rPr>
              <w:t>）、颗粒物</w:t>
            </w:r>
            <w:r>
              <w:rPr>
                <w:rFonts w:hint="eastAsia" w:ascii="Times New Roman" w:hAnsi="Times New Roman" w:eastAsia="宋体" w:cs="Times New Roman"/>
                <w:color w:val="auto"/>
                <w:kern w:val="0"/>
                <w:szCs w:val="21"/>
                <w:lang w:val="en-US" w:eastAsia="zh-CN"/>
              </w:rPr>
              <w:t>。</w:t>
            </w:r>
            <w:r>
              <w:rPr>
                <w:rFonts w:hint="eastAsia" w:cs="Times New Roman"/>
                <w:color w:val="auto"/>
                <w:kern w:val="0"/>
                <w:szCs w:val="21"/>
                <w:lang w:val="en-US" w:eastAsia="zh-CN"/>
              </w:rPr>
              <w:t>该过程主要工序为</w:t>
            </w:r>
            <w:r>
              <w:rPr>
                <w:rFonts w:hint="default" w:ascii="Times New Roman" w:hAnsi="Times New Roman" w:eastAsia="宋体" w:cs="Times New Roman"/>
                <w:color w:val="auto"/>
                <w:kern w:val="0"/>
                <w:szCs w:val="21"/>
                <w:lang w:val="en-US" w:eastAsia="zh-CN"/>
              </w:rPr>
              <w:t>HDPE（高密度聚乙烯）颗粒与色母粒按比例混合，并干燥去除水分</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物料在挤出机内被加热至熔融状态（约180-220℃），形成均匀的熔体</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熔融状态的塑料熔体通过机头环形模口，连续挤出形成中空管状型坯。</w:t>
            </w:r>
            <w:r>
              <w:rPr>
                <w:rFonts w:hint="eastAsia" w:ascii="Times New Roman" w:hAnsi="Times New Roman" w:eastAsia="宋体" w:cs="Times New Roman"/>
                <w:color w:val="auto"/>
                <w:kern w:val="0"/>
                <w:szCs w:val="21"/>
                <w:lang w:val="en-US" w:eastAsia="zh-CN"/>
              </w:rPr>
              <w:t>根据《第二次全国污染源普查产排污核算系数手册》292塑料制品行业系数手册中的表</w:t>
            </w:r>
            <w:r>
              <w:rPr>
                <w:rFonts w:hint="default" w:ascii="Times New Roman" w:hAnsi="Times New Roman" w:eastAsia="宋体" w:cs="Times New Roman"/>
                <w:color w:val="auto"/>
                <w:kern w:val="0"/>
                <w:szCs w:val="21"/>
                <w:lang w:val="en-US" w:eastAsia="zh-CN"/>
              </w:rPr>
              <w:t>2922</w:t>
            </w:r>
            <w:r>
              <w:rPr>
                <w:rFonts w:hint="eastAsia" w:ascii="Times New Roman" w:hAnsi="Times New Roman" w:eastAsia="宋体" w:cs="Times New Roman"/>
                <w:color w:val="auto"/>
                <w:kern w:val="0"/>
                <w:szCs w:val="21"/>
                <w:lang w:val="en-US" w:eastAsia="zh-CN"/>
              </w:rPr>
              <w:t>塑料板、管、型材制造行业系数表，“塑料板、管、型材-树脂、助剂-配料混合挤出”，颗粒物产污系数为6.00kg/t-产品。本项目塑料容器产品为2760t/a，颗粒物产生量为16.56t/a。</w:t>
            </w:r>
          </w:p>
          <w:p w14:paraId="2D0870B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根据《第二次全国污染源普查产排污核算系数手册》292塑料制品行业系数手册中的表</w:t>
            </w:r>
            <w:r>
              <w:rPr>
                <w:rFonts w:hint="default" w:ascii="Times New Roman" w:hAnsi="Times New Roman" w:eastAsia="宋体" w:cs="Times New Roman"/>
                <w:color w:val="auto"/>
                <w:kern w:val="0"/>
                <w:szCs w:val="21"/>
                <w:lang w:val="en-US" w:eastAsia="zh-CN"/>
              </w:rPr>
              <w:t>2922</w:t>
            </w:r>
            <w:r>
              <w:rPr>
                <w:rFonts w:hint="eastAsia" w:ascii="Times New Roman" w:hAnsi="Times New Roman" w:eastAsia="宋体" w:cs="Times New Roman"/>
                <w:color w:val="auto"/>
                <w:kern w:val="0"/>
                <w:szCs w:val="21"/>
                <w:lang w:val="en-US" w:eastAsia="zh-CN"/>
              </w:rPr>
              <w:t>塑料板、管、型材制造行业系数表，“塑料板、管、型材-树脂、助剂-配料混合挤出”</w:t>
            </w:r>
            <w:r>
              <w:rPr>
                <w:rFonts w:hint="eastAsia"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挥发性有机物产生系数为</w:t>
            </w:r>
            <w:r>
              <w:rPr>
                <w:rFonts w:hint="eastAsia" w:cs="Times New Roman"/>
                <w:color w:val="auto"/>
                <w:kern w:val="0"/>
                <w:szCs w:val="21"/>
                <w:lang w:val="en-US" w:eastAsia="zh-CN"/>
              </w:rPr>
              <w:t>1.5</w:t>
            </w:r>
            <w:r>
              <w:rPr>
                <w:rFonts w:hint="eastAsia" w:ascii="Times New Roman" w:hAnsi="Times New Roman" w:eastAsia="宋体" w:cs="Times New Roman"/>
                <w:color w:val="auto"/>
                <w:kern w:val="0"/>
                <w:szCs w:val="21"/>
                <w:lang w:val="en-US" w:eastAsia="zh-CN"/>
              </w:rPr>
              <w:t>kg/t</w:t>
            </w:r>
            <w:r>
              <w:rPr>
                <w:rFonts w:hint="eastAsia"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产品。本项目</w:t>
            </w:r>
            <w:r>
              <w:rPr>
                <w:rFonts w:hint="eastAsia" w:cs="Times New Roman"/>
                <w:color w:val="auto"/>
                <w:kern w:val="0"/>
                <w:szCs w:val="21"/>
                <w:lang w:val="en-US" w:eastAsia="zh-CN"/>
              </w:rPr>
              <w:t>塑料容器</w:t>
            </w:r>
            <w:r>
              <w:rPr>
                <w:rFonts w:hint="eastAsia" w:ascii="Times New Roman" w:hAnsi="Times New Roman" w:eastAsia="宋体" w:cs="Times New Roman"/>
                <w:color w:val="auto"/>
                <w:kern w:val="0"/>
                <w:szCs w:val="21"/>
                <w:lang w:val="en-US" w:eastAsia="zh-CN"/>
              </w:rPr>
              <w:t>产品为2760t/a，非甲烷总烃产生量为</w:t>
            </w:r>
            <w:r>
              <w:rPr>
                <w:rFonts w:hint="eastAsia" w:cs="Times New Roman"/>
                <w:color w:val="auto"/>
                <w:kern w:val="0"/>
                <w:szCs w:val="21"/>
                <w:lang w:val="en-US" w:eastAsia="zh-CN"/>
              </w:rPr>
              <w:t>4.14</w:t>
            </w:r>
            <w:r>
              <w:rPr>
                <w:rFonts w:hint="eastAsia" w:ascii="Times New Roman" w:hAnsi="Times New Roman" w:eastAsia="宋体" w:cs="Times New Roman"/>
                <w:color w:val="auto"/>
                <w:kern w:val="0"/>
                <w:szCs w:val="21"/>
                <w:lang w:val="en-US" w:eastAsia="zh-CN"/>
              </w:rPr>
              <w:t>t/a。</w:t>
            </w:r>
          </w:p>
          <w:p w14:paraId="6937DD5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②修边</w:t>
            </w:r>
            <w:r>
              <w:rPr>
                <w:rFonts w:hint="eastAsia" w:cs="Times New Roman"/>
                <w:color w:val="auto"/>
                <w:kern w:val="0"/>
                <w:szCs w:val="21"/>
                <w:lang w:val="en-US" w:eastAsia="zh-CN"/>
              </w:rPr>
              <w:t>粉碎</w:t>
            </w:r>
            <w:r>
              <w:rPr>
                <w:rFonts w:hint="eastAsia" w:ascii="Times New Roman" w:hAnsi="Times New Roman" w:eastAsia="宋体" w:cs="Times New Roman"/>
                <w:color w:val="auto"/>
                <w:kern w:val="0"/>
                <w:szCs w:val="21"/>
                <w:lang w:val="en-US" w:eastAsia="zh-CN"/>
              </w:rPr>
              <w:t>废气（G3、G6）</w:t>
            </w:r>
          </w:p>
          <w:p w14:paraId="4FE8608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塑料修边料破碎</w:t>
            </w:r>
            <w:r>
              <w:rPr>
                <w:rFonts w:hint="eastAsia" w:ascii="Times New Roman" w:hAnsi="Times New Roman" w:eastAsia="宋体" w:cs="Times New Roman"/>
                <w:color w:val="auto"/>
                <w:kern w:val="0"/>
                <w:szCs w:val="21"/>
                <w:lang w:val="en-US" w:eastAsia="zh-CN"/>
              </w:rPr>
              <w:t>会产生颗粒物，</w:t>
            </w:r>
            <w:r>
              <w:rPr>
                <w:rFonts w:hint="default" w:ascii="Times New Roman" w:hAnsi="Times New Roman" w:eastAsia="宋体" w:cs="Times New Roman"/>
                <w:color w:val="auto"/>
                <w:kern w:val="0"/>
                <w:szCs w:val="21"/>
                <w:lang w:val="en-US" w:eastAsia="zh-CN"/>
              </w:rPr>
              <w:t>废料率</w:t>
            </w:r>
            <w:r>
              <w:rPr>
                <w:rFonts w:hint="eastAsia" w:ascii="Times New Roman" w:hAnsi="Times New Roman" w:eastAsia="宋体" w:cs="Times New Roman"/>
                <w:color w:val="auto"/>
                <w:kern w:val="0"/>
                <w:szCs w:val="21"/>
                <w:lang w:val="en-US" w:eastAsia="zh-CN"/>
              </w:rPr>
              <w:t>为</w:t>
            </w:r>
            <w:r>
              <w:rPr>
                <w:rFonts w:hint="default" w:ascii="Times New Roman" w:hAnsi="Times New Roman" w:eastAsia="宋体" w:cs="Times New Roman"/>
                <w:color w:val="auto"/>
                <w:kern w:val="0"/>
                <w:szCs w:val="21"/>
                <w:lang w:val="en-US" w:eastAsia="zh-CN"/>
              </w:rPr>
              <w:t>8%。</w:t>
            </w:r>
            <w:r>
              <w:rPr>
                <w:rFonts w:hint="eastAsia" w:ascii="Times New Roman" w:hAnsi="Times New Roman" w:eastAsia="宋体" w:cs="Times New Roman"/>
                <w:color w:val="auto"/>
                <w:kern w:val="0"/>
                <w:szCs w:val="21"/>
                <w:lang w:val="en-US" w:eastAsia="zh-CN"/>
              </w:rPr>
              <w:t>根据《第二次全国污染源普查产排污核算系数手册》42废弃资源综合利用行业系数手册中的表</w:t>
            </w:r>
            <w:r>
              <w:rPr>
                <w:rFonts w:hint="default" w:ascii="Times New Roman" w:hAnsi="Times New Roman" w:eastAsia="宋体" w:cs="Times New Roman"/>
                <w:color w:val="auto"/>
                <w:kern w:val="0"/>
                <w:szCs w:val="21"/>
                <w:lang w:val="en-US" w:eastAsia="zh-CN"/>
              </w:rPr>
              <w:t>4220</w:t>
            </w:r>
            <w:r>
              <w:rPr>
                <w:rFonts w:hint="eastAsia" w:ascii="Times New Roman" w:hAnsi="Times New Roman" w:eastAsia="宋体" w:cs="Times New Roman"/>
                <w:color w:val="auto"/>
                <w:kern w:val="0"/>
                <w:szCs w:val="21"/>
                <w:lang w:val="en-US" w:eastAsia="zh-CN"/>
              </w:rPr>
              <w:t>非金属废料和碎屑加工处理行业系数表，“废</w:t>
            </w:r>
            <w:r>
              <w:rPr>
                <w:rFonts w:hint="default" w:ascii="Times New Roman" w:hAnsi="Times New Roman" w:eastAsia="宋体" w:cs="Times New Roman"/>
                <w:color w:val="auto"/>
                <w:kern w:val="0"/>
                <w:szCs w:val="21"/>
                <w:lang w:val="en-US" w:eastAsia="zh-CN"/>
              </w:rPr>
              <w:t>PE/PP</w:t>
            </w:r>
            <w:r>
              <w:rPr>
                <w:rFonts w:hint="eastAsia" w:ascii="Times New Roman" w:hAnsi="Times New Roman" w:eastAsia="宋体" w:cs="Times New Roman"/>
                <w:color w:val="auto"/>
                <w:kern w:val="0"/>
                <w:szCs w:val="21"/>
                <w:lang w:val="en-US" w:eastAsia="zh-CN"/>
              </w:rPr>
              <w:t>-干法破碎”，颗粒物的产污系数为375g/t-原料。本项目</w:t>
            </w:r>
            <w:r>
              <w:rPr>
                <w:rFonts w:hint="default" w:ascii="Times New Roman" w:hAnsi="Times New Roman" w:eastAsia="宋体" w:cs="Times New Roman"/>
                <w:color w:val="auto"/>
                <w:kern w:val="0"/>
                <w:szCs w:val="21"/>
                <w:lang w:val="en-US" w:eastAsia="zh-CN"/>
              </w:rPr>
              <w:t>塑料废料</w:t>
            </w:r>
            <w:r>
              <w:rPr>
                <w:rFonts w:hint="eastAsia" w:ascii="Times New Roman" w:hAnsi="Times New Roman" w:eastAsia="宋体" w:cs="Times New Roman"/>
                <w:color w:val="auto"/>
                <w:kern w:val="0"/>
                <w:szCs w:val="21"/>
                <w:lang w:val="en-US" w:eastAsia="zh-CN"/>
              </w:rPr>
              <w:t>量为272t/a，颗粒物产生量为0.102t/a。</w:t>
            </w:r>
          </w:p>
          <w:p w14:paraId="5FBD5B8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③焊接、打磨废气（G7~G8）</w:t>
            </w:r>
          </w:p>
          <w:p w14:paraId="56AF447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IBC吨桶金属外框架制作阶段会产生颗粒物，</w:t>
            </w:r>
            <w:r>
              <w:rPr>
                <w:rFonts w:hint="default" w:ascii="Times New Roman" w:hAnsi="Times New Roman" w:eastAsia="宋体" w:cs="Times New Roman"/>
                <w:color w:val="auto"/>
                <w:kern w:val="0"/>
                <w:szCs w:val="21"/>
                <w:lang w:val="en-US" w:eastAsia="zh-CN"/>
              </w:rPr>
              <w:t>将切割和弯折好的各个部件精准定位并夹紧</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采用气体保护焊进行焊接，确保焊点牢固、均匀</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对焊接产生的焊渣、毛刺、飞溅进行打磨处理，使框架表面光滑。</w:t>
            </w:r>
            <w:r>
              <w:rPr>
                <w:rFonts w:hint="eastAsia" w:ascii="Times New Roman" w:hAnsi="Times New Roman" w:eastAsia="宋体" w:cs="Times New Roman"/>
                <w:color w:val="auto"/>
                <w:kern w:val="0"/>
                <w:szCs w:val="21"/>
                <w:lang w:val="en-US" w:eastAsia="zh-CN"/>
              </w:rPr>
              <w:t>焊接废气根据《第二次全国污染源普查产排污核算系数手册》33-37,431-434机械行业系数手册中的表09焊接</w:t>
            </w:r>
            <w:r>
              <w:rPr>
                <w:rFonts w:hint="eastAsia" w:cs="Times New Roman"/>
                <w:color w:val="auto"/>
                <w:kern w:val="0"/>
                <w:szCs w:val="21"/>
                <w:lang w:val="en-US" w:eastAsia="zh-CN"/>
              </w:rPr>
              <w:t>核算环节</w:t>
            </w:r>
            <w:r>
              <w:rPr>
                <w:rFonts w:hint="eastAsia" w:ascii="Times New Roman" w:hAnsi="Times New Roman" w:eastAsia="宋体" w:cs="Times New Roman"/>
                <w:color w:val="auto"/>
                <w:kern w:val="0"/>
                <w:szCs w:val="21"/>
                <w:lang w:val="en-US" w:eastAsia="zh-CN"/>
              </w:rPr>
              <w:t>，“实心焊丝-二氧化碳保护焊、埋弧焊、氩弧焊”，颗粒物的产污系数为9.19g/t-原料。本项目焊丝用量为40t/a，颗粒物产生量为0.368t/a。</w:t>
            </w:r>
          </w:p>
          <w:p w14:paraId="683D9EC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打磨废气根据《第二次全国污染源普查产排污核算系数手册》33-37,431-434机械行业系数手册中的表06预处理，“钢材、铝材、铝合金、铁材、其它金属材料-抛丸、喷砂、打磨”，颗粒物的产污系数为2.19g/t-原料。本项目焊丝用量为40t/a，颗粒物产生量为8.76t/a</w:t>
            </w:r>
            <w:r>
              <w:rPr>
                <w:rFonts w:hint="eastAsia" w:cs="Times New Roman"/>
                <w:color w:val="auto"/>
                <w:kern w:val="0"/>
                <w:szCs w:val="21"/>
                <w:lang w:val="en-US" w:eastAsia="zh-CN"/>
              </w:rPr>
              <w:t>。</w:t>
            </w:r>
          </w:p>
          <w:p w14:paraId="340B225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④</w:t>
            </w:r>
            <w:r>
              <w:rPr>
                <w:rFonts w:hint="eastAsia" w:cs="Times New Roman"/>
                <w:color w:val="auto"/>
                <w:kern w:val="0"/>
                <w:szCs w:val="21"/>
                <w:lang w:val="en-US" w:eastAsia="zh-CN"/>
              </w:rPr>
              <w:t>臭气浓度</w:t>
            </w:r>
          </w:p>
          <w:p w14:paraId="28B1A5B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本</w:t>
            </w:r>
            <w:r>
              <w:rPr>
                <w:rFonts w:hint="default" w:ascii="Times New Roman" w:hAnsi="Times New Roman" w:eastAsia="宋体" w:cs="Times New Roman"/>
                <w:color w:val="auto"/>
                <w:kern w:val="0"/>
                <w:szCs w:val="21"/>
                <w:lang w:val="en-US" w:eastAsia="zh-CN"/>
              </w:rPr>
              <w:t>项目异味的气体来源于吹塑过程产生的有机废气等。恶臭为人们对恶臭物质所感知的一种污染指标。其主要物质种类达上万种之多。由于其各类物质之间的相互作用</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相加、协同、抵消及掩饰作用等</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加之人类的嗅觉功能和恶臭物质取样分析等因素，迄今还难以对大多数恶臭物质作出浓度标准，目前我国只规定了八种恶臭污染物的一次最大排放限值、复合恶臭物质的臭气浓度限值及无组织排放源的厂界浓度限值，即《恶臭污染物排放标准》(GB14554-1993)。</w:t>
            </w:r>
          </w:p>
          <w:p w14:paraId="1EA808D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根据对类似项目生产车间调查，项目在吹塑过程中产生的臭气浓度约为1000</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无量纲</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，经二级活性炭吸附处理后排放的臭气浓度约为100</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无量纲</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。根据北京环境监测中心提出的恶臭6级分级法，项目车间内的恶臭等级一般在2级</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能闻到气味，且能辨认气味的性质</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识别阈值</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，但感到很正常</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左右，车间外15米范围外恶臭等级一般在1级</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勉强能闻到有气味，但不易辨认气味性质</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感觉阈值</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，认为无所谓</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左右。</w:t>
            </w:r>
          </w:p>
          <w:p w14:paraId="3CBC26E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本项目采取负压吸风方式对废气进行收集，通过集气管道收集引至废气处理装置，</w:t>
            </w:r>
            <w:r>
              <w:rPr>
                <w:rFonts w:hint="eastAsia" w:cs="Times New Roman"/>
                <w:color w:val="auto"/>
                <w:kern w:val="0"/>
                <w:szCs w:val="21"/>
                <w:lang w:val="en-US" w:eastAsia="zh-CN"/>
              </w:rPr>
              <w:t>本项目两条生产线各配备1套集气罩，颗粒物</w:t>
            </w:r>
            <w:r>
              <w:rPr>
                <w:rFonts w:hint="eastAsia" w:ascii="Times New Roman" w:hAnsi="Times New Roman" w:eastAsia="宋体" w:cs="Times New Roman"/>
                <w:color w:val="auto"/>
                <w:kern w:val="0"/>
                <w:szCs w:val="21"/>
                <w:lang w:val="en-US" w:eastAsia="zh-CN"/>
              </w:rPr>
              <w:t>经</w:t>
            </w:r>
            <w:r>
              <w:rPr>
                <w:rFonts w:hint="eastAsia" w:cs="Times New Roman"/>
                <w:color w:val="auto"/>
                <w:kern w:val="0"/>
                <w:szCs w:val="21"/>
                <w:lang w:val="en-US" w:eastAsia="zh-CN"/>
              </w:rPr>
              <w:t>袋式</w:t>
            </w:r>
            <w:r>
              <w:rPr>
                <w:rFonts w:hint="eastAsia" w:ascii="Times New Roman" w:hAnsi="Times New Roman" w:eastAsia="宋体" w:cs="Times New Roman"/>
                <w:color w:val="auto"/>
                <w:kern w:val="0"/>
                <w:szCs w:val="21"/>
                <w:lang w:val="en-US" w:eastAsia="zh-CN"/>
              </w:rPr>
              <w:t>除尘</w:t>
            </w:r>
            <w:r>
              <w:rPr>
                <w:rFonts w:hint="eastAsia" w:cs="Times New Roman"/>
                <w:color w:val="auto"/>
                <w:kern w:val="0"/>
                <w:szCs w:val="21"/>
                <w:lang w:val="en-US" w:eastAsia="zh-CN"/>
              </w:rPr>
              <w:t>处理，有机废气经</w:t>
            </w:r>
            <w:r>
              <w:rPr>
                <w:rFonts w:hint="eastAsia" w:ascii="Times New Roman" w:hAnsi="Times New Roman" w:eastAsia="宋体" w:cs="Times New Roman"/>
                <w:color w:val="auto"/>
                <w:kern w:val="0"/>
                <w:szCs w:val="21"/>
                <w:lang w:val="en-US" w:eastAsia="zh-CN"/>
              </w:rPr>
              <w:t>光催化</w:t>
            </w:r>
            <w:r>
              <w:rPr>
                <w:rFonts w:hint="eastAsia" w:ascii="Times New Roman" w:hAnsi="Times New Roman" w:cs="Times New Roman"/>
                <w:color w:val="auto"/>
                <w:sz w:val="24"/>
                <w:szCs w:val="24"/>
                <w:lang w:val="en-US" w:eastAsia="zh-CN"/>
              </w:rPr>
              <w:t>+二级</w:t>
            </w:r>
            <w:r>
              <w:rPr>
                <w:rFonts w:hint="eastAsia" w:ascii="Times New Roman" w:hAnsi="Times New Roman" w:eastAsia="宋体" w:cs="Times New Roman"/>
                <w:color w:val="auto"/>
                <w:kern w:val="0"/>
                <w:szCs w:val="21"/>
                <w:lang w:val="en-US" w:eastAsia="zh-CN"/>
              </w:rPr>
              <w:t>活性炭吸附</w:t>
            </w:r>
            <w:r>
              <w:rPr>
                <w:rFonts w:hint="eastAsia" w:cs="Times New Roman"/>
                <w:color w:val="auto"/>
                <w:kern w:val="0"/>
                <w:szCs w:val="21"/>
                <w:lang w:val="en-US" w:eastAsia="zh-CN"/>
              </w:rPr>
              <w:t>装置处理，经</w:t>
            </w:r>
            <w:r>
              <w:rPr>
                <w:rFonts w:hint="eastAsia" w:ascii="Times New Roman" w:hAnsi="Times New Roman" w:eastAsia="宋体" w:cs="Times New Roman"/>
                <w:color w:val="auto"/>
                <w:kern w:val="0"/>
                <w:szCs w:val="21"/>
                <w:lang w:val="en-US" w:eastAsia="zh-CN"/>
              </w:rPr>
              <w:t>15m高排气筒（DA001）排放，处理风量为18000</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Cs w:val="21"/>
                <w:lang w:val="en-US" w:eastAsia="zh-CN"/>
              </w:rPr>
              <w:t>/h，集气罩收集效率</w:t>
            </w:r>
            <w:r>
              <w:rPr>
                <w:rFonts w:hint="eastAsia" w:cs="Times New Roman"/>
                <w:color w:val="auto"/>
                <w:kern w:val="0"/>
                <w:szCs w:val="21"/>
                <w:lang w:val="en-US" w:eastAsia="zh-CN"/>
              </w:rPr>
              <w:t>约</w:t>
            </w:r>
            <w:r>
              <w:rPr>
                <w:rFonts w:hint="eastAsia" w:ascii="Times New Roman" w:hAnsi="Times New Roman" w:eastAsia="宋体" w:cs="Times New Roman"/>
                <w:color w:val="auto"/>
                <w:kern w:val="0"/>
                <w:szCs w:val="21"/>
                <w:lang w:val="en-US" w:eastAsia="zh-CN"/>
              </w:rPr>
              <w:t>为</w:t>
            </w:r>
            <w:r>
              <w:rPr>
                <w:rFonts w:hint="eastAsia" w:cs="Times New Roman"/>
                <w:color w:val="auto"/>
                <w:kern w:val="0"/>
                <w:szCs w:val="21"/>
                <w:lang w:val="en-US" w:eastAsia="zh-CN"/>
              </w:rPr>
              <w:t>95</w:t>
            </w:r>
            <w:r>
              <w:rPr>
                <w:rFonts w:hint="eastAsia" w:ascii="Times New Roman" w:hAnsi="Times New Roman" w:eastAsia="宋体" w:cs="Times New Roman"/>
                <w:color w:val="auto"/>
                <w:kern w:val="0"/>
                <w:szCs w:val="21"/>
                <w:lang w:val="en-US" w:eastAsia="zh-CN"/>
              </w:rPr>
              <w:t>%，</w:t>
            </w:r>
            <w:r>
              <w:rPr>
                <w:rFonts w:hint="eastAsia" w:cs="Times New Roman"/>
                <w:color w:val="auto"/>
                <w:kern w:val="0"/>
                <w:szCs w:val="21"/>
                <w:lang w:val="en-US" w:eastAsia="zh-CN"/>
              </w:rPr>
              <w:t>根据</w:t>
            </w:r>
            <w:r>
              <w:rPr>
                <w:rFonts w:hint="eastAsia" w:ascii="Times New Roman" w:hAnsi="Times New Roman" w:eastAsia="宋体" w:cs="Times New Roman"/>
                <w:color w:val="auto"/>
                <w:kern w:val="0"/>
                <w:szCs w:val="21"/>
                <w:lang w:val="en-US" w:eastAsia="zh-CN"/>
              </w:rPr>
              <w:t>《吸附法工业有机废气治理工程技术规范》要求</w:t>
            </w:r>
            <w:r>
              <w:rPr>
                <w:rFonts w:hint="eastAsia" w:cs="Times New Roman"/>
                <w:color w:val="auto"/>
                <w:kern w:val="0"/>
                <w:szCs w:val="21"/>
                <w:lang w:val="en-US" w:eastAsia="zh-CN"/>
              </w:rPr>
              <w:t>，本项目</w:t>
            </w:r>
            <w:r>
              <w:rPr>
                <w:rFonts w:hint="eastAsia" w:ascii="Times New Roman" w:hAnsi="Times New Roman" w:eastAsia="宋体" w:cs="Times New Roman"/>
                <w:color w:val="auto"/>
                <w:kern w:val="0"/>
                <w:szCs w:val="21"/>
                <w:lang w:val="en-US" w:eastAsia="zh-CN"/>
              </w:rPr>
              <w:t>废气治理设施非甲烷总烃</w:t>
            </w:r>
            <w:r>
              <w:rPr>
                <w:rFonts w:hint="eastAsia" w:cs="Times New Roman"/>
                <w:color w:val="auto"/>
                <w:kern w:val="0"/>
                <w:szCs w:val="21"/>
                <w:lang w:val="en-US" w:eastAsia="zh-CN"/>
              </w:rPr>
              <w:t>净化效率不低于90</w:t>
            </w:r>
            <w:r>
              <w:rPr>
                <w:rFonts w:hint="eastAsia" w:ascii="Times New Roman" w:hAnsi="Times New Roman" w:eastAsia="宋体" w:cs="Times New Roman"/>
                <w:color w:val="auto"/>
                <w:kern w:val="0"/>
                <w:szCs w:val="21"/>
                <w:lang w:val="en-US" w:eastAsia="zh-CN"/>
              </w:rPr>
              <w:t>%</w:t>
            </w:r>
            <w:r>
              <w:rPr>
                <w:rFonts w:hint="eastAsia" w:cs="Times New Roman"/>
                <w:color w:val="auto"/>
                <w:kern w:val="0"/>
                <w:szCs w:val="21"/>
                <w:lang w:val="en-US" w:eastAsia="zh-CN"/>
              </w:rPr>
              <w:t>。</w:t>
            </w:r>
            <w:r>
              <w:rPr>
                <w:rFonts w:hint="eastAsia" w:cs="Times New Roman"/>
                <w:color w:val="auto"/>
                <w:kern w:val="0"/>
                <w:szCs w:val="21"/>
                <w:lang w:val="en-US" w:eastAsia="zh-CN"/>
              </w:rPr>
              <w:t>本项目</w:t>
            </w:r>
            <w:r>
              <w:rPr>
                <w:rFonts w:hint="eastAsia" w:ascii="Times New Roman" w:hAnsi="Times New Roman" w:eastAsia="宋体" w:cs="Times New Roman"/>
                <w:color w:val="auto"/>
                <w:kern w:val="0"/>
                <w:szCs w:val="21"/>
                <w:lang w:val="en-US" w:eastAsia="zh-CN"/>
              </w:rPr>
              <w:t>颗粒物去除率为95%。</w:t>
            </w:r>
          </w:p>
          <w:p w14:paraId="3279721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则</w:t>
            </w:r>
            <w:r>
              <w:rPr>
                <w:rFonts w:hint="eastAsia" w:cs="Times New Roman"/>
                <w:color w:val="auto"/>
                <w:kern w:val="0"/>
                <w:szCs w:val="21"/>
                <w:lang w:val="en-US" w:eastAsia="zh-CN"/>
              </w:rPr>
              <w:t>本</w:t>
            </w:r>
            <w:r>
              <w:rPr>
                <w:rFonts w:hint="eastAsia" w:ascii="Times New Roman" w:hAnsi="Times New Roman" w:eastAsia="宋体" w:cs="Times New Roman"/>
                <w:color w:val="auto"/>
                <w:kern w:val="0"/>
                <w:szCs w:val="21"/>
                <w:lang w:val="en-US" w:eastAsia="zh-CN"/>
              </w:rPr>
              <w:t>项目</w:t>
            </w:r>
            <w:r>
              <w:rPr>
                <w:rFonts w:hint="eastAsia" w:cs="Times New Roman"/>
                <w:color w:val="auto"/>
                <w:kern w:val="0"/>
                <w:szCs w:val="21"/>
                <w:lang w:val="en-US" w:eastAsia="zh-CN"/>
              </w:rPr>
              <w:t>废气污染物</w:t>
            </w:r>
            <w:r>
              <w:rPr>
                <w:rFonts w:hint="eastAsia" w:ascii="Times New Roman" w:hAnsi="Times New Roman" w:eastAsia="宋体" w:cs="Times New Roman"/>
                <w:color w:val="auto"/>
                <w:kern w:val="0"/>
                <w:szCs w:val="21"/>
                <w:lang w:val="en-US" w:eastAsia="zh-CN"/>
              </w:rPr>
              <w:t>产生及排放情况见下表。</w:t>
            </w:r>
          </w:p>
          <w:p w14:paraId="47BA7561">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w:t>
            </w:r>
            <w:r>
              <w:rPr>
                <w:rFonts w:hint="eastAsia" w:ascii="Times New Roman" w:hAnsi="Times New Roman" w:eastAsia="宋体" w:cs="Times New Roman"/>
                <w:b/>
                <w:bCs/>
                <w:color w:val="auto"/>
                <w:sz w:val="24"/>
                <w:lang w:val="en-US" w:eastAsia="zh-CN"/>
              </w:rPr>
              <w:t>2废气污染物</w:t>
            </w:r>
            <w:r>
              <w:rPr>
                <w:rFonts w:hint="default" w:ascii="Times New Roman" w:hAnsi="Times New Roman" w:eastAsia="宋体" w:cs="Times New Roman"/>
                <w:b/>
                <w:bCs/>
                <w:color w:val="auto"/>
                <w:sz w:val="24"/>
                <w:lang w:val="en-US" w:eastAsia="zh-CN"/>
              </w:rPr>
              <w:t>产生及排放情况一览表</w:t>
            </w:r>
          </w:p>
          <w:tbl>
            <w:tblPr>
              <w:tblStyle w:val="24"/>
              <w:tblW w:w="846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5"/>
              <w:gridCol w:w="405"/>
              <w:gridCol w:w="735"/>
              <w:gridCol w:w="690"/>
              <w:gridCol w:w="690"/>
              <w:gridCol w:w="695"/>
              <w:gridCol w:w="806"/>
              <w:gridCol w:w="1049"/>
              <w:gridCol w:w="750"/>
              <w:gridCol w:w="720"/>
              <w:gridCol w:w="735"/>
              <w:gridCol w:w="856"/>
            </w:tblGrid>
            <w:tr w14:paraId="03DAE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197" w:type="pct"/>
                  <w:vMerge w:val="restart"/>
                  <w:tcBorders>
                    <w:tl2br w:val="nil"/>
                    <w:tr2bl w:val="nil"/>
                  </w:tcBorders>
                  <w:noWrap w:val="0"/>
                  <w:vAlign w:val="center"/>
                </w:tcPr>
                <w:p w14:paraId="47B03C18">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排放方式</w:t>
                  </w:r>
                </w:p>
              </w:tc>
              <w:tc>
                <w:tcPr>
                  <w:tcW w:w="239" w:type="pct"/>
                  <w:vMerge w:val="restart"/>
                  <w:tcBorders>
                    <w:tl2br w:val="nil"/>
                    <w:tr2bl w:val="nil"/>
                  </w:tcBorders>
                  <w:noWrap w:val="0"/>
                  <w:vAlign w:val="center"/>
                </w:tcPr>
                <w:p w14:paraId="7DEBD632">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编号</w:t>
                  </w:r>
                </w:p>
              </w:tc>
              <w:tc>
                <w:tcPr>
                  <w:tcW w:w="434" w:type="pct"/>
                  <w:vMerge w:val="restart"/>
                  <w:tcBorders>
                    <w:tl2br w:val="nil"/>
                    <w:tr2bl w:val="nil"/>
                  </w:tcBorders>
                  <w:noWrap w:val="0"/>
                  <w:vAlign w:val="center"/>
                </w:tcPr>
                <w:p w14:paraId="29CE1B0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污染源</w:t>
                  </w:r>
                </w:p>
              </w:tc>
              <w:tc>
                <w:tcPr>
                  <w:tcW w:w="407" w:type="pct"/>
                  <w:vMerge w:val="restart"/>
                  <w:tcBorders>
                    <w:tl2br w:val="nil"/>
                    <w:tr2bl w:val="nil"/>
                  </w:tcBorders>
                  <w:noWrap w:val="0"/>
                  <w:vAlign w:val="center"/>
                </w:tcPr>
                <w:p w14:paraId="4AA8F9C2">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废气量</w:t>
                  </w:r>
                  <w:r>
                    <w:rPr>
                      <w:rFonts w:hint="default" w:ascii="Times New Roman" w:hAnsi="Times New Roman" w:eastAsia="宋体"/>
                      <w:color w:val="auto"/>
                      <w:sz w:val="21"/>
                      <w:szCs w:val="21"/>
                      <w:lang w:val="en-US" w:eastAsia="zh-CN"/>
                    </w:rPr>
                    <w:t>m</w:t>
                  </w:r>
                  <w:r>
                    <w:rPr>
                      <w:rFonts w:hint="default" w:ascii="Times New Roman" w:hAnsi="Times New Roman" w:eastAsia="宋体"/>
                      <w:color w:val="auto"/>
                      <w:sz w:val="21"/>
                      <w:szCs w:val="21"/>
                      <w:vertAlign w:val="superscript"/>
                      <w:lang w:val="en-US" w:eastAsia="zh-CN"/>
                    </w:rPr>
                    <w:t>3</w:t>
                  </w:r>
                  <w:r>
                    <w:rPr>
                      <w:rFonts w:hint="default" w:ascii="Times New Roman" w:hAnsi="Times New Roman" w:eastAsia="宋体"/>
                      <w:color w:val="auto"/>
                      <w:sz w:val="21"/>
                      <w:szCs w:val="21"/>
                      <w:lang w:val="en-US" w:eastAsia="zh-CN"/>
                    </w:rPr>
                    <w:t>/h</w:t>
                  </w:r>
                </w:p>
              </w:tc>
              <w:tc>
                <w:tcPr>
                  <w:tcW w:w="407" w:type="pct"/>
                  <w:vMerge w:val="restart"/>
                  <w:tcBorders>
                    <w:tl2br w:val="nil"/>
                    <w:tr2bl w:val="nil"/>
                  </w:tcBorders>
                  <w:noWrap w:val="0"/>
                  <w:vAlign w:val="center"/>
                </w:tcPr>
                <w:p w14:paraId="18009CEE">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污染物</w:t>
                  </w:r>
                </w:p>
              </w:tc>
              <w:tc>
                <w:tcPr>
                  <w:tcW w:w="886" w:type="pct"/>
                  <w:gridSpan w:val="2"/>
                  <w:tcBorders>
                    <w:tl2br w:val="nil"/>
                    <w:tr2bl w:val="nil"/>
                  </w:tcBorders>
                  <w:noWrap w:val="0"/>
                  <w:vAlign w:val="center"/>
                </w:tcPr>
                <w:p w14:paraId="06D609B1">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产生源强</w:t>
                  </w:r>
                </w:p>
              </w:tc>
              <w:tc>
                <w:tcPr>
                  <w:tcW w:w="619" w:type="pct"/>
                  <w:vMerge w:val="restart"/>
                  <w:tcBorders>
                    <w:tl2br w:val="nil"/>
                    <w:tr2bl w:val="nil"/>
                  </w:tcBorders>
                  <w:noWrap w:val="0"/>
                  <w:vAlign w:val="center"/>
                </w:tcPr>
                <w:p w14:paraId="09EF9438">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处理措施</w:t>
                  </w:r>
                </w:p>
              </w:tc>
              <w:tc>
                <w:tcPr>
                  <w:tcW w:w="442" w:type="pct"/>
                  <w:vMerge w:val="restart"/>
                  <w:tcBorders>
                    <w:tl2br w:val="nil"/>
                    <w:tr2bl w:val="nil"/>
                  </w:tcBorders>
                  <w:noWrap w:val="0"/>
                  <w:vAlign w:val="center"/>
                </w:tcPr>
                <w:p w14:paraId="4BEB651B">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污染物</w:t>
                  </w:r>
                </w:p>
              </w:tc>
              <w:tc>
                <w:tcPr>
                  <w:tcW w:w="1364" w:type="pct"/>
                  <w:gridSpan w:val="3"/>
                  <w:tcBorders>
                    <w:tl2br w:val="nil"/>
                    <w:tr2bl w:val="nil"/>
                  </w:tcBorders>
                  <w:noWrap w:val="0"/>
                  <w:vAlign w:val="center"/>
                </w:tcPr>
                <w:p w14:paraId="383CF3E5">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排放源强</w:t>
                  </w:r>
                </w:p>
              </w:tc>
            </w:tr>
            <w:tr w14:paraId="14582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197" w:type="pct"/>
                  <w:vMerge w:val="continue"/>
                  <w:tcBorders>
                    <w:tl2br w:val="nil"/>
                    <w:tr2bl w:val="nil"/>
                  </w:tcBorders>
                  <w:noWrap w:val="0"/>
                  <w:vAlign w:val="center"/>
                </w:tcPr>
                <w:p w14:paraId="39F3A5A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39" w:type="pct"/>
                  <w:vMerge w:val="continue"/>
                  <w:tcBorders>
                    <w:tl2br w:val="nil"/>
                    <w:tr2bl w:val="nil"/>
                  </w:tcBorders>
                  <w:noWrap w:val="0"/>
                  <w:vAlign w:val="center"/>
                </w:tcPr>
                <w:p w14:paraId="798F2B95">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434" w:type="pct"/>
                  <w:vMerge w:val="continue"/>
                  <w:tcBorders>
                    <w:tl2br w:val="nil"/>
                    <w:tr2bl w:val="nil"/>
                  </w:tcBorders>
                  <w:noWrap w:val="0"/>
                  <w:vAlign w:val="center"/>
                </w:tcPr>
                <w:p w14:paraId="7EB9AEC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407" w:type="pct"/>
                  <w:vMerge w:val="continue"/>
                  <w:tcBorders>
                    <w:tl2br w:val="nil"/>
                    <w:tr2bl w:val="nil"/>
                  </w:tcBorders>
                  <w:noWrap w:val="0"/>
                  <w:vAlign w:val="center"/>
                </w:tcPr>
                <w:p w14:paraId="7F10923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407" w:type="pct"/>
                  <w:vMerge w:val="continue"/>
                  <w:tcBorders>
                    <w:tl2br w:val="nil"/>
                    <w:tr2bl w:val="nil"/>
                  </w:tcBorders>
                  <w:noWrap w:val="0"/>
                  <w:vAlign w:val="center"/>
                </w:tcPr>
                <w:p w14:paraId="09A561F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410" w:type="pct"/>
                  <w:tcBorders>
                    <w:tl2br w:val="nil"/>
                    <w:tr2bl w:val="nil"/>
                  </w:tcBorders>
                  <w:noWrap w:val="0"/>
                  <w:vAlign w:val="center"/>
                </w:tcPr>
                <w:p w14:paraId="421495EC">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速率</w:t>
                  </w:r>
                </w:p>
                <w:p w14:paraId="6D69DF3E">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kg/h</w:t>
                  </w:r>
                </w:p>
              </w:tc>
              <w:tc>
                <w:tcPr>
                  <w:tcW w:w="476" w:type="pct"/>
                  <w:tcBorders>
                    <w:tl2br w:val="nil"/>
                    <w:tr2bl w:val="nil"/>
                  </w:tcBorders>
                  <w:noWrap w:val="0"/>
                  <w:vAlign w:val="center"/>
                </w:tcPr>
                <w:p w14:paraId="412366CC">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产生量</w:t>
                  </w:r>
                </w:p>
                <w:p w14:paraId="723D205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t/a</w:t>
                  </w:r>
                </w:p>
              </w:tc>
              <w:tc>
                <w:tcPr>
                  <w:tcW w:w="619" w:type="pct"/>
                  <w:vMerge w:val="continue"/>
                  <w:tcBorders>
                    <w:tl2br w:val="nil"/>
                    <w:tr2bl w:val="nil"/>
                  </w:tcBorders>
                  <w:noWrap w:val="0"/>
                  <w:vAlign w:val="center"/>
                </w:tcPr>
                <w:p w14:paraId="5685B3F5">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442" w:type="pct"/>
                  <w:vMerge w:val="continue"/>
                  <w:tcBorders>
                    <w:tl2br w:val="nil"/>
                    <w:tr2bl w:val="nil"/>
                  </w:tcBorders>
                  <w:noWrap w:val="0"/>
                  <w:vAlign w:val="center"/>
                </w:tcPr>
                <w:p w14:paraId="6DE4403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425" w:type="pct"/>
                  <w:tcBorders>
                    <w:tl2br w:val="nil"/>
                    <w:tr2bl w:val="nil"/>
                  </w:tcBorders>
                  <w:shd w:val="clear" w:color="auto" w:fill="auto"/>
                  <w:noWrap w:val="0"/>
                  <w:vAlign w:val="center"/>
                </w:tcPr>
                <w:p w14:paraId="2300B804">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排放浓度mg/m</w:t>
                  </w:r>
                  <w:r>
                    <w:rPr>
                      <w:rFonts w:hint="default" w:ascii="Times New Roman" w:hAnsi="Times New Roman" w:eastAsia="宋体"/>
                      <w:color w:val="auto"/>
                      <w:sz w:val="21"/>
                      <w:szCs w:val="21"/>
                      <w:vertAlign w:val="superscript"/>
                      <w:lang w:val="en-US" w:eastAsia="zh-CN"/>
                    </w:rPr>
                    <w:t>3</w:t>
                  </w:r>
                </w:p>
              </w:tc>
              <w:tc>
                <w:tcPr>
                  <w:tcW w:w="434" w:type="pct"/>
                  <w:tcBorders>
                    <w:tl2br w:val="nil"/>
                    <w:tr2bl w:val="nil"/>
                  </w:tcBorders>
                  <w:noWrap w:val="0"/>
                  <w:vAlign w:val="center"/>
                </w:tcPr>
                <w:p w14:paraId="68A365E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排放</w:t>
                  </w:r>
                </w:p>
                <w:p w14:paraId="683F59EC">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速率</w:t>
                  </w:r>
                </w:p>
                <w:p w14:paraId="7DD1773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kg/h</w:t>
                  </w:r>
                </w:p>
              </w:tc>
              <w:tc>
                <w:tcPr>
                  <w:tcW w:w="505" w:type="pct"/>
                  <w:tcBorders>
                    <w:tl2br w:val="nil"/>
                    <w:tr2bl w:val="nil"/>
                  </w:tcBorders>
                  <w:shd w:val="clear" w:color="auto" w:fill="auto"/>
                  <w:noWrap w:val="0"/>
                  <w:vAlign w:val="center"/>
                </w:tcPr>
                <w:p w14:paraId="373FB7E2">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排放量</w:t>
                  </w:r>
                </w:p>
                <w:p w14:paraId="02ADACB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t/a</w:t>
                  </w:r>
                </w:p>
              </w:tc>
            </w:tr>
            <w:tr w14:paraId="3D180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197" w:type="pct"/>
                  <w:vMerge w:val="restart"/>
                  <w:tcBorders>
                    <w:tl2br w:val="nil"/>
                    <w:tr2bl w:val="nil"/>
                  </w:tcBorders>
                  <w:noWrap w:val="0"/>
                  <w:vAlign w:val="center"/>
                </w:tcPr>
                <w:p w14:paraId="6D7137D8">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有组织</w:t>
                  </w:r>
                </w:p>
              </w:tc>
              <w:tc>
                <w:tcPr>
                  <w:tcW w:w="239" w:type="pct"/>
                  <w:tcBorders>
                    <w:tl2br w:val="nil"/>
                    <w:tr2bl w:val="nil"/>
                  </w:tcBorders>
                  <w:noWrap w:val="0"/>
                  <w:vAlign w:val="center"/>
                </w:tcPr>
                <w:p w14:paraId="7034D2A1">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G1</w:t>
                  </w:r>
                </w:p>
              </w:tc>
              <w:tc>
                <w:tcPr>
                  <w:tcW w:w="434" w:type="pct"/>
                  <w:tcBorders>
                    <w:tl2br w:val="nil"/>
                    <w:tr2bl w:val="nil"/>
                  </w:tcBorders>
                  <w:noWrap w:val="0"/>
                  <w:vAlign w:val="center"/>
                </w:tcPr>
                <w:p w14:paraId="1694EA3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原料混合干燥废气</w:t>
                  </w:r>
                </w:p>
              </w:tc>
              <w:tc>
                <w:tcPr>
                  <w:tcW w:w="407" w:type="pct"/>
                  <w:vMerge w:val="restart"/>
                  <w:tcBorders>
                    <w:tl2br w:val="nil"/>
                    <w:tr2bl w:val="nil"/>
                  </w:tcBorders>
                  <w:noWrap w:val="0"/>
                  <w:vAlign w:val="center"/>
                </w:tcPr>
                <w:p w14:paraId="6D089362">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18000</w:t>
                  </w:r>
                </w:p>
              </w:tc>
              <w:tc>
                <w:tcPr>
                  <w:tcW w:w="407" w:type="pct"/>
                  <w:vMerge w:val="restart"/>
                  <w:tcBorders>
                    <w:tl2br w:val="nil"/>
                    <w:tr2bl w:val="nil"/>
                  </w:tcBorders>
                  <w:noWrap w:val="0"/>
                  <w:vAlign w:val="center"/>
                </w:tcPr>
                <w:p w14:paraId="6755955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颗粒物</w:t>
                  </w:r>
                </w:p>
              </w:tc>
              <w:tc>
                <w:tcPr>
                  <w:tcW w:w="410" w:type="pct"/>
                  <w:vMerge w:val="restart"/>
                  <w:tcBorders>
                    <w:tl2br w:val="nil"/>
                    <w:tr2bl w:val="nil"/>
                  </w:tcBorders>
                  <w:noWrap w:val="0"/>
                  <w:vAlign w:val="center"/>
                </w:tcPr>
                <w:p w14:paraId="6D7DCD79">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1.840</w:t>
                  </w:r>
                </w:p>
              </w:tc>
              <w:tc>
                <w:tcPr>
                  <w:tcW w:w="476" w:type="pct"/>
                  <w:vMerge w:val="restart"/>
                  <w:tcBorders>
                    <w:tl2br w:val="nil"/>
                    <w:tr2bl w:val="nil"/>
                  </w:tcBorders>
                  <w:noWrap w:val="0"/>
                  <w:vAlign w:val="center"/>
                </w:tcPr>
                <w:p w14:paraId="4A74EC04">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13.248</w:t>
                  </w:r>
                </w:p>
              </w:tc>
              <w:tc>
                <w:tcPr>
                  <w:tcW w:w="619" w:type="pct"/>
                  <w:vMerge w:val="restart"/>
                  <w:tcBorders>
                    <w:tl2br w:val="nil"/>
                    <w:tr2bl w:val="nil"/>
                  </w:tcBorders>
                  <w:noWrap w:val="0"/>
                  <w:vAlign w:val="center"/>
                </w:tcPr>
                <w:p w14:paraId="7BD73D5C">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集气罩</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lang w:val="en-US" w:eastAsia="zh-CN"/>
                    </w:rPr>
                    <w:t>袋式</w:t>
                  </w:r>
                  <w:r>
                    <w:rPr>
                      <w:rFonts w:hint="eastAsia" w:ascii="Times New Roman" w:hAnsi="Times New Roman" w:eastAsia="宋体"/>
                      <w:color w:val="auto"/>
                      <w:sz w:val="21"/>
                      <w:szCs w:val="21"/>
                      <w:lang w:val="en-US" w:eastAsia="zh-CN"/>
                    </w:rPr>
                    <w:t>除尘</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olor w:val="auto"/>
                      <w:sz w:val="21"/>
                      <w:szCs w:val="21"/>
                      <w:lang w:val="en-US" w:eastAsia="zh-CN"/>
                    </w:rPr>
                    <w:t>光催化</w:t>
                  </w:r>
                  <w:r>
                    <w:rPr>
                      <w:rFonts w:hint="eastAsia" w:ascii="Times New Roman" w:hAnsi="Times New Roman" w:eastAsia="宋体" w:cs="Times New Roman"/>
                      <w:color w:val="auto"/>
                      <w:sz w:val="21"/>
                      <w:szCs w:val="21"/>
                      <w:lang w:val="en-US" w:eastAsia="zh-CN"/>
                    </w:rPr>
                    <w:t>+二级</w:t>
                  </w:r>
                  <w:r>
                    <w:rPr>
                      <w:rFonts w:hint="eastAsia" w:ascii="Times New Roman" w:hAnsi="Times New Roman" w:eastAsia="宋体"/>
                      <w:color w:val="auto"/>
                      <w:sz w:val="21"/>
                      <w:szCs w:val="21"/>
                      <w:lang w:val="en-US" w:eastAsia="zh-CN"/>
                    </w:rPr>
                    <w:t>活性炭</w:t>
                  </w:r>
                </w:p>
              </w:tc>
              <w:tc>
                <w:tcPr>
                  <w:tcW w:w="442" w:type="pct"/>
                  <w:vMerge w:val="restart"/>
                  <w:tcBorders>
                    <w:tl2br w:val="nil"/>
                    <w:tr2bl w:val="nil"/>
                  </w:tcBorders>
                  <w:noWrap w:val="0"/>
                  <w:vAlign w:val="center"/>
                </w:tcPr>
                <w:p w14:paraId="638DA6C5">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颗粒物</w:t>
                  </w:r>
                </w:p>
              </w:tc>
              <w:tc>
                <w:tcPr>
                  <w:tcW w:w="425" w:type="pct"/>
                  <w:vMerge w:val="restart"/>
                  <w:tcBorders>
                    <w:tl2br w:val="nil"/>
                    <w:tr2bl w:val="nil"/>
                  </w:tcBorders>
                  <w:shd w:val="clear" w:color="auto" w:fill="auto"/>
                  <w:noWrap w:val="0"/>
                  <w:vAlign w:val="center"/>
                </w:tcPr>
                <w:p w14:paraId="5A4BA55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7.96</w:t>
                  </w:r>
                </w:p>
              </w:tc>
              <w:tc>
                <w:tcPr>
                  <w:tcW w:w="434" w:type="pct"/>
                  <w:vMerge w:val="restart"/>
                  <w:tcBorders>
                    <w:tl2br w:val="nil"/>
                    <w:tr2bl w:val="nil"/>
                  </w:tcBorders>
                  <w:noWrap w:val="0"/>
                  <w:vAlign w:val="center"/>
                </w:tcPr>
                <w:p w14:paraId="79CAA55B">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0.143</w:t>
                  </w:r>
                </w:p>
              </w:tc>
              <w:tc>
                <w:tcPr>
                  <w:tcW w:w="505" w:type="pct"/>
                  <w:vMerge w:val="restart"/>
                  <w:tcBorders>
                    <w:tl2br w:val="nil"/>
                    <w:tr2bl w:val="nil"/>
                  </w:tcBorders>
                  <w:shd w:val="clear" w:color="auto" w:fill="auto"/>
                  <w:noWrap w:val="0"/>
                  <w:vAlign w:val="center"/>
                </w:tcPr>
                <w:p w14:paraId="5C919B0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1.032</w:t>
                  </w:r>
                </w:p>
              </w:tc>
            </w:tr>
            <w:tr w14:paraId="614E4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197" w:type="pct"/>
                  <w:vMerge w:val="continue"/>
                  <w:tcBorders>
                    <w:tl2br w:val="nil"/>
                    <w:tr2bl w:val="nil"/>
                  </w:tcBorders>
                  <w:noWrap w:val="0"/>
                  <w:vAlign w:val="center"/>
                </w:tcPr>
                <w:p w14:paraId="5180A0E9">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39" w:type="pct"/>
                  <w:tcBorders>
                    <w:tl2br w:val="nil"/>
                    <w:tr2bl w:val="nil"/>
                  </w:tcBorders>
                  <w:noWrap w:val="0"/>
                  <w:vAlign w:val="center"/>
                </w:tcPr>
                <w:p w14:paraId="03AEE3BE">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G2</w:t>
                  </w:r>
                </w:p>
              </w:tc>
              <w:tc>
                <w:tcPr>
                  <w:tcW w:w="434" w:type="pct"/>
                  <w:tcBorders>
                    <w:tl2br w:val="nil"/>
                    <w:tr2bl w:val="nil"/>
                  </w:tcBorders>
                  <w:noWrap w:val="0"/>
                  <w:vAlign w:val="center"/>
                </w:tcPr>
                <w:p w14:paraId="675FABD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吹塑废气</w:t>
                  </w:r>
                </w:p>
              </w:tc>
              <w:tc>
                <w:tcPr>
                  <w:tcW w:w="407" w:type="pct"/>
                  <w:vMerge w:val="continue"/>
                  <w:tcBorders>
                    <w:tl2br w:val="nil"/>
                    <w:tr2bl w:val="nil"/>
                  </w:tcBorders>
                  <w:noWrap w:val="0"/>
                  <w:vAlign w:val="center"/>
                </w:tcPr>
                <w:p w14:paraId="79C1D32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07" w:type="pct"/>
                  <w:vMerge w:val="continue"/>
                  <w:tcBorders>
                    <w:tl2br w:val="nil"/>
                    <w:tr2bl w:val="nil"/>
                  </w:tcBorders>
                  <w:noWrap w:val="0"/>
                  <w:vAlign w:val="center"/>
                </w:tcPr>
                <w:p w14:paraId="7551605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10" w:type="pct"/>
                  <w:vMerge w:val="continue"/>
                  <w:tcBorders>
                    <w:tl2br w:val="nil"/>
                    <w:tr2bl w:val="nil"/>
                  </w:tcBorders>
                  <w:noWrap w:val="0"/>
                  <w:vAlign w:val="center"/>
                </w:tcPr>
                <w:p w14:paraId="0766AE3C">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76" w:type="pct"/>
                  <w:vMerge w:val="continue"/>
                  <w:tcBorders>
                    <w:tl2br w:val="nil"/>
                    <w:tr2bl w:val="nil"/>
                  </w:tcBorders>
                  <w:noWrap w:val="0"/>
                  <w:vAlign w:val="center"/>
                </w:tcPr>
                <w:p w14:paraId="274A1E0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619" w:type="pct"/>
                  <w:vMerge w:val="continue"/>
                  <w:tcBorders>
                    <w:tl2br w:val="nil"/>
                    <w:tr2bl w:val="nil"/>
                  </w:tcBorders>
                  <w:noWrap w:val="0"/>
                  <w:vAlign w:val="center"/>
                </w:tcPr>
                <w:p w14:paraId="589962DB">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42" w:type="pct"/>
                  <w:vMerge w:val="continue"/>
                  <w:tcBorders>
                    <w:tl2br w:val="nil"/>
                    <w:tr2bl w:val="nil"/>
                  </w:tcBorders>
                  <w:noWrap w:val="0"/>
                  <w:vAlign w:val="center"/>
                </w:tcPr>
                <w:p w14:paraId="7E3465B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25" w:type="pct"/>
                  <w:vMerge w:val="continue"/>
                  <w:tcBorders>
                    <w:tl2br w:val="nil"/>
                    <w:tr2bl w:val="nil"/>
                  </w:tcBorders>
                  <w:noWrap w:val="0"/>
                  <w:vAlign w:val="center"/>
                </w:tcPr>
                <w:p w14:paraId="7AD70EB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34" w:type="pct"/>
                  <w:vMerge w:val="continue"/>
                  <w:tcBorders>
                    <w:tl2br w:val="nil"/>
                    <w:tr2bl w:val="nil"/>
                  </w:tcBorders>
                  <w:noWrap w:val="0"/>
                  <w:vAlign w:val="center"/>
                </w:tcPr>
                <w:p w14:paraId="454923E7">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505" w:type="pct"/>
                  <w:vMerge w:val="continue"/>
                  <w:tcBorders>
                    <w:tl2br w:val="nil"/>
                    <w:tr2bl w:val="nil"/>
                  </w:tcBorders>
                  <w:noWrap w:val="0"/>
                  <w:vAlign w:val="center"/>
                </w:tcPr>
                <w:p w14:paraId="2CE18937">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1202C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97" w:type="pct"/>
                  <w:vMerge w:val="continue"/>
                  <w:tcBorders>
                    <w:tl2br w:val="nil"/>
                    <w:tr2bl w:val="nil"/>
                  </w:tcBorders>
                  <w:noWrap w:val="0"/>
                  <w:vAlign w:val="center"/>
                </w:tcPr>
                <w:p w14:paraId="2A8E4F3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39" w:type="pct"/>
                  <w:tcBorders>
                    <w:tl2br w:val="nil"/>
                    <w:tr2bl w:val="nil"/>
                  </w:tcBorders>
                  <w:shd w:val="clear" w:color="auto" w:fill="auto"/>
                  <w:noWrap w:val="0"/>
                  <w:vAlign w:val="center"/>
                </w:tcPr>
                <w:p w14:paraId="39C7D17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G4</w:t>
                  </w:r>
                </w:p>
              </w:tc>
              <w:tc>
                <w:tcPr>
                  <w:tcW w:w="434" w:type="pct"/>
                  <w:tcBorders>
                    <w:tl2br w:val="nil"/>
                    <w:tr2bl w:val="nil"/>
                  </w:tcBorders>
                  <w:noWrap w:val="0"/>
                  <w:vAlign w:val="center"/>
                </w:tcPr>
                <w:p w14:paraId="2A20B60B">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原料混合干燥废气</w:t>
                  </w:r>
                </w:p>
              </w:tc>
              <w:tc>
                <w:tcPr>
                  <w:tcW w:w="407" w:type="pct"/>
                  <w:vMerge w:val="continue"/>
                  <w:tcBorders>
                    <w:tl2br w:val="nil"/>
                    <w:tr2bl w:val="nil"/>
                  </w:tcBorders>
                  <w:noWrap w:val="0"/>
                  <w:vAlign w:val="center"/>
                </w:tcPr>
                <w:p w14:paraId="7D1A0057">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07" w:type="pct"/>
                  <w:vMerge w:val="restart"/>
                  <w:tcBorders>
                    <w:tl2br w:val="nil"/>
                    <w:tr2bl w:val="nil"/>
                  </w:tcBorders>
                  <w:noWrap w:val="0"/>
                  <w:vAlign w:val="center"/>
                </w:tcPr>
                <w:p w14:paraId="0BC65D9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非甲烷总烃</w:t>
                  </w:r>
                </w:p>
              </w:tc>
              <w:tc>
                <w:tcPr>
                  <w:tcW w:w="410" w:type="pct"/>
                  <w:vMerge w:val="restart"/>
                  <w:tcBorders>
                    <w:tl2br w:val="nil"/>
                    <w:tr2bl w:val="nil"/>
                  </w:tcBorders>
                  <w:noWrap w:val="0"/>
                  <w:vAlign w:val="center"/>
                </w:tcPr>
                <w:p w14:paraId="591536F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r>
                    <w:rPr>
                      <w:rFonts w:hint="eastAsia"/>
                      <w:color w:val="auto"/>
                      <w:sz w:val="21"/>
                      <w:szCs w:val="21"/>
                      <w:lang w:val="en-US" w:eastAsia="zh-CN"/>
                    </w:rPr>
                    <w:t>547</w:t>
                  </w:r>
                </w:p>
              </w:tc>
              <w:tc>
                <w:tcPr>
                  <w:tcW w:w="476" w:type="pct"/>
                  <w:vMerge w:val="restart"/>
                  <w:tcBorders>
                    <w:tl2br w:val="nil"/>
                    <w:tr2bl w:val="nil"/>
                  </w:tcBorders>
                  <w:noWrap w:val="0"/>
                  <w:vAlign w:val="center"/>
                </w:tcPr>
                <w:p w14:paraId="45F056C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3.937</w:t>
                  </w:r>
                </w:p>
              </w:tc>
              <w:tc>
                <w:tcPr>
                  <w:tcW w:w="619" w:type="pct"/>
                  <w:vMerge w:val="continue"/>
                  <w:tcBorders>
                    <w:tl2br w:val="nil"/>
                    <w:tr2bl w:val="nil"/>
                  </w:tcBorders>
                  <w:noWrap w:val="0"/>
                  <w:vAlign w:val="center"/>
                </w:tcPr>
                <w:p w14:paraId="4B2C598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42" w:type="pct"/>
                  <w:vMerge w:val="continue"/>
                  <w:tcBorders>
                    <w:tl2br w:val="nil"/>
                    <w:tr2bl w:val="nil"/>
                  </w:tcBorders>
                  <w:noWrap w:val="0"/>
                  <w:vAlign w:val="center"/>
                </w:tcPr>
                <w:p w14:paraId="29FB9B79">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25" w:type="pct"/>
                  <w:vMerge w:val="continue"/>
                  <w:tcBorders>
                    <w:tl2br w:val="nil"/>
                    <w:tr2bl w:val="nil"/>
                  </w:tcBorders>
                  <w:noWrap w:val="0"/>
                  <w:vAlign w:val="center"/>
                </w:tcPr>
                <w:p w14:paraId="529AE32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34" w:type="pct"/>
                  <w:vMerge w:val="continue"/>
                  <w:tcBorders>
                    <w:tl2br w:val="nil"/>
                    <w:tr2bl w:val="nil"/>
                  </w:tcBorders>
                  <w:noWrap w:val="0"/>
                  <w:vAlign w:val="center"/>
                </w:tcPr>
                <w:p w14:paraId="65BC35E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505" w:type="pct"/>
                  <w:vMerge w:val="continue"/>
                  <w:tcBorders>
                    <w:tl2br w:val="nil"/>
                    <w:tr2bl w:val="nil"/>
                  </w:tcBorders>
                  <w:noWrap w:val="0"/>
                  <w:vAlign w:val="center"/>
                </w:tcPr>
                <w:p w14:paraId="46B4DB75">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267A8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 w:hRule="atLeast"/>
                <w:jc w:val="center"/>
              </w:trPr>
              <w:tc>
                <w:tcPr>
                  <w:tcW w:w="197" w:type="pct"/>
                  <w:vMerge w:val="continue"/>
                  <w:tcBorders>
                    <w:tl2br w:val="nil"/>
                    <w:tr2bl w:val="nil"/>
                  </w:tcBorders>
                  <w:noWrap w:val="0"/>
                  <w:vAlign w:val="center"/>
                </w:tcPr>
                <w:p w14:paraId="5E5214D9">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39" w:type="pct"/>
                  <w:tcBorders>
                    <w:tl2br w:val="nil"/>
                    <w:tr2bl w:val="nil"/>
                  </w:tcBorders>
                  <w:shd w:val="clear" w:color="auto" w:fill="auto"/>
                  <w:noWrap w:val="0"/>
                  <w:vAlign w:val="center"/>
                </w:tcPr>
                <w:p w14:paraId="5DFF58A4">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G5</w:t>
                  </w:r>
                </w:p>
              </w:tc>
              <w:tc>
                <w:tcPr>
                  <w:tcW w:w="434" w:type="pct"/>
                  <w:tcBorders>
                    <w:tl2br w:val="nil"/>
                    <w:tr2bl w:val="nil"/>
                  </w:tcBorders>
                  <w:noWrap w:val="0"/>
                  <w:vAlign w:val="center"/>
                </w:tcPr>
                <w:p w14:paraId="1EC84D52">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吹塑废气</w:t>
                  </w:r>
                </w:p>
              </w:tc>
              <w:tc>
                <w:tcPr>
                  <w:tcW w:w="407" w:type="pct"/>
                  <w:vMerge w:val="continue"/>
                  <w:tcBorders>
                    <w:tl2br w:val="nil"/>
                    <w:tr2bl w:val="nil"/>
                  </w:tcBorders>
                  <w:noWrap w:val="0"/>
                  <w:vAlign w:val="center"/>
                </w:tcPr>
                <w:p w14:paraId="12717AE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07" w:type="pct"/>
                  <w:vMerge w:val="continue"/>
                  <w:tcBorders>
                    <w:tl2br w:val="nil"/>
                    <w:tr2bl w:val="nil"/>
                  </w:tcBorders>
                  <w:noWrap w:val="0"/>
                  <w:vAlign w:val="center"/>
                </w:tcPr>
                <w:p w14:paraId="6AC64A71">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10" w:type="pct"/>
                  <w:vMerge w:val="continue"/>
                  <w:tcBorders>
                    <w:tl2br w:val="nil"/>
                    <w:tr2bl w:val="nil"/>
                  </w:tcBorders>
                  <w:noWrap w:val="0"/>
                  <w:vAlign w:val="center"/>
                </w:tcPr>
                <w:p w14:paraId="485F197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76" w:type="pct"/>
                  <w:vMerge w:val="continue"/>
                  <w:tcBorders>
                    <w:tl2br w:val="nil"/>
                    <w:tr2bl w:val="nil"/>
                  </w:tcBorders>
                  <w:noWrap w:val="0"/>
                  <w:vAlign w:val="center"/>
                </w:tcPr>
                <w:p w14:paraId="5341D131">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619" w:type="pct"/>
                  <w:vMerge w:val="continue"/>
                  <w:tcBorders>
                    <w:tl2br w:val="nil"/>
                    <w:tr2bl w:val="nil"/>
                  </w:tcBorders>
                  <w:noWrap w:val="0"/>
                  <w:vAlign w:val="center"/>
                </w:tcPr>
                <w:p w14:paraId="6ED172B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42" w:type="pct"/>
                  <w:vMerge w:val="continue"/>
                  <w:tcBorders>
                    <w:tl2br w:val="nil"/>
                    <w:tr2bl w:val="nil"/>
                  </w:tcBorders>
                  <w:noWrap w:val="0"/>
                  <w:vAlign w:val="center"/>
                </w:tcPr>
                <w:p w14:paraId="6321BB9B">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25" w:type="pct"/>
                  <w:vMerge w:val="continue"/>
                  <w:tcBorders>
                    <w:tl2br w:val="nil"/>
                    <w:tr2bl w:val="nil"/>
                  </w:tcBorders>
                  <w:noWrap w:val="0"/>
                  <w:vAlign w:val="center"/>
                </w:tcPr>
                <w:p w14:paraId="14902D4E">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34" w:type="pct"/>
                  <w:vMerge w:val="continue"/>
                  <w:tcBorders>
                    <w:tl2br w:val="nil"/>
                    <w:tr2bl w:val="nil"/>
                  </w:tcBorders>
                  <w:noWrap w:val="0"/>
                  <w:vAlign w:val="center"/>
                </w:tcPr>
                <w:p w14:paraId="6065BAF5">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505" w:type="pct"/>
                  <w:vMerge w:val="continue"/>
                  <w:tcBorders>
                    <w:tl2br w:val="nil"/>
                    <w:tr2bl w:val="nil"/>
                  </w:tcBorders>
                  <w:noWrap w:val="0"/>
                  <w:vAlign w:val="center"/>
                </w:tcPr>
                <w:p w14:paraId="11BC814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29E4C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97" w:type="pct"/>
                  <w:vMerge w:val="continue"/>
                  <w:tcBorders>
                    <w:tl2br w:val="nil"/>
                    <w:tr2bl w:val="nil"/>
                  </w:tcBorders>
                  <w:noWrap w:val="0"/>
                  <w:vAlign w:val="center"/>
                </w:tcPr>
                <w:p w14:paraId="39825225">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39" w:type="pct"/>
                  <w:tcBorders>
                    <w:tl2br w:val="nil"/>
                    <w:tr2bl w:val="nil"/>
                  </w:tcBorders>
                  <w:noWrap w:val="0"/>
                  <w:vAlign w:val="center"/>
                </w:tcPr>
                <w:p w14:paraId="2FA34CF4">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G3</w:t>
                  </w:r>
                </w:p>
              </w:tc>
              <w:tc>
                <w:tcPr>
                  <w:tcW w:w="434" w:type="pct"/>
                  <w:tcBorders>
                    <w:tl2br w:val="nil"/>
                    <w:tr2bl w:val="nil"/>
                  </w:tcBorders>
                  <w:noWrap w:val="0"/>
                  <w:vAlign w:val="center"/>
                </w:tcPr>
                <w:p w14:paraId="4EBEAC17">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修边粉碎废气</w:t>
                  </w:r>
                </w:p>
              </w:tc>
              <w:tc>
                <w:tcPr>
                  <w:tcW w:w="407" w:type="pct"/>
                  <w:vMerge w:val="continue"/>
                  <w:tcBorders>
                    <w:tl2br w:val="nil"/>
                    <w:tr2bl w:val="nil"/>
                  </w:tcBorders>
                  <w:noWrap w:val="0"/>
                  <w:vAlign w:val="center"/>
                </w:tcPr>
                <w:p w14:paraId="50B4214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07" w:type="pct"/>
                  <w:vMerge w:val="restart"/>
                  <w:tcBorders>
                    <w:tl2br w:val="nil"/>
                    <w:tr2bl w:val="nil"/>
                  </w:tcBorders>
                  <w:noWrap w:val="0"/>
                  <w:vAlign w:val="center"/>
                </w:tcPr>
                <w:p w14:paraId="2C22B957">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颗粒物</w:t>
                  </w:r>
                </w:p>
              </w:tc>
              <w:tc>
                <w:tcPr>
                  <w:tcW w:w="410" w:type="pct"/>
                  <w:vMerge w:val="restart"/>
                  <w:tcBorders>
                    <w:tl2br w:val="nil"/>
                    <w:tr2bl w:val="nil"/>
                  </w:tcBorders>
                  <w:noWrap w:val="0"/>
                  <w:vAlign w:val="center"/>
                </w:tcPr>
                <w:p w14:paraId="698C486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0.011</w:t>
                  </w:r>
                </w:p>
              </w:tc>
              <w:tc>
                <w:tcPr>
                  <w:tcW w:w="476" w:type="pct"/>
                  <w:vMerge w:val="restart"/>
                  <w:tcBorders>
                    <w:tl2br w:val="nil"/>
                    <w:tr2bl w:val="nil"/>
                  </w:tcBorders>
                  <w:noWrap w:val="0"/>
                  <w:vAlign w:val="center"/>
                </w:tcPr>
                <w:p w14:paraId="31C3A2A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0.082</w:t>
                  </w:r>
                </w:p>
              </w:tc>
              <w:tc>
                <w:tcPr>
                  <w:tcW w:w="619" w:type="pct"/>
                  <w:vMerge w:val="continue"/>
                  <w:tcBorders>
                    <w:tl2br w:val="nil"/>
                    <w:tr2bl w:val="nil"/>
                  </w:tcBorders>
                  <w:noWrap w:val="0"/>
                  <w:vAlign w:val="center"/>
                </w:tcPr>
                <w:p w14:paraId="2ACF3EC2">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42" w:type="pct"/>
                  <w:vMerge w:val="restart"/>
                  <w:tcBorders>
                    <w:tl2br w:val="nil"/>
                    <w:tr2bl w:val="nil"/>
                  </w:tcBorders>
                  <w:noWrap w:val="0"/>
                  <w:vAlign w:val="center"/>
                </w:tcPr>
                <w:p w14:paraId="14E014F9">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非甲烷总烃</w:t>
                  </w:r>
                </w:p>
              </w:tc>
              <w:tc>
                <w:tcPr>
                  <w:tcW w:w="425" w:type="pct"/>
                  <w:vMerge w:val="restart"/>
                  <w:tcBorders>
                    <w:tl2br w:val="nil"/>
                    <w:tr2bl w:val="nil"/>
                  </w:tcBorders>
                  <w:noWrap w:val="0"/>
                  <w:vAlign w:val="center"/>
                </w:tcPr>
                <w:p w14:paraId="7536CC0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3.04</w:t>
                  </w:r>
                </w:p>
              </w:tc>
              <w:tc>
                <w:tcPr>
                  <w:tcW w:w="434" w:type="pct"/>
                  <w:vMerge w:val="restart"/>
                  <w:tcBorders>
                    <w:tl2br w:val="nil"/>
                    <w:tr2bl w:val="nil"/>
                  </w:tcBorders>
                  <w:noWrap w:val="0"/>
                  <w:vAlign w:val="center"/>
                </w:tcPr>
                <w:p w14:paraId="2096500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0.055</w:t>
                  </w:r>
                </w:p>
              </w:tc>
              <w:tc>
                <w:tcPr>
                  <w:tcW w:w="505" w:type="pct"/>
                  <w:vMerge w:val="restart"/>
                  <w:tcBorders>
                    <w:tl2br w:val="nil"/>
                    <w:tr2bl w:val="nil"/>
                  </w:tcBorders>
                  <w:noWrap w:val="0"/>
                  <w:vAlign w:val="center"/>
                </w:tcPr>
                <w:p w14:paraId="367766D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r>
                    <w:rPr>
                      <w:rFonts w:hint="eastAsia"/>
                      <w:color w:val="auto"/>
                      <w:sz w:val="21"/>
                      <w:szCs w:val="21"/>
                      <w:lang w:val="en-US" w:eastAsia="zh-CN"/>
                    </w:rPr>
                    <w:t>394</w:t>
                  </w:r>
                </w:p>
              </w:tc>
            </w:tr>
            <w:tr w14:paraId="61F8E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jc w:val="center"/>
              </w:trPr>
              <w:tc>
                <w:tcPr>
                  <w:tcW w:w="197" w:type="pct"/>
                  <w:vMerge w:val="continue"/>
                  <w:tcBorders>
                    <w:tl2br w:val="nil"/>
                    <w:tr2bl w:val="nil"/>
                  </w:tcBorders>
                  <w:noWrap w:val="0"/>
                  <w:vAlign w:val="center"/>
                </w:tcPr>
                <w:p w14:paraId="013CB4F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39" w:type="pct"/>
                  <w:tcBorders>
                    <w:tl2br w:val="nil"/>
                    <w:tr2bl w:val="nil"/>
                  </w:tcBorders>
                  <w:noWrap w:val="0"/>
                  <w:vAlign w:val="center"/>
                </w:tcPr>
                <w:p w14:paraId="17144C71">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G6</w:t>
                  </w:r>
                </w:p>
              </w:tc>
              <w:tc>
                <w:tcPr>
                  <w:tcW w:w="434" w:type="pct"/>
                  <w:tcBorders>
                    <w:tl2br w:val="nil"/>
                    <w:tr2bl w:val="nil"/>
                  </w:tcBorders>
                  <w:noWrap w:val="0"/>
                  <w:vAlign w:val="center"/>
                </w:tcPr>
                <w:p w14:paraId="66956709">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修边粉碎废气</w:t>
                  </w:r>
                </w:p>
              </w:tc>
              <w:tc>
                <w:tcPr>
                  <w:tcW w:w="407" w:type="pct"/>
                  <w:vMerge w:val="continue"/>
                  <w:tcBorders>
                    <w:tl2br w:val="nil"/>
                    <w:tr2bl w:val="nil"/>
                  </w:tcBorders>
                  <w:noWrap w:val="0"/>
                  <w:vAlign w:val="center"/>
                </w:tcPr>
                <w:p w14:paraId="31DC9AD1">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07" w:type="pct"/>
                  <w:vMerge w:val="continue"/>
                  <w:tcBorders>
                    <w:tl2br w:val="nil"/>
                    <w:tr2bl w:val="nil"/>
                  </w:tcBorders>
                  <w:noWrap w:val="0"/>
                  <w:vAlign w:val="center"/>
                </w:tcPr>
                <w:p w14:paraId="5E28381B">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10" w:type="pct"/>
                  <w:vMerge w:val="continue"/>
                  <w:tcBorders>
                    <w:tl2br w:val="nil"/>
                    <w:tr2bl w:val="nil"/>
                  </w:tcBorders>
                  <w:noWrap w:val="0"/>
                  <w:vAlign w:val="center"/>
                </w:tcPr>
                <w:p w14:paraId="652417A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76" w:type="pct"/>
                  <w:vMerge w:val="continue"/>
                  <w:tcBorders>
                    <w:tl2br w:val="nil"/>
                    <w:tr2bl w:val="nil"/>
                  </w:tcBorders>
                  <w:noWrap w:val="0"/>
                  <w:vAlign w:val="center"/>
                </w:tcPr>
                <w:p w14:paraId="0AB658A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619" w:type="pct"/>
                  <w:vMerge w:val="continue"/>
                  <w:tcBorders>
                    <w:tl2br w:val="nil"/>
                    <w:tr2bl w:val="nil"/>
                  </w:tcBorders>
                  <w:noWrap w:val="0"/>
                  <w:vAlign w:val="center"/>
                </w:tcPr>
                <w:p w14:paraId="33935F1B">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42" w:type="pct"/>
                  <w:vMerge w:val="continue"/>
                  <w:tcBorders>
                    <w:tl2br w:val="nil"/>
                    <w:tr2bl w:val="nil"/>
                  </w:tcBorders>
                  <w:noWrap w:val="0"/>
                  <w:vAlign w:val="center"/>
                </w:tcPr>
                <w:p w14:paraId="41D725F5">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25" w:type="pct"/>
                  <w:vMerge w:val="continue"/>
                  <w:tcBorders>
                    <w:tl2br w:val="nil"/>
                    <w:tr2bl w:val="nil"/>
                  </w:tcBorders>
                  <w:noWrap w:val="0"/>
                  <w:vAlign w:val="center"/>
                </w:tcPr>
                <w:p w14:paraId="1A1137A4">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34" w:type="pct"/>
                  <w:vMerge w:val="continue"/>
                  <w:tcBorders>
                    <w:tl2br w:val="nil"/>
                    <w:tr2bl w:val="nil"/>
                  </w:tcBorders>
                  <w:noWrap w:val="0"/>
                  <w:vAlign w:val="center"/>
                </w:tcPr>
                <w:p w14:paraId="34BC6FF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505" w:type="pct"/>
                  <w:vMerge w:val="continue"/>
                  <w:tcBorders>
                    <w:tl2br w:val="nil"/>
                    <w:tr2bl w:val="nil"/>
                  </w:tcBorders>
                  <w:noWrap w:val="0"/>
                  <w:vAlign w:val="center"/>
                </w:tcPr>
                <w:p w14:paraId="248579F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4F1A5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jc w:val="center"/>
              </w:trPr>
              <w:tc>
                <w:tcPr>
                  <w:tcW w:w="197" w:type="pct"/>
                  <w:vMerge w:val="continue"/>
                  <w:tcBorders>
                    <w:tl2br w:val="nil"/>
                    <w:tr2bl w:val="nil"/>
                  </w:tcBorders>
                  <w:noWrap w:val="0"/>
                  <w:vAlign w:val="center"/>
                </w:tcPr>
                <w:p w14:paraId="7206F569">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39" w:type="pct"/>
                  <w:tcBorders>
                    <w:tl2br w:val="nil"/>
                    <w:tr2bl w:val="nil"/>
                  </w:tcBorders>
                  <w:noWrap w:val="0"/>
                  <w:vAlign w:val="center"/>
                </w:tcPr>
                <w:p w14:paraId="35547C11">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G7</w:t>
                  </w:r>
                </w:p>
              </w:tc>
              <w:tc>
                <w:tcPr>
                  <w:tcW w:w="434" w:type="pct"/>
                  <w:tcBorders>
                    <w:tl2br w:val="nil"/>
                    <w:tr2bl w:val="nil"/>
                  </w:tcBorders>
                  <w:noWrap w:val="0"/>
                  <w:vAlign w:val="center"/>
                </w:tcPr>
                <w:p w14:paraId="06EA83EC">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焊接废气</w:t>
                  </w:r>
                </w:p>
              </w:tc>
              <w:tc>
                <w:tcPr>
                  <w:tcW w:w="407" w:type="pct"/>
                  <w:vMerge w:val="continue"/>
                  <w:tcBorders>
                    <w:tl2br w:val="nil"/>
                    <w:tr2bl w:val="nil"/>
                  </w:tcBorders>
                  <w:noWrap w:val="0"/>
                  <w:vAlign w:val="center"/>
                </w:tcPr>
                <w:p w14:paraId="6362EEB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07" w:type="pct"/>
                  <w:tcBorders>
                    <w:tl2br w:val="nil"/>
                    <w:tr2bl w:val="nil"/>
                  </w:tcBorders>
                  <w:noWrap w:val="0"/>
                  <w:vAlign w:val="center"/>
                </w:tcPr>
                <w:p w14:paraId="55FDCE7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颗粒物</w:t>
                  </w:r>
                </w:p>
              </w:tc>
              <w:tc>
                <w:tcPr>
                  <w:tcW w:w="410" w:type="pct"/>
                  <w:tcBorders>
                    <w:tl2br w:val="nil"/>
                    <w:tr2bl w:val="nil"/>
                  </w:tcBorders>
                  <w:noWrap w:val="0"/>
                  <w:vAlign w:val="center"/>
                </w:tcPr>
                <w:p w14:paraId="1717297E">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0.041</w:t>
                  </w:r>
                </w:p>
              </w:tc>
              <w:tc>
                <w:tcPr>
                  <w:tcW w:w="476" w:type="pct"/>
                  <w:tcBorders>
                    <w:tl2br w:val="nil"/>
                    <w:tr2bl w:val="nil"/>
                  </w:tcBorders>
                  <w:noWrap w:val="0"/>
                  <w:vAlign w:val="center"/>
                </w:tcPr>
                <w:p w14:paraId="4B3102C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0.294</w:t>
                  </w:r>
                </w:p>
              </w:tc>
              <w:tc>
                <w:tcPr>
                  <w:tcW w:w="619" w:type="pct"/>
                  <w:vMerge w:val="continue"/>
                  <w:tcBorders>
                    <w:tl2br w:val="nil"/>
                    <w:tr2bl w:val="nil"/>
                  </w:tcBorders>
                  <w:noWrap w:val="0"/>
                  <w:vAlign w:val="center"/>
                </w:tcPr>
                <w:p w14:paraId="55692909">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42" w:type="pct"/>
                  <w:vMerge w:val="continue"/>
                  <w:tcBorders>
                    <w:tl2br w:val="nil"/>
                    <w:tr2bl w:val="nil"/>
                  </w:tcBorders>
                  <w:noWrap w:val="0"/>
                  <w:vAlign w:val="center"/>
                </w:tcPr>
                <w:p w14:paraId="6486DEB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25" w:type="pct"/>
                  <w:vMerge w:val="continue"/>
                  <w:tcBorders>
                    <w:tl2br w:val="nil"/>
                    <w:tr2bl w:val="nil"/>
                  </w:tcBorders>
                  <w:noWrap w:val="0"/>
                  <w:vAlign w:val="center"/>
                </w:tcPr>
                <w:p w14:paraId="0A9E9E0B">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34" w:type="pct"/>
                  <w:vMerge w:val="continue"/>
                  <w:tcBorders>
                    <w:tl2br w:val="nil"/>
                    <w:tr2bl w:val="nil"/>
                  </w:tcBorders>
                  <w:noWrap w:val="0"/>
                  <w:vAlign w:val="center"/>
                </w:tcPr>
                <w:p w14:paraId="3EF91825">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505" w:type="pct"/>
                  <w:vMerge w:val="continue"/>
                  <w:tcBorders>
                    <w:tl2br w:val="nil"/>
                    <w:tr2bl w:val="nil"/>
                  </w:tcBorders>
                  <w:noWrap w:val="0"/>
                  <w:vAlign w:val="center"/>
                </w:tcPr>
                <w:p w14:paraId="052F72A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5BD9C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jc w:val="center"/>
              </w:trPr>
              <w:tc>
                <w:tcPr>
                  <w:tcW w:w="197" w:type="pct"/>
                  <w:vMerge w:val="continue"/>
                  <w:tcBorders>
                    <w:tl2br w:val="nil"/>
                    <w:tr2bl w:val="nil"/>
                  </w:tcBorders>
                  <w:noWrap w:val="0"/>
                  <w:vAlign w:val="center"/>
                </w:tcPr>
                <w:p w14:paraId="636C8178">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39" w:type="pct"/>
                  <w:tcBorders>
                    <w:tl2br w:val="nil"/>
                    <w:tr2bl w:val="nil"/>
                  </w:tcBorders>
                  <w:noWrap w:val="0"/>
                  <w:vAlign w:val="center"/>
                </w:tcPr>
                <w:p w14:paraId="7C299E2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G8</w:t>
                  </w:r>
                </w:p>
              </w:tc>
              <w:tc>
                <w:tcPr>
                  <w:tcW w:w="434" w:type="pct"/>
                  <w:tcBorders>
                    <w:tl2br w:val="nil"/>
                    <w:tr2bl w:val="nil"/>
                  </w:tcBorders>
                  <w:noWrap w:val="0"/>
                  <w:vAlign w:val="center"/>
                </w:tcPr>
                <w:p w14:paraId="42C30C0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打磨废气</w:t>
                  </w:r>
                </w:p>
              </w:tc>
              <w:tc>
                <w:tcPr>
                  <w:tcW w:w="407" w:type="pct"/>
                  <w:vMerge w:val="continue"/>
                  <w:tcBorders>
                    <w:tl2br w:val="nil"/>
                    <w:tr2bl w:val="nil"/>
                  </w:tcBorders>
                  <w:noWrap w:val="0"/>
                  <w:vAlign w:val="center"/>
                </w:tcPr>
                <w:p w14:paraId="017FD94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07" w:type="pct"/>
                  <w:tcBorders>
                    <w:tl2br w:val="nil"/>
                    <w:tr2bl w:val="nil"/>
                  </w:tcBorders>
                  <w:noWrap w:val="0"/>
                  <w:vAlign w:val="center"/>
                </w:tcPr>
                <w:p w14:paraId="6424B60C">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颗粒物</w:t>
                  </w:r>
                </w:p>
              </w:tc>
              <w:tc>
                <w:tcPr>
                  <w:tcW w:w="410" w:type="pct"/>
                  <w:tcBorders>
                    <w:tl2br w:val="nil"/>
                    <w:tr2bl w:val="nil"/>
                  </w:tcBorders>
                  <w:noWrap w:val="0"/>
                  <w:vAlign w:val="center"/>
                </w:tcPr>
                <w:p w14:paraId="61773DF7">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0.973</w:t>
                  </w:r>
                </w:p>
              </w:tc>
              <w:tc>
                <w:tcPr>
                  <w:tcW w:w="476" w:type="pct"/>
                  <w:tcBorders>
                    <w:tl2br w:val="nil"/>
                    <w:tr2bl w:val="nil"/>
                  </w:tcBorders>
                  <w:noWrap w:val="0"/>
                  <w:vAlign w:val="center"/>
                </w:tcPr>
                <w:p w14:paraId="642EDD6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7.008</w:t>
                  </w:r>
                </w:p>
              </w:tc>
              <w:tc>
                <w:tcPr>
                  <w:tcW w:w="619" w:type="pct"/>
                  <w:vMerge w:val="continue"/>
                  <w:tcBorders>
                    <w:tl2br w:val="nil"/>
                    <w:tr2bl w:val="nil"/>
                  </w:tcBorders>
                  <w:noWrap w:val="0"/>
                  <w:vAlign w:val="center"/>
                </w:tcPr>
                <w:p w14:paraId="24F96847">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42" w:type="pct"/>
                  <w:vMerge w:val="continue"/>
                  <w:tcBorders>
                    <w:tl2br w:val="nil"/>
                    <w:tr2bl w:val="nil"/>
                  </w:tcBorders>
                  <w:noWrap w:val="0"/>
                  <w:vAlign w:val="center"/>
                </w:tcPr>
                <w:p w14:paraId="11B34EDE">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25" w:type="pct"/>
                  <w:vMerge w:val="continue"/>
                  <w:tcBorders>
                    <w:tl2br w:val="nil"/>
                    <w:tr2bl w:val="nil"/>
                  </w:tcBorders>
                  <w:noWrap w:val="0"/>
                  <w:vAlign w:val="center"/>
                </w:tcPr>
                <w:p w14:paraId="65EC6A0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34" w:type="pct"/>
                  <w:vMerge w:val="continue"/>
                  <w:tcBorders>
                    <w:tl2br w:val="nil"/>
                    <w:tr2bl w:val="nil"/>
                  </w:tcBorders>
                  <w:noWrap w:val="0"/>
                  <w:vAlign w:val="center"/>
                </w:tcPr>
                <w:p w14:paraId="01B599E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505" w:type="pct"/>
                  <w:vMerge w:val="continue"/>
                  <w:tcBorders>
                    <w:tl2br w:val="nil"/>
                    <w:tr2bl w:val="nil"/>
                  </w:tcBorders>
                  <w:noWrap w:val="0"/>
                  <w:vAlign w:val="center"/>
                </w:tcPr>
                <w:p w14:paraId="270A296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7239B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jc w:val="center"/>
              </w:trPr>
              <w:tc>
                <w:tcPr>
                  <w:tcW w:w="197" w:type="pct"/>
                  <w:vMerge w:val="continue"/>
                  <w:tcBorders>
                    <w:tl2br w:val="nil"/>
                    <w:tr2bl w:val="nil"/>
                  </w:tcBorders>
                  <w:noWrap w:val="0"/>
                  <w:vAlign w:val="center"/>
                </w:tcPr>
                <w:p w14:paraId="6478654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3" w:type="pct"/>
                  <w:gridSpan w:val="2"/>
                  <w:tcBorders>
                    <w:tl2br w:val="nil"/>
                    <w:tr2bl w:val="nil"/>
                  </w:tcBorders>
                  <w:noWrap w:val="0"/>
                  <w:vAlign w:val="center"/>
                </w:tcPr>
                <w:p w14:paraId="7FB178A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firstLine="0" w:firstLineChar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吹塑工序</w:t>
                  </w:r>
                </w:p>
              </w:tc>
              <w:tc>
                <w:tcPr>
                  <w:tcW w:w="407" w:type="pct"/>
                  <w:vMerge w:val="continue"/>
                  <w:tcBorders>
                    <w:tl2br w:val="nil"/>
                    <w:tr2bl w:val="nil"/>
                  </w:tcBorders>
                  <w:noWrap w:val="0"/>
                  <w:vAlign w:val="center"/>
                </w:tcPr>
                <w:p w14:paraId="5BD85708">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07" w:type="pct"/>
                  <w:tcBorders>
                    <w:tl2br w:val="nil"/>
                    <w:tr2bl w:val="nil"/>
                  </w:tcBorders>
                  <w:noWrap w:val="0"/>
                  <w:vAlign w:val="center"/>
                </w:tcPr>
                <w:p w14:paraId="1815995E">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color w:val="auto"/>
                      <w:sz w:val="21"/>
                      <w:szCs w:val="21"/>
                      <w:lang w:val="en-US" w:eastAsia="zh-CN"/>
                    </w:rPr>
                    <w:t>臭气浓度</w:t>
                  </w:r>
                </w:p>
              </w:tc>
              <w:tc>
                <w:tcPr>
                  <w:tcW w:w="886" w:type="pct"/>
                  <w:gridSpan w:val="2"/>
                  <w:tcBorders>
                    <w:tl2br w:val="nil"/>
                    <w:tr2bl w:val="nil"/>
                  </w:tcBorders>
                  <w:noWrap w:val="0"/>
                  <w:vAlign w:val="center"/>
                </w:tcPr>
                <w:p w14:paraId="68AC3AD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1000（无量纲）</w:t>
                  </w:r>
                </w:p>
              </w:tc>
              <w:tc>
                <w:tcPr>
                  <w:tcW w:w="619" w:type="pct"/>
                  <w:vMerge w:val="continue"/>
                  <w:tcBorders>
                    <w:tl2br w:val="nil"/>
                    <w:tr2bl w:val="nil"/>
                  </w:tcBorders>
                  <w:noWrap w:val="0"/>
                  <w:vAlign w:val="center"/>
                </w:tcPr>
                <w:p w14:paraId="3BBECA41">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42" w:type="pct"/>
                  <w:tcBorders>
                    <w:tl2br w:val="nil"/>
                    <w:tr2bl w:val="nil"/>
                  </w:tcBorders>
                  <w:noWrap w:val="0"/>
                  <w:vAlign w:val="center"/>
                </w:tcPr>
                <w:p w14:paraId="19CFBC9B">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color w:val="auto"/>
                      <w:sz w:val="21"/>
                      <w:szCs w:val="21"/>
                      <w:lang w:val="en-US" w:eastAsia="zh-CN"/>
                    </w:rPr>
                    <w:t>臭气浓度</w:t>
                  </w:r>
                </w:p>
              </w:tc>
              <w:tc>
                <w:tcPr>
                  <w:tcW w:w="1364" w:type="pct"/>
                  <w:gridSpan w:val="3"/>
                  <w:tcBorders>
                    <w:tl2br w:val="nil"/>
                    <w:tr2bl w:val="nil"/>
                  </w:tcBorders>
                  <w:noWrap w:val="0"/>
                  <w:vAlign w:val="center"/>
                </w:tcPr>
                <w:p w14:paraId="1860AE2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color w:val="auto"/>
                      <w:sz w:val="21"/>
                      <w:szCs w:val="21"/>
                      <w:lang w:val="en-US" w:eastAsia="zh-CN"/>
                    </w:rPr>
                    <w:t>100（无量纲）</w:t>
                  </w:r>
                </w:p>
              </w:tc>
            </w:tr>
            <w:tr w14:paraId="29919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197" w:type="pct"/>
                  <w:vMerge w:val="restart"/>
                  <w:tcBorders>
                    <w:tl2br w:val="nil"/>
                    <w:tr2bl w:val="nil"/>
                  </w:tcBorders>
                  <w:noWrap w:val="0"/>
                  <w:vAlign w:val="center"/>
                </w:tcPr>
                <w:p w14:paraId="733E882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无组织</w:t>
                  </w:r>
                </w:p>
              </w:tc>
              <w:tc>
                <w:tcPr>
                  <w:tcW w:w="673" w:type="pct"/>
                  <w:gridSpan w:val="2"/>
                  <w:vMerge w:val="restart"/>
                  <w:tcBorders>
                    <w:tl2br w:val="nil"/>
                    <w:tr2bl w:val="nil"/>
                  </w:tcBorders>
                  <w:noWrap w:val="0"/>
                  <w:vAlign w:val="center"/>
                </w:tcPr>
                <w:p w14:paraId="14223D8E">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车间无组织废气</w:t>
                  </w:r>
                </w:p>
              </w:tc>
              <w:tc>
                <w:tcPr>
                  <w:tcW w:w="407" w:type="pct"/>
                  <w:vMerge w:val="restart"/>
                  <w:tcBorders>
                    <w:tl2br w:val="nil"/>
                    <w:tr2bl w:val="nil"/>
                  </w:tcBorders>
                  <w:noWrap w:val="0"/>
                  <w:vAlign w:val="center"/>
                </w:tcPr>
                <w:p w14:paraId="1B3CA80E">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407" w:type="pct"/>
                  <w:tcBorders>
                    <w:tl2br w:val="nil"/>
                    <w:tr2bl w:val="nil"/>
                  </w:tcBorders>
                  <w:noWrap w:val="0"/>
                  <w:vAlign w:val="center"/>
                </w:tcPr>
                <w:p w14:paraId="27335DF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颗粒物</w:t>
                  </w:r>
                </w:p>
              </w:tc>
              <w:tc>
                <w:tcPr>
                  <w:tcW w:w="410" w:type="pct"/>
                  <w:tcBorders>
                    <w:tl2br w:val="nil"/>
                    <w:tr2bl w:val="nil"/>
                  </w:tcBorders>
                  <w:noWrap w:val="0"/>
                  <w:vAlign w:val="center"/>
                </w:tcPr>
                <w:p w14:paraId="21DF63A4">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0.716</w:t>
                  </w:r>
                </w:p>
              </w:tc>
              <w:tc>
                <w:tcPr>
                  <w:tcW w:w="476" w:type="pct"/>
                  <w:tcBorders>
                    <w:tl2br w:val="nil"/>
                    <w:tr2bl w:val="nil"/>
                  </w:tcBorders>
                  <w:noWrap w:val="0"/>
                  <w:vAlign w:val="center"/>
                </w:tcPr>
                <w:p w14:paraId="48B548EB">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619" w:type="pct"/>
                  <w:vMerge w:val="restart"/>
                  <w:tcBorders>
                    <w:tl2br w:val="nil"/>
                    <w:tr2bl w:val="nil"/>
                  </w:tcBorders>
                  <w:noWrap w:val="0"/>
                  <w:vAlign w:val="center"/>
                </w:tcPr>
                <w:p w14:paraId="4CB61D28">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密闭车间</w:t>
                  </w:r>
                </w:p>
              </w:tc>
              <w:tc>
                <w:tcPr>
                  <w:tcW w:w="442" w:type="pct"/>
                  <w:tcBorders>
                    <w:bottom w:val="single" w:color="auto" w:sz="4" w:space="0"/>
                    <w:tl2br w:val="nil"/>
                    <w:tr2bl w:val="nil"/>
                  </w:tcBorders>
                  <w:noWrap w:val="0"/>
                  <w:vAlign w:val="center"/>
                </w:tcPr>
                <w:p w14:paraId="21C81D62">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rightChars="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颗粒物</w:t>
                  </w:r>
                </w:p>
              </w:tc>
              <w:tc>
                <w:tcPr>
                  <w:tcW w:w="425" w:type="pct"/>
                  <w:tcBorders>
                    <w:tl2br w:val="nil"/>
                    <w:tr2bl w:val="nil"/>
                  </w:tcBorders>
                  <w:noWrap w:val="0"/>
                  <w:vAlign w:val="center"/>
                </w:tcPr>
                <w:p w14:paraId="6937973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434" w:type="pct"/>
                  <w:tcBorders>
                    <w:tl2br w:val="nil"/>
                    <w:tr2bl w:val="nil"/>
                  </w:tcBorders>
                  <w:noWrap w:val="0"/>
                  <w:vAlign w:val="center"/>
                </w:tcPr>
                <w:p w14:paraId="05E79CFD">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rightChars="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0.716</w:t>
                  </w:r>
                </w:p>
              </w:tc>
              <w:tc>
                <w:tcPr>
                  <w:tcW w:w="505" w:type="pct"/>
                  <w:tcBorders>
                    <w:tl2br w:val="nil"/>
                    <w:tr2bl w:val="nil"/>
                  </w:tcBorders>
                  <w:noWrap w:val="0"/>
                  <w:vAlign w:val="center"/>
                </w:tcPr>
                <w:p w14:paraId="23BA3577">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r>
            <w:tr w14:paraId="077F8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197" w:type="pct"/>
                  <w:vMerge w:val="continue"/>
                  <w:tcBorders>
                    <w:tl2br w:val="nil"/>
                    <w:tr2bl w:val="nil"/>
                  </w:tcBorders>
                  <w:noWrap w:val="0"/>
                  <w:vAlign w:val="center"/>
                </w:tcPr>
                <w:p w14:paraId="12111E0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3" w:type="pct"/>
                  <w:gridSpan w:val="2"/>
                  <w:vMerge w:val="continue"/>
                  <w:tcBorders>
                    <w:tl2br w:val="nil"/>
                    <w:tr2bl w:val="nil"/>
                  </w:tcBorders>
                  <w:noWrap w:val="0"/>
                  <w:vAlign w:val="center"/>
                </w:tcPr>
                <w:p w14:paraId="42C42DA5">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407" w:type="pct"/>
                  <w:vMerge w:val="continue"/>
                  <w:tcBorders>
                    <w:tl2br w:val="nil"/>
                    <w:tr2bl w:val="nil"/>
                  </w:tcBorders>
                  <w:noWrap w:val="0"/>
                  <w:vAlign w:val="center"/>
                </w:tcPr>
                <w:p w14:paraId="146D6AC1">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07" w:type="pct"/>
                  <w:tcBorders>
                    <w:tl2br w:val="nil"/>
                    <w:tr2bl w:val="nil"/>
                  </w:tcBorders>
                  <w:noWrap w:val="0"/>
                  <w:vAlign w:val="center"/>
                </w:tcPr>
                <w:p w14:paraId="561E070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非甲烷总烃</w:t>
                  </w:r>
                </w:p>
              </w:tc>
              <w:tc>
                <w:tcPr>
                  <w:tcW w:w="410" w:type="pct"/>
                  <w:tcBorders>
                    <w:tl2br w:val="nil"/>
                    <w:tr2bl w:val="nil"/>
                  </w:tcBorders>
                  <w:noWrap w:val="0"/>
                  <w:vAlign w:val="center"/>
                </w:tcPr>
                <w:p w14:paraId="516187B7">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r>
                    <w:rPr>
                      <w:rFonts w:hint="eastAsia"/>
                      <w:color w:val="auto"/>
                      <w:sz w:val="21"/>
                      <w:szCs w:val="21"/>
                      <w:lang w:val="en-US" w:eastAsia="zh-CN"/>
                    </w:rPr>
                    <w:t>028</w:t>
                  </w:r>
                </w:p>
              </w:tc>
              <w:tc>
                <w:tcPr>
                  <w:tcW w:w="476" w:type="pct"/>
                  <w:tcBorders>
                    <w:tl2br w:val="nil"/>
                    <w:tr2bl w:val="nil"/>
                  </w:tcBorders>
                  <w:shd w:val="clear" w:color="auto" w:fill="auto"/>
                  <w:noWrap w:val="0"/>
                  <w:vAlign w:val="center"/>
                </w:tcPr>
                <w:p w14:paraId="3C84077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0.202</w:t>
                  </w:r>
                </w:p>
              </w:tc>
              <w:tc>
                <w:tcPr>
                  <w:tcW w:w="619" w:type="pct"/>
                  <w:vMerge w:val="continue"/>
                  <w:tcBorders>
                    <w:tl2br w:val="nil"/>
                    <w:tr2bl w:val="nil"/>
                  </w:tcBorders>
                  <w:shd w:val="clear" w:color="auto" w:fill="auto"/>
                  <w:noWrap w:val="0"/>
                  <w:vAlign w:val="center"/>
                </w:tcPr>
                <w:p w14:paraId="45E95348">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42" w:type="pct"/>
                  <w:tcBorders>
                    <w:top w:val="single" w:color="auto" w:sz="4" w:space="0"/>
                    <w:tl2br w:val="nil"/>
                    <w:tr2bl w:val="nil"/>
                  </w:tcBorders>
                  <w:noWrap w:val="0"/>
                  <w:vAlign w:val="center"/>
                </w:tcPr>
                <w:p w14:paraId="5261D4A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rightChars="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非甲烷总烃</w:t>
                  </w:r>
                </w:p>
              </w:tc>
              <w:tc>
                <w:tcPr>
                  <w:tcW w:w="425" w:type="pct"/>
                  <w:tcBorders>
                    <w:tl2br w:val="nil"/>
                    <w:tr2bl w:val="nil"/>
                  </w:tcBorders>
                  <w:shd w:val="clear" w:color="auto" w:fill="auto"/>
                  <w:noWrap w:val="0"/>
                  <w:vAlign w:val="center"/>
                </w:tcPr>
                <w:p w14:paraId="273D2FE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434" w:type="pct"/>
                  <w:tcBorders>
                    <w:tl2br w:val="nil"/>
                    <w:tr2bl w:val="nil"/>
                  </w:tcBorders>
                  <w:shd w:val="clear" w:color="auto" w:fill="auto"/>
                  <w:noWrap w:val="0"/>
                  <w:vAlign w:val="center"/>
                </w:tcPr>
                <w:p w14:paraId="10740C12">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rightChars="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r>
                    <w:rPr>
                      <w:rFonts w:hint="eastAsia"/>
                      <w:color w:val="auto"/>
                      <w:sz w:val="21"/>
                      <w:szCs w:val="21"/>
                      <w:lang w:val="en-US" w:eastAsia="zh-CN"/>
                    </w:rPr>
                    <w:t>028</w:t>
                  </w:r>
                </w:p>
              </w:tc>
              <w:tc>
                <w:tcPr>
                  <w:tcW w:w="505" w:type="pct"/>
                  <w:tcBorders>
                    <w:tl2br w:val="nil"/>
                    <w:tr2bl w:val="nil"/>
                  </w:tcBorders>
                  <w:shd w:val="clear" w:color="auto" w:fill="auto"/>
                  <w:noWrap w:val="0"/>
                  <w:vAlign w:val="center"/>
                </w:tcPr>
                <w:p w14:paraId="58A7BC10">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0.202</w:t>
                  </w:r>
                </w:p>
              </w:tc>
            </w:tr>
            <w:tr w14:paraId="79AD2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197" w:type="pct"/>
                  <w:vMerge w:val="continue"/>
                  <w:tcBorders>
                    <w:tl2br w:val="nil"/>
                    <w:tr2bl w:val="nil"/>
                  </w:tcBorders>
                  <w:noWrap w:val="0"/>
                  <w:vAlign w:val="center"/>
                </w:tcPr>
                <w:p w14:paraId="6E41977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3" w:type="pct"/>
                  <w:gridSpan w:val="2"/>
                  <w:vMerge w:val="continue"/>
                  <w:tcBorders>
                    <w:tl2br w:val="nil"/>
                    <w:tr2bl w:val="nil"/>
                  </w:tcBorders>
                  <w:noWrap w:val="0"/>
                  <w:vAlign w:val="center"/>
                </w:tcPr>
                <w:p w14:paraId="4890102C">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407" w:type="pct"/>
                  <w:tcBorders>
                    <w:tl2br w:val="nil"/>
                    <w:tr2bl w:val="nil"/>
                  </w:tcBorders>
                  <w:noWrap w:val="0"/>
                  <w:vAlign w:val="center"/>
                </w:tcPr>
                <w:p w14:paraId="3F2C801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07" w:type="pct"/>
                  <w:tcBorders>
                    <w:tl2br w:val="nil"/>
                    <w:tr2bl w:val="nil"/>
                  </w:tcBorders>
                  <w:noWrap w:val="0"/>
                  <w:vAlign w:val="center"/>
                </w:tcPr>
                <w:p w14:paraId="0768571C">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臭气浓度</w:t>
                  </w:r>
                </w:p>
              </w:tc>
              <w:tc>
                <w:tcPr>
                  <w:tcW w:w="410" w:type="pct"/>
                  <w:tcBorders>
                    <w:tl2br w:val="nil"/>
                    <w:tr2bl w:val="nil"/>
                  </w:tcBorders>
                  <w:noWrap w:val="0"/>
                  <w:vAlign w:val="center"/>
                </w:tcPr>
                <w:p w14:paraId="1251B6E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20（无量纲）</w:t>
                  </w:r>
                </w:p>
              </w:tc>
              <w:tc>
                <w:tcPr>
                  <w:tcW w:w="476" w:type="pct"/>
                  <w:tcBorders>
                    <w:tl2br w:val="nil"/>
                    <w:tr2bl w:val="nil"/>
                  </w:tcBorders>
                  <w:shd w:val="clear" w:color="auto" w:fill="auto"/>
                  <w:noWrap w:val="0"/>
                  <w:vAlign w:val="center"/>
                </w:tcPr>
                <w:p w14:paraId="067E5763">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color w:val="auto"/>
                      <w:sz w:val="21"/>
                      <w:szCs w:val="21"/>
                      <w:lang w:val="en-US" w:eastAsia="zh-CN"/>
                    </w:rPr>
                    <w:t>—</w:t>
                  </w:r>
                </w:p>
              </w:tc>
              <w:tc>
                <w:tcPr>
                  <w:tcW w:w="619" w:type="pct"/>
                  <w:vMerge w:val="continue"/>
                  <w:tcBorders>
                    <w:tl2br w:val="nil"/>
                    <w:tr2bl w:val="nil"/>
                  </w:tcBorders>
                  <w:shd w:val="clear" w:color="auto" w:fill="auto"/>
                  <w:noWrap w:val="0"/>
                  <w:vAlign w:val="center"/>
                </w:tcPr>
                <w:p w14:paraId="109028A9">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42" w:type="pct"/>
                  <w:tcBorders>
                    <w:tl2br w:val="nil"/>
                    <w:tr2bl w:val="nil"/>
                  </w:tcBorders>
                  <w:noWrap w:val="0"/>
                  <w:vAlign w:val="center"/>
                </w:tcPr>
                <w:p w14:paraId="1925E651">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rightChars="0" w:firstLine="0" w:firstLineChars="0"/>
                    <w:textAlignment w:val="auto"/>
                    <w:rPr>
                      <w:rFonts w:hint="eastAsia" w:ascii="Times New Roman" w:hAnsi="Times New Roman" w:eastAsia="宋体"/>
                      <w:color w:val="auto"/>
                      <w:sz w:val="21"/>
                      <w:szCs w:val="21"/>
                      <w:lang w:val="en-US" w:eastAsia="zh-CN"/>
                    </w:rPr>
                  </w:pPr>
                  <w:r>
                    <w:rPr>
                      <w:rFonts w:hint="eastAsia"/>
                      <w:color w:val="auto"/>
                      <w:sz w:val="21"/>
                      <w:szCs w:val="21"/>
                      <w:lang w:val="en-US" w:eastAsia="zh-CN"/>
                    </w:rPr>
                    <w:t>臭气浓度</w:t>
                  </w:r>
                </w:p>
              </w:tc>
              <w:tc>
                <w:tcPr>
                  <w:tcW w:w="425" w:type="pct"/>
                  <w:tcBorders>
                    <w:tl2br w:val="nil"/>
                    <w:tr2bl w:val="nil"/>
                  </w:tcBorders>
                  <w:shd w:val="clear" w:color="auto" w:fill="auto"/>
                  <w:noWrap w:val="0"/>
                  <w:vAlign w:val="center"/>
                </w:tcPr>
                <w:p w14:paraId="000DC23A">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434" w:type="pct"/>
                  <w:tcBorders>
                    <w:tl2br w:val="nil"/>
                    <w:tr2bl w:val="nil"/>
                  </w:tcBorders>
                  <w:shd w:val="clear" w:color="auto" w:fill="auto"/>
                  <w:noWrap w:val="0"/>
                  <w:vAlign w:val="center"/>
                </w:tcPr>
                <w:p w14:paraId="6A0A3B56">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leftChars="0" w:right="0" w:rightChars="0" w:firstLine="0" w:firstLineChars="0"/>
                    <w:textAlignment w:val="auto"/>
                    <w:rPr>
                      <w:rFonts w:hint="eastAsia" w:ascii="Times New Roman" w:hAnsi="Times New Roman" w:eastAsia="宋体"/>
                      <w:color w:val="auto"/>
                      <w:sz w:val="21"/>
                      <w:szCs w:val="21"/>
                      <w:lang w:val="en-US" w:eastAsia="zh-CN"/>
                    </w:rPr>
                  </w:pPr>
                  <w:r>
                    <w:rPr>
                      <w:rFonts w:hint="eastAsia"/>
                      <w:color w:val="auto"/>
                      <w:sz w:val="21"/>
                      <w:szCs w:val="21"/>
                      <w:lang w:val="en-US" w:eastAsia="zh-CN"/>
                    </w:rPr>
                    <w:t>20（无量纲）</w:t>
                  </w:r>
                </w:p>
              </w:tc>
              <w:tc>
                <w:tcPr>
                  <w:tcW w:w="505" w:type="pct"/>
                  <w:tcBorders>
                    <w:tl2br w:val="nil"/>
                    <w:tr2bl w:val="nil"/>
                  </w:tcBorders>
                  <w:shd w:val="clear" w:color="auto" w:fill="auto"/>
                  <w:noWrap w:val="0"/>
                  <w:vAlign w:val="center"/>
                </w:tcPr>
                <w:p w14:paraId="42F56EFF">
                  <w:pPr>
                    <w:pStyle w:val="67"/>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r>
          </w:tbl>
          <w:p w14:paraId="1851120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p>
          <w:p w14:paraId="110A8AC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1.2废气污染物达标分析</w:t>
            </w:r>
          </w:p>
          <w:p w14:paraId="5F74A00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color w:val="auto"/>
              </w:rPr>
            </w:pPr>
            <w:r>
              <w:rPr>
                <w:rFonts w:hint="eastAsia" w:ascii="Times New Roman" w:hAnsi="Times New Roman" w:eastAsia="宋体" w:cs="Times New Roman"/>
                <w:color w:val="auto"/>
                <w:kern w:val="0"/>
                <w:szCs w:val="21"/>
                <w:lang w:val="en-US" w:eastAsia="zh-CN"/>
              </w:rPr>
              <w:t>由上表4-2可知，项目营运期有组织排放非甲烷总烃排放浓度为</w:t>
            </w:r>
            <w:r>
              <w:rPr>
                <w:rFonts w:hint="eastAsia" w:cs="Times New Roman"/>
                <w:color w:val="auto"/>
                <w:kern w:val="0"/>
                <w:szCs w:val="21"/>
                <w:lang w:val="en-US" w:eastAsia="zh-CN"/>
              </w:rPr>
              <w:t>3.04</w:t>
            </w:r>
            <w:r>
              <w:rPr>
                <w:rFonts w:hint="eastAsia" w:ascii="Times New Roman" w:hAnsi="Times New Roman" w:eastAsia="宋体" w:cs="Times New Roman"/>
                <w:color w:val="auto"/>
                <w:kern w:val="0"/>
                <w:szCs w:val="21"/>
                <w:lang w:val="en-US" w:eastAsia="zh-CN"/>
              </w:rPr>
              <w:t>mg/</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Cs w:val="21"/>
                <w:lang w:val="en-US" w:eastAsia="zh-CN"/>
              </w:rPr>
              <w:t>、颗粒物排放浓度为</w:t>
            </w:r>
            <w:r>
              <w:rPr>
                <w:rFonts w:hint="eastAsia" w:cs="Times New Roman"/>
                <w:color w:val="auto"/>
                <w:kern w:val="0"/>
                <w:szCs w:val="21"/>
                <w:lang w:val="en-US" w:eastAsia="zh-CN"/>
              </w:rPr>
              <w:t>7.96</w:t>
            </w:r>
            <w:r>
              <w:rPr>
                <w:rFonts w:hint="eastAsia" w:ascii="Times New Roman" w:hAnsi="Times New Roman" w:eastAsia="宋体" w:cs="Times New Roman"/>
                <w:color w:val="auto"/>
                <w:kern w:val="0"/>
                <w:szCs w:val="21"/>
                <w:lang w:val="en-US" w:eastAsia="zh-CN"/>
              </w:rPr>
              <w:t>mg/</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Cs w:val="21"/>
                <w:lang w:val="en-US" w:eastAsia="zh-CN"/>
              </w:rPr>
              <w:t>，满足《合成树脂工业污染物排放标准》（GB31572-2015</w:t>
            </w:r>
            <w:r>
              <w:rPr>
                <w:rFonts w:hint="eastAsia" w:cs="Times New Roman"/>
                <w:b w:val="0"/>
                <w:bCs w:val="0"/>
                <w:color w:val="auto"/>
                <w:szCs w:val="21"/>
                <w:lang w:val="zh-CN" w:eastAsia="zh-CN"/>
              </w:rPr>
              <w:t>，</w:t>
            </w:r>
            <w:r>
              <w:rPr>
                <w:rFonts w:hint="eastAsia" w:cs="Times New Roman"/>
                <w:b w:val="0"/>
                <w:bCs w:val="0"/>
                <w:color w:val="auto"/>
                <w:szCs w:val="21"/>
                <w:lang w:val="en-US" w:eastAsia="zh-CN"/>
              </w:rPr>
              <w:t>含2024年修改单</w:t>
            </w:r>
            <w:r>
              <w:rPr>
                <w:rFonts w:hint="eastAsia" w:ascii="Times New Roman" w:hAnsi="Times New Roman" w:eastAsia="宋体" w:cs="Times New Roman"/>
                <w:color w:val="auto"/>
                <w:kern w:val="0"/>
                <w:szCs w:val="21"/>
                <w:lang w:val="en-US" w:eastAsia="zh-CN"/>
              </w:rPr>
              <w:t>）表5中非甲烷总烃排放浓度60mg/</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Cs w:val="21"/>
                <w:lang w:val="en-US" w:eastAsia="zh-CN"/>
              </w:rPr>
              <w:t>及颗粒物排放浓度20mg/</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Cs w:val="21"/>
                <w:lang w:val="en-US" w:eastAsia="zh-CN"/>
              </w:rPr>
              <w:t>要求。</w:t>
            </w:r>
          </w:p>
          <w:p w14:paraId="154A977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eastAsia="宋体"/>
                <w:color w:val="auto"/>
                <w:lang w:val="en-US" w:eastAsia="zh-CN"/>
              </w:rPr>
            </w:pPr>
            <w:r>
              <w:rPr>
                <w:rFonts w:hint="eastAsia"/>
                <w:color w:val="auto"/>
                <w:lang w:val="en-US" w:eastAsia="zh-CN"/>
              </w:rPr>
              <w:t>本项目产品重量为2760t/a，非甲烷总烃排放量为0.596t/a，则单位产品非甲烷总烃排放量0.216kg/t，小于《合成树脂工业污染物排放标准》(GB31572-2015</w:t>
            </w:r>
            <w:r>
              <w:rPr>
                <w:rFonts w:hint="eastAsia" w:cs="Times New Roman"/>
                <w:b w:val="0"/>
                <w:bCs w:val="0"/>
                <w:color w:val="auto"/>
                <w:szCs w:val="21"/>
                <w:lang w:val="zh-CN" w:eastAsia="zh-CN"/>
              </w:rPr>
              <w:t>，</w:t>
            </w:r>
            <w:r>
              <w:rPr>
                <w:rFonts w:hint="eastAsia" w:cs="Times New Roman"/>
                <w:b w:val="0"/>
                <w:bCs w:val="0"/>
                <w:color w:val="auto"/>
                <w:szCs w:val="21"/>
                <w:lang w:val="en-US" w:eastAsia="zh-CN"/>
              </w:rPr>
              <w:t>含2024年修改单</w:t>
            </w:r>
            <w:r>
              <w:rPr>
                <w:rFonts w:hint="eastAsia"/>
                <w:color w:val="auto"/>
                <w:lang w:val="en-US" w:eastAsia="zh-CN"/>
              </w:rPr>
              <w:t>)</w:t>
            </w:r>
            <w:r>
              <w:rPr>
                <w:rFonts w:hint="eastAsia" w:ascii="Times New Roman" w:hAnsi="Times New Roman" w:eastAsia="宋体" w:cs="Times New Roman"/>
                <w:color w:val="auto"/>
                <w:kern w:val="0"/>
                <w:szCs w:val="21"/>
                <w:lang w:val="en-US" w:eastAsia="zh-CN"/>
              </w:rPr>
              <w:t>表5</w:t>
            </w:r>
            <w:r>
              <w:rPr>
                <w:rFonts w:hint="eastAsia"/>
                <w:color w:val="auto"/>
                <w:lang w:val="en-US" w:eastAsia="zh-CN"/>
              </w:rPr>
              <w:t>中单位产品非甲烷总烃排放量0.3kg/t的要求，达标排放。</w:t>
            </w:r>
          </w:p>
          <w:p w14:paraId="68D2638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1.3非正常工况排放</w:t>
            </w:r>
          </w:p>
          <w:p w14:paraId="2BC7AEF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本项目的非正常情况主要发生在</w:t>
            </w:r>
            <w:r>
              <w:rPr>
                <w:rFonts w:hint="eastAsia" w:ascii="Times New Roman" w:hAnsi="Times New Roman" w:eastAsia="宋体" w:cs="Times New Roman"/>
                <w:color w:val="auto"/>
                <w:kern w:val="0"/>
                <w:szCs w:val="21"/>
                <w:lang w:val="en-US" w:eastAsia="zh-CN"/>
              </w:rPr>
              <w:t>净化装置出现故障时候</w:t>
            </w: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故障</w:t>
            </w:r>
            <w:r>
              <w:rPr>
                <w:rFonts w:hint="default" w:ascii="Times New Roman" w:hAnsi="Times New Roman" w:eastAsia="宋体" w:cs="Times New Roman"/>
                <w:color w:val="auto"/>
                <w:kern w:val="0"/>
                <w:szCs w:val="21"/>
                <w:lang w:val="en-US" w:eastAsia="zh-CN"/>
              </w:rPr>
              <w:t>时污染物排放控制措施效率为0%的情况，造成废气污染物未经净化直接排放，</w:t>
            </w:r>
            <w:r>
              <w:rPr>
                <w:rFonts w:hint="eastAsia" w:cs="Times New Roman"/>
                <w:color w:val="auto"/>
                <w:kern w:val="0"/>
                <w:szCs w:val="21"/>
                <w:lang w:val="en-US" w:eastAsia="zh-CN"/>
              </w:rPr>
              <w:t>单次持续时间为1h，每年发生频次为1次，</w:t>
            </w:r>
            <w:r>
              <w:rPr>
                <w:rFonts w:hint="default" w:ascii="Times New Roman" w:hAnsi="Times New Roman" w:eastAsia="宋体" w:cs="Times New Roman"/>
                <w:color w:val="auto"/>
                <w:kern w:val="0"/>
                <w:szCs w:val="21"/>
                <w:lang w:val="en-US" w:eastAsia="zh-CN"/>
              </w:rPr>
              <w:t>其排放情况如表所示。</w:t>
            </w:r>
          </w:p>
          <w:p w14:paraId="7E2EE5CA">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w:t>
            </w:r>
            <w:r>
              <w:rPr>
                <w:rFonts w:hint="eastAsia" w:ascii="Times New Roman" w:hAnsi="Times New Roman" w:eastAsia="宋体" w:cs="Times New Roman"/>
                <w:b/>
                <w:bCs/>
                <w:color w:val="auto"/>
                <w:sz w:val="24"/>
                <w:lang w:val="en-US" w:eastAsia="zh-CN"/>
              </w:rPr>
              <w:t>3</w:t>
            </w:r>
            <w:r>
              <w:rPr>
                <w:rFonts w:hint="default" w:ascii="Times New Roman" w:hAnsi="Times New Roman" w:eastAsia="宋体" w:cs="Times New Roman"/>
                <w:b/>
                <w:bCs/>
                <w:color w:val="auto"/>
                <w:sz w:val="24"/>
                <w:lang w:val="en-US" w:eastAsia="zh-CN"/>
              </w:rPr>
              <w:t>项目非正常工况废气排放情况</w:t>
            </w:r>
          </w:p>
          <w:tbl>
            <w:tblPr>
              <w:tblStyle w:val="24"/>
              <w:tblW w:w="484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3"/>
              <w:gridCol w:w="1785"/>
              <w:gridCol w:w="1073"/>
              <w:gridCol w:w="1364"/>
              <w:gridCol w:w="1198"/>
              <w:gridCol w:w="1618"/>
            </w:tblGrid>
            <w:tr w14:paraId="417A3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 w:hRule="atLeast"/>
                <w:jc w:val="center"/>
              </w:trPr>
              <w:tc>
                <w:tcPr>
                  <w:tcW w:w="745" w:type="pct"/>
                  <w:noWrap w:val="0"/>
                  <w:tcMar>
                    <w:top w:w="80" w:type="dxa"/>
                    <w:left w:w="80" w:type="dxa"/>
                    <w:bottom w:w="80" w:type="dxa"/>
                    <w:right w:w="80" w:type="dxa"/>
                  </w:tcMar>
                  <w:vAlign w:val="center"/>
                </w:tcPr>
                <w:p w14:paraId="662C441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废气产污</w:t>
                  </w:r>
                </w:p>
                <w:p w14:paraId="753F2F1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环节</w:t>
                  </w:r>
                </w:p>
              </w:tc>
              <w:tc>
                <w:tcPr>
                  <w:tcW w:w="1079" w:type="pct"/>
                  <w:noWrap w:val="0"/>
                  <w:tcMar>
                    <w:top w:w="80" w:type="dxa"/>
                    <w:left w:w="80" w:type="dxa"/>
                    <w:bottom w:w="80" w:type="dxa"/>
                    <w:right w:w="80" w:type="dxa"/>
                  </w:tcMar>
                  <w:vAlign w:val="center"/>
                </w:tcPr>
                <w:p w14:paraId="283B909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非正常排放原因</w:t>
                  </w:r>
                </w:p>
              </w:tc>
              <w:tc>
                <w:tcPr>
                  <w:tcW w:w="648" w:type="pct"/>
                  <w:noWrap w:val="0"/>
                  <w:tcMar>
                    <w:top w:w="80" w:type="dxa"/>
                    <w:left w:w="80" w:type="dxa"/>
                    <w:bottom w:w="80" w:type="dxa"/>
                    <w:right w:w="80" w:type="dxa"/>
                  </w:tcMar>
                  <w:vAlign w:val="center"/>
                </w:tcPr>
                <w:p w14:paraId="57A47CA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污染物</w:t>
                  </w:r>
                </w:p>
              </w:tc>
              <w:tc>
                <w:tcPr>
                  <w:tcW w:w="824" w:type="pct"/>
                  <w:noWrap w:val="0"/>
                  <w:tcMar>
                    <w:top w:w="80" w:type="dxa"/>
                    <w:left w:w="80" w:type="dxa"/>
                    <w:bottom w:w="80" w:type="dxa"/>
                    <w:right w:w="80" w:type="dxa"/>
                  </w:tcMar>
                  <w:vAlign w:val="center"/>
                </w:tcPr>
                <w:p w14:paraId="548BCB4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单次持续时间/h</w:t>
                  </w:r>
                </w:p>
              </w:tc>
              <w:tc>
                <w:tcPr>
                  <w:tcW w:w="724" w:type="pct"/>
                  <w:noWrap w:val="0"/>
                  <w:tcMar>
                    <w:top w:w="80" w:type="dxa"/>
                    <w:left w:w="80" w:type="dxa"/>
                    <w:bottom w:w="80" w:type="dxa"/>
                    <w:right w:w="80" w:type="dxa"/>
                  </w:tcMar>
                  <w:vAlign w:val="center"/>
                </w:tcPr>
                <w:p w14:paraId="300380C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年发生频次</w:t>
                  </w:r>
                </w:p>
              </w:tc>
              <w:tc>
                <w:tcPr>
                  <w:tcW w:w="978" w:type="pct"/>
                  <w:noWrap w:val="0"/>
                  <w:tcMar>
                    <w:top w:w="80" w:type="dxa"/>
                    <w:left w:w="80" w:type="dxa"/>
                    <w:bottom w:w="80" w:type="dxa"/>
                    <w:right w:w="80" w:type="dxa"/>
                  </w:tcMar>
                  <w:vAlign w:val="center"/>
                </w:tcPr>
                <w:p w14:paraId="00B16AE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排放量</w:t>
                  </w:r>
                  <w:r>
                    <w:rPr>
                      <w:rFonts w:hint="eastAsia" w:ascii="Times New Roman" w:hAnsi="Times New Roman" w:eastAsia="宋体"/>
                      <w:color w:val="auto"/>
                      <w:sz w:val="21"/>
                      <w:szCs w:val="21"/>
                      <w:lang w:val="en-US" w:eastAsia="zh-CN"/>
                    </w:rPr>
                    <w:t>kg</w:t>
                  </w:r>
                  <w:r>
                    <w:rPr>
                      <w:rFonts w:hint="default" w:ascii="Times New Roman" w:hAnsi="Times New Roman" w:eastAsia="宋体"/>
                      <w:color w:val="auto"/>
                      <w:sz w:val="21"/>
                      <w:szCs w:val="21"/>
                      <w:lang w:val="en-US" w:eastAsia="zh-CN"/>
                    </w:rPr>
                    <w:t>/a</w:t>
                  </w:r>
                </w:p>
              </w:tc>
            </w:tr>
            <w:tr w14:paraId="58057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jc w:val="center"/>
              </w:trPr>
              <w:tc>
                <w:tcPr>
                  <w:tcW w:w="745" w:type="pct"/>
                  <w:noWrap w:val="0"/>
                  <w:tcMar>
                    <w:top w:w="80" w:type="dxa"/>
                    <w:left w:w="80" w:type="dxa"/>
                    <w:bottom w:w="80" w:type="dxa"/>
                    <w:right w:w="80" w:type="dxa"/>
                  </w:tcMar>
                  <w:vAlign w:val="center"/>
                </w:tcPr>
                <w:p w14:paraId="15D3974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原料混合干燥、吹塑成型</w:t>
                  </w:r>
                </w:p>
              </w:tc>
              <w:tc>
                <w:tcPr>
                  <w:tcW w:w="1079" w:type="pct"/>
                  <w:vMerge w:val="restart"/>
                  <w:noWrap w:val="0"/>
                  <w:tcMar>
                    <w:top w:w="80" w:type="dxa"/>
                    <w:left w:w="80" w:type="dxa"/>
                    <w:bottom w:w="80" w:type="dxa"/>
                    <w:right w:w="80" w:type="dxa"/>
                  </w:tcMar>
                  <w:vAlign w:val="center"/>
                </w:tcPr>
                <w:p w14:paraId="09875D3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废气处理装置故障</w:t>
                  </w:r>
                  <w:r>
                    <w:rPr>
                      <w:rFonts w:hint="default" w:ascii="Times New Roman" w:hAnsi="Times New Roman" w:eastAsia="宋体"/>
                      <w:color w:val="auto"/>
                      <w:sz w:val="21"/>
                      <w:szCs w:val="21"/>
                      <w:lang w:val="en-US" w:eastAsia="zh-CN"/>
                    </w:rPr>
                    <w:t>，处理效率下降至0%</w:t>
                  </w:r>
                </w:p>
              </w:tc>
              <w:tc>
                <w:tcPr>
                  <w:tcW w:w="648" w:type="pct"/>
                  <w:noWrap w:val="0"/>
                  <w:tcMar>
                    <w:top w:w="80" w:type="dxa"/>
                    <w:left w:w="80" w:type="dxa"/>
                    <w:bottom w:w="80" w:type="dxa"/>
                    <w:right w:w="80" w:type="dxa"/>
                  </w:tcMar>
                  <w:vAlign w:val="center"/>
                </w:tcPr>
                <w:p w14:paraId="38BE8D0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非甲烷总烃</w:t>
                  </w:r>
                </w:p>
              </w:tc>
              <w:tc>
                <w:tcPr>
                  <w:tcW w:w="824" w:type="pct"/>
                  <w:vMerge w:val="restart"/>
                  <w:noWrap w:val="0"/>
                  <w:tcMar>
                    <w:top w:w="80" w:type="dxa"/>
                    <w:left w:w="80" w:type="dxa"/>
                    <w:bottom w:w="80" w:type="dxa"/>
                    <w:right w:w="80" w:type="dxa"/>
                  </w:tcMar>
                  <w:vAlign w:val="center"/>
                </w:tcPr>
                <w:p w14:paraId="36FD8C4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1</w:t>
                  </w:r>
                </w:p>
              </w:tc>
              <w:tc>
                <w:tcPr>
                  <w:tcW w:w="724" w:type="pct"/>
                  <w:vMerge w:val="restart"/>
                  <w:noWrap w:val="0"/>
                  <w:tcMar>
                    <w:top w:w="80" w:type="dxa"/>
                    <w:left w:w="80" w:type="dxa"/>
                    <w:bottom w:w="80" w:type="dxa"/>
                    <w:right w:w="80" w:type="dxa"/>
                  </w:tcMar>
                  <w:vAlign w:val="center"/>
                </w:tcPr>
                <w:p w14:paraId="349C624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1</w:t>
                  </w:r>
                </w:p>
              </w:tc>
              <w:tc>
                <w:tcPr>
                  <w:tcW w:w="978" w:type="pct"/>
                  <w:noWrap w:val="0"/>
                  <w:tcMar>
                    <w:top w:w="80" w:type="dxa"/>
                    <w:left w:w="80" w:type="dxa"/>
                    <w:bottom w:w="80" w:type="dxa"/>
                    <w:right w:w="80" w:type="dxa"/>
                  </w:tcMar>
                  <w:vAlign w:val="center"/>
                </w:tcPr>
                <w:p w14:paraId="351B0F3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0.575</w:t>
                  </w:r>
                </w:p>
              </w:tc>
            </w:tr>
            <w:tr w14:paraId="44034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 w:hRule="atLeast"/>
                <w:jc w:val="center"/>
              </w:trPr>
              <w:tc>
                <w:tcPr>
                  <w:tcW w:w="745" w:type="pct"/>
                  <w:noWrap w:val="0"/>
                  <w:tcMar>
                    <w:top w:w="80" w:type="dxa"/>
                    <w:left w:w="80" w:type="dxa"/>
                    <w:bottom w:w="80" w:type="dxa"/>
                    <w:right w:w="80" w:type="dxa"/>
                  </w:tcMar>
                  <w:vAlign w:val="center"/>
                </w:tcPr>
                <w:p w14:paraId="5C98619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原料混合干燥、吹塑成型、修边粉碎、焊接打磨过程</w:t>
                  </w:r>
                </w:p>
              </w:tc>
              <w:tc>
                <w:tcPr>
                  <w:tcW w:w="1079" w:type="pct"/>
                  <w:vMerge w:val="continue"/>
                  <w:tcBorders/>
                  <w:noWrap w:val="0"/>
                  <w:tcMar>
                    <w:top w:w="80" w:type="dxa"/>
                    <w:left w:w="80" w:type="dxa"/>
                    <w:bottom w:w="80" w:type="dxa"/>
                    <w:right w:w="80" w:type="dxa"/>
                  </w:tcMar>
                  <w:vAlign w:val="center"/>
                </w:tcPr>
                <w:p w14:paraId="171E399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48" w:type="pct"/>
                  <w:noWrap w:val="0"/>
                  <w:tcMar>
                    <w:top w:w="80" w:type="dxa"/>
                    <w:left w:w="80" w:type="dxa"/>
                    <w:bottom w:w="80" w:type="dxa"/>
                    <w:right w:w="80" w:type="dxa"/>
                  </w:tcMar>
                  <w:vAlign w:val="center"/>
                </w:tcPr>
                <w:p w14:paraId="76B1528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颗粒物</w:t>
                  </w:r>
                </w:p>
              </w:tc>
              <w:tc>
                <w:tcPr>
                  <w:tcW w:w="824" w:type="pct"/>
                  <w:vMerge w:val="continue"/>
                  <w:noWrap w:val="0"/>
                  <w:tcMar>
                    <w:top w:w="80" w:type="dxa"/>
                    <w:left w:w="80" w:type="dxa"/>
                    <w:bottom w:w="80" w:type="dxa"/>
                    <w:right w:w="80" w:type="dxa"/>
                  </w:tcMar>
                  <w:vAlign w:val="center"/>
                </w:tcPr>
                <w:p w14:paraId="39BBF7D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724" w:type="pct"/>
                  <w:vMerge w:val="continue"/>
                  <w:noWrap w:val="0"/>
                  <w:tcMar>
                    <w:top w:w="80" w:type="dxa"/>
                    <w:left w:w="80" w:type="dxa"/>
                    <w:bottom w:w="80" w:type="dxa"/>
                    <w:right w:w="80" w:type="dxa"/>
                  </w:tcMar>
                  <w:vAlign w:val="center"/>
                </w:tcPr>
                <w:p w14:paraId="7E57816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978" w:type="pct"/>
                  <w:noWrap w:val="0"/>
                  <w:tcMar>
                    <w:top w:w="80" w:type="dxa"/>
                    <w:left w:w="80" w:type="dxa"/>
                    <w:bottom w:w="80" w:type="dxa"/>
                    <w:right w:w="80" w:type="dxa"/>
                  </w:tcMar>
                  <w:vAlign w:val="center"/>
                </w:tcPr>
                <w:p w14:paraId="0B91A0D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3.581</w:t>
                  </w:r>
                </w:p>
              </w:tc>
            </w:tr>
            <w:tr w14:paraId="5DA9B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 w:hRule="atLeast"/>
                <w:jc w:val="center"/>
              </w:trPr>
              <w:tc>
                <w:tcPr>
                  <w:tcW w:w="745" w:type="pct"/>
                  <w:noWrap w:val="0"/>
                  <w:tcMar>
                    <w:top w:w="80" w:type="dxa"/>
                    <w:left w:w="80" w:type="dxa"/>
                    <w:bottom w:w="80" w:type="dxa"/>
                    <w:right w:w="80" w:type="dxa"/>
                  </w:tcMar>
                  <w:vAlign w:val="center"/>
                </w:tcPr>
                <w:p w14:paraId="1286A4E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吹塑工序</w:t>
                  </w:r>
                </w:p>
              </w:tc>
              <w:tc>
                <w:tcPr>
                  <w:tcW w:w="1079" w:type="pct"/>
                  <w:vMerge w:val="continue"/>
                  <w:tcBorders/>
                  <w:noWrap w:val="0"/>
                  <w:tcMar>
                    <w:top w:w="80" w:type="dxa"/>
                    <w:left w:w="80" w:type="dxa"/>
                    <w:bottom w:w="80" w:type="dxa"/>
                    <w:right w:w="80" w:type="dxa"/>
                  </w:tcMar>
                  <w:vAlign w:val="center"/>
                </w:tcPr>
                <w:p w14:paraId="3072CC2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48" w:type="pct"/>
                  <w:noWrap w:val="0"/>
                  <w:tcMar>
                    <w:top w:w="80" w:type="dxa"/>
                    <w:left w:w="80" w:type="dxa"/>
                    <w:bottom w:w="80" w:type="dxa"/>
                    <w:right w:w="80" w:type="dxa"/>
                  </w:tcMar>
                  <w:vAlign w:val="center"/>
                </w:tcPr>
                <w:p w14:paraId="279AB9D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臭气浓度</w:t>
                  </w:r>
                </w:p>
              </w:tc>
              <w:tc>
                <w:tcPr>
                  <w:tcW w:w="824" w:type="pct"/>
                  <w:noWrap w:val="0"/>
                  <w:tcMar>
                    <w:top w:w="80" w:type="dxa"/>
                    <w:left w:w="80" w:type="dxa"/>
                    <w:bottom w:w="80" w:type="dxa"/>
                    <w:right w:w="80" w:type="dxa"/>
                  </w:tcMar>
                  <w:vAlign w:val="center"/>
                </w:tcPr>
                <w:p w14:paraId="2593475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w:t>
                  </w:r>
                </w:p>
              </w:tc>
              <w:tc>
                <w:tcPr>
                  <w:tcW w:w="724" w:type="pct"/>
                  <w:noWrap w:val="0"/>
                  <w:tcMar>
                    <w:top w:w="80" w:type="dxa"/>
                    <w:left w:w="80" w:type="dxa"/>
                    <w:bottom w:w="80" w:type="dxa"/>
                    <w:right w:w="80" w:type="dxa"/>
                  </w:tcMar>
                  <w:vAlign w:val="center"/>
                </w:tcPr>
                <w:p w14:paraId="7DEA86D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w:t>
                  </w:r>
                </w:p>
              </w:tc>
              <w:tc>
                <w:tcPr>
                  <w:tcW w:w="978" w:type="pct"/>
                  <w:noWrap w:val="0"/>
                  <w:tcMar>
                    <w:top w:w="80" w:type="dxa"/>
                    <w:left w:w="80" w:type="dxa"/>
                    <w:bottom w:w="80" w:type="dxa"/>
                    <w:right w:w="80" w:type="dxa"/>
                  </w:tcMar>
                  <w:vAlign w:val="center"/>
                </w:tcPr>
                <w:p w14:paraId="4B0EA9A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1200（无量纲）</w:t>
                  </w:r>
                </w:p>
              </w:tc>
            </w:tr>
          </w:tbl>
          <w:p w14:paraId="6E4672B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为减少对环境的影响</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保证净化设施的正常运行，要求企业</w:t>
            </w:r>
            <w:r>
              <w:rPr>
                <w:rFonts w:hint="eastAsia" w:cs="Times New Roman"/>
                <w:color w:val="auto"/>
                <w:kern w:val="0"/>
                <w:szCs w:val="21"/>
                <w:lang w:val="en-US" w:eastAsia="zh-CN"/>
              </w:rPr>
              <w:t>：</w:t>
            </w:r>
          </w:p>
          <w:p w14:paraId="6377315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定期对废气净化设施进行检查，确保其正常工作状态</w:t>
            </w:r>
            <w:r>
              <w:rPr>
                <w:rFonts w:hint="eastAsia"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设置专人负责，保证正常去除效率。检查、核查等工作做好记录，一旦发现问题，应立即停止生产工序，待净化设施等恢复正常工作并稳定废气去除效率后，开工生产，杜绝废气排放事故发生。加强企业的运行管理，设立专门人员负责厂内环保设施管理、监测等工作。</w:t>
            </w:r>
          </w:p>
          <w:p w14:paraId="6BD26ED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1.4废气治理措施可行性分析</w:t>
            </w:r>
          </w:p>
          <w:p w14:paraId="5D4BC85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制桶车间</w:t>
            </w:r>
            <w:r>
              <w:rPr>
                <w:rFonts w:hint="default" w:ascii="Times New Roman" w:hAnsi="Times New Roman" w:eastAsia="宋体" w:cs="Times New Roman"/>
                <w:color w:val="auto"/>
                <w:kern w:val="0"/>
                <w:szCs w:val="21"/>
                <w:lang w:val="en-US" w:eastAsia="zh-CN"/>
              </w:rPr>
              <w:t>产生的污染物</w:t>
            </w:r>
            <w:r>
              <w:rPr>
                <w:rFonts w:hint="eastAsia" w:ascii="Times New Roman" w:hAnsi="Times New Roman" w:eastAsia="宋体" w:cs="Times New Roman"/>
                <w:color w:val="auto"/>
                <w:kern w:val="0"/>
                <w:szCs w:val="21"/>
                <w:lang w:val="en-US" w:eastAsia="zh-CN"/>
              </w:rPr>
              <w:t>经集气罩</w:t>
            </w:r>
            <w:r>
              <w:rPr>
                <w:rFonts w:hint="eastAsia" w:ascii="Times New Roman" w:hAnsi="Times New Roman" w:cs="Times New Roman"/>
                <w:color w:val="auto"/>
                <w:sz w:val="24"/>
                <w:szCs w:val="24"/>
                <w:lang w:val="en-US" w:eastAsia="zh-CN"/>
              </w:rPr>
              <w:t>+</w:t>
            </w:r>
            <w:r>
              <w:rPr>
                <w:rFonts w:hint="eastAsia" w:cs="Times New Roman"/>
                <w:color w:val="auto"/>
                <w:kern w:val="0"/>
                <w:szCs w:val="21"/>
                <w:lang w:val="en-US" w:eastAsia="zh-CN"/>
              </w:rPr>
              <w:t>袋式</w:t>
            </w:r>
            <w:r>
              <w:rPr>
                <w:rFonts w:hint="eastAsia" w:ascii="Times New Roman" w:hAnsi="Times New Roman" w:eastAsia="宋体" w:cs="Times New Roman"/>
                <w:color w:val="auto"/>
                <w:kern w:val="0"/>
                <w:szCs w:val="21"/>
                <w:lang w:val="en-US" w:eastAsia="zh-CN"/>
              </w:rPr>
              <w:t>除尘</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光催化</w:t>
            </w:r>
            <w:r>
              <w:rPr>
                <w:rFonts w:hint="eastAsia" w:ascii="Times New Roman" w:hAnsi="Times New Roman" w:cs="Times New Roman"/>
                <w:color w:val="auto"/>
                <w:sz w:val="24"/>
                <w:szCs w:val="24"/>
                <w:lang w:val="en-US" w:eastAsia="zh-CN"/>
              </w:rPr>
              <w:t>+</w:t>
            </w:r>
            <w:r>
              <w:rPr>
                <w:rFonts w:hint="eastAsia" w:cs="Times New Roman"/>
                <w:color w:val="auto"/>
                <w:sz w:val="24"/>
                <w:szCs w:val="24"/>
                <w:lang w:val="en-US" w:eastAsia="zh-CN"/>
              </w:rPr>
              <w:t>二级</w:t>
            </w:r>
            <w:r>
              <w:rPr>
                <w:rFonts w:hint="eastAsia" w:ascii="Times New Roman" w:hAnsi="Times New Roman" w:eastAsia="宋体" w:cs="Times New Roman"/>
                <w:color w:val="auto"/>
                <w:kern w:val="0"/>
                <w:szCs w:val="21"/>
                <w:lang w:val="en-US" w:eastAsia="zh-CN"/>
              </w:rPr>
              <w:t>活性炭吸附</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15m高排气筒（DA001）排放</w:t>
            </w:r>
            <w:r>
              <w:rPr>
                <w:rFonts w:hint="default" w:ascii="Times New Roman" w:hAnsi="Times New Roman" w:eastAsia="宋体" w:cs="Times New Roman"/>
                <w:color w:val="auto"/>
                <w:kern w:val="0"/>
                <w:szCs w:val="21"/>
                <w:lang w:val="en-US" w:eastAsia="zh-CN"/>
              </w:rPr>
              <w:t>，非甲烷总烃、粉尘排放</w:t>
            </w:r>
            <w:r>
              <w:rPr>
                <w:rFonts w:hint="eastAsia" w:ascii="Times New Roman" w:hAnsi="Times New Roman" w:eastAsia="宋体" w:cs="Times New Roman"/>
                <w:color w:val="auto"/>
                <w:kern w:val="0"/>
                <w:szCs w:val="21"/>
                <w:lang w:val="en-US" w:eastAsia="zh-CN"/>
              </w:rPr>
              <w:t>速率</w:t>
            </w:r>
            <w:r>
              <w:rPr>
                <w:rFonts w:hint="default" w:ascii="Times New Roman" w:hAnsi="Times New Roman" w:eastAsia="宋体" w:cs="Times New Roman"/>
                <w:color w:val="auto"/>
                <w:kern w:val="0"/>
                <w:szCs w:val="21"/>
                <w:lang w:val="en-US" w:eastAsia="zh-CN"/>
              </w:rPr>
              <w:t>均可满足</w:t>
            </w:r>
            <w:r>
              <w:rPr>
                <w:rFonts w:hint="eastAsia" w:ascii="Times New Roman" w:hAnsi="Times New Roman" w:eastAsia="宋体" w:cs="Times New Roman"/>
                <w:color w:val="auto"/>
                <w:kern w:val="0"/>
                <w:szCs w:val="21"/>
                <w:lang w:val="en-US" w:eastAsia="zh-CN"/>
              </w:rPr>
              <w:t>《合成树脂工业污染物排放标准》（GB31572-2015</w:t>
            </w:r>
            <w:r>
              <w:rPr>
                <w:rFonts w:hint="eastAsia" w:cs="Times New Roman"/>
                <w:b w:val="0"/>
                <w:bCs w:val="0"/>
                <w:color w:val="auto"/>
                <w:szCs w:val="21"/>
                <w:lang w:val="zh-CN" w:eastAsia="zh-CN"/>
              </w:rPr>
              <w:t>，</w:t>
            </w:r>
            <w:r>
              <w:rPr>
                <w:rFonts w:hint="eastAsia" w:cs="Times New Roman"/>
                <w:b w:val="0"/>
                <w:bCs w:val="0"/>
                <w:color w:val="auto"/>
                <w:szCs w:val="21"/>
                <w:lang w:val="en-US" w:eastAsia="zh-CN"/>
              </w:rPr>
              <w:t>含2024年修改单</w:t>
            </w:r>
            <w:r>
              <w:rPr>
                <w:rFonts w:hint="eastAsia" w:ascii="Times New Roman" w:hAnsi="Times New Roman" w:eastAsia="宋体" w:cs="Times New Roman"/>
                <w:color w:val="auto"/>
                <w:kern w:val="0"/>
                <w:szCs w:val="21"/>
                <w:lang w:val="en-US" w:eastAsia="zh-CN"/>
              </w:rPr>
              <w:t>）表5污染物特别排放限制和表9</w:t>
            </w:r>
            <w:r>
              <w:rPr>
                <w:rFonts w:hint="eastAsia"/>
                <w:color w:val="auto"/>
                <w:lang w:val="en-US" w:eastAsia="zh-CN"/>
              </w:rPr>
              <w:t>污染物浓度限值</w:t>
            </w:r>
            <w:r>
              <w:rPr>
                <w:rFonts w:hint="eastAsia" w:ascii="Times New Roman" w:hAnsi="Times New Roman" w:eastAsia="宋体" w:cs="Times New Roman"/>
                <w:color w:val="auto"/>
                <w:kern w:val="0"/>
                <w:szCs w:val="21"/>
                <w:lang w:val="en-US" w:eastAsia="zh-CN"/>
              </w:rPr>
              <w:t>要求。</w:t>
            </w:r>
          </w:p>
          <w:p w14:paraId="40E4259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经过类比此类项目，</w:t>
            </w:r>
            <w:r>
              <w:rPr>
                <w:rFonts w:hint="eastAsia" w:ascii="Times New Roman" w:hAnsi="Times New Roman" w:eastAsia="宋体" w:cs="Times New Roman"/>
                <w:color w:val="auto"/>
                <w:kern w:val="0"/>
                <w:szCs w:val="21"/>
                <w:lang w:val="en-US" w:eastAsia="zh-CN"/>
              </w:rPr>
              <w:t>塑料内容器</w:t>
            </w:r>
            <w:r>
              <w:rPr>
                <w:rFonts w:hint="default" w:ascii="宋体" w:hAnsi="宋体" w:eastAsia="宋体" w:cs="宋体"/>
                <w:color w:val="auto"/>
                <w:sz w:val="24"/>
                <w:szCs w:val="24"/>
              </w:rPr>
              <w:t>及金属钢架</w:t>
            </w:r>
            <w:r>
              <w:rPr>
                <w:rFonts w:hint="eastAsia" w:ascii="宋体" w:hAnsi="宋体" w:cs="宋体"/>
                <w:color w:val="auto"/>
                <w:sz w:val="24"/>
                <w:szCs w:val="24"/>
                <w:lang w:val="en-US" w:eastAsia="zh-CN"/>
              </w:rPr>
              <w:t>制作过程</w:t>
            </w:r>
            <w:r>
              <w:rPr>
                <w:rFonts w:hint="default" w:ascii="宋体" w:hAnsi="宋体" w:eastAsia="宋体" w:cs="宋体"/>
                <w:color w:val="auto"/>
                <w:sz w:val="24"/>
                <w:szCs w:val="24"/>
              </w:rPr>
              <w:t>产生的烟尘废气，拟采用</w:t>
            </w:r>
            <w:r>
              <w:rPr>
                <w:rFonts w:hint="eastAsia" w:cs="Times New Roman"/>
                <w:color w:val="auto"/>
                <w:kern w:val="0"/>
                <w:szCs w:val="21"/>
                <w:lang w:val="en-US" w:eastAsia="zh-CN"/>
              </w:rPr>
              <w:t>袋式</w:t>
            </w:r>
            <w:r>
              <w:rPr>
                <w:rFonts w:hint="default" w:ascii="宋体" w:hAnsi="宋体" w:eastAsia="宋体" w:cs="宋体"/>
                <w:color w:val="auto"/>
                <w:sz w:val="24"/>
                <w:szCs w:val="24"/>
              </w:rPr>
              <w:t>除尘装置进行治理。该组合工艺对金属粉尘、烟尘具有良好的去除效果，可有效拦截颗粒物与火花，净化效率较高，技术成熟可靠。因此，</w:t>
            </w:r>
            <w:r>
              <w:rPr>
                <w:rFonts w:hint="eastAsia" w:cs="Times New Roman"/>
                <w:color w:val="auto"/>
                <w:kern w:val="0"/>
                <w:szCs w:val="21"/>
                <w:lang w:val="en-US" w:eastAsia="zh-CN"/>
              </w:rPr>
              <w:t>袋式</w:t>
            </w:r>
            <w:r>
              <w:rPr>
                <w:rFonts w:hint="default" w:ascii="宋体" w:hAnsi="宋体" w:eastAsia="宋体" w:cs="宋体"/>
                <w:color w:val="auto"/>
                <w:sz w:val="24"/>
                <w:szCs w:val="24"/>
              </w:rPr>
              <w:t>除尘装置可作为本项目废气治理的除尘单元，用于去除颗粒物</w:t>
            </w:r>
            <w:r>
              <w:rPr>
                <w:rFonts w:hint="eastAsia" w:ascii="宋体" w:hAnsi="宋体" w:cs="宋体"/>
                <w:color w:val="auto"/>
                <w:sz w:val="24"/>
                <w:szCs w:val="24"/>
                <w:lang w:eastAsia="zh-CN"/>
              </w:rPr>
              <w:t>。</w:t>
            </w:r>
            <w:r>
              <w:rPr>
                <w:rFonts w:hint="default" w:ascii="宋体" w:hAnsi="宋体" w:eastAsia="宋体" w:cs="宋体"/>
                <w:color w:val="auto"/>
                <w:sz w:val="24"/>
                <w:szCs w:val="24"/>
              </w:rPr>
              <w:t>配套</w:t>
            </w:r>
            <w:r>
              <w:rPr>
                <w:rFonts w:hint="eastAsia" w:ascii="宋体" w:hAnsi="宋体" w:cs="宋体"/>
                <w:color w:val="auto"/>
                <w:sz w:val="24"/>
                <w:szCs w:val="24"/>
                <w:lang w:val="en-US" w:eastAsia="zh-CN"/>
              </w:rPr>
              <w:t>光催化</w:t>
            </w:r>
            <w:r>
              <w:rPr>
                <w:rFonts w:hint="eastAsia" w:ascii="Times New Roman" w:hAnsi="Times New Roman" w:cs="Times New Roman"/>
                <w:color w:val="auto"/>
                <w:sz w:val="24"/>
                <w:szCs w:val="24"/>
                <w:lang w:val="en-US" w:eastAsia="zh-CN"/>
              </w:rPr>
              <w:t>+</w:t>
            </w:r>
            <w:r>
              <w:rPr>
                <w:rFonts w:hint="eastAsia" w:cs="Times New Roman"/>
                <w:color w:val="auto"/>
                <w:sz w:val="24"/>
                <w:szCs w:val="24"/>
                <w:lang w:val="en-US" w:eastAsia="zh-CN"/>
              </w:rPr>
              <w:t>二级</w:t>
            </w:r>
            <w:r>
              <w:rPr>
                <w:rFonts w:hint="default" w:ascii="宋体" w:hAnsi="宋体" w:eastAsia="宋体" w:cs="宋体"/>
                <w:color w:val="auto"/>
                <w:sz w:val="24"/>
                <w:szCs w:val="24"/>
              </w:rPr>
              <w:t>活性炭吸附</w:t>
            </w:r>
            <w:r>
              <w:rPr>
                <w:rFonts w:hint="eastAsia" w:ascii="宋体" w:hAnsi="宋体" w:cs="宋体"/>
                <w:color w:val="auto"/>
                <w:sz w:val="24"/>
                <w:szCs w:val="24"/>
                <w:lang w:val="en-US" w:eastAsia="zh-CN"/>
              </w:rPr>
              <w:t>装置处理产</w:t>
            </w:r>
            <w:r>
              <w:rPr>
                <w:rFonts w:hint="eastAsia" w:ascii="Times New Roman" w:hAnsi="Times New Roman" w:eastAsia="宋体" w:cs="Times New Roman"/>
                <w:color w:val="auto"/>
                <w:kern w:val="0"/>
                <w:szCs w:val="21"/>
                <w:lang w:val="en-US" w:eastAsia="zh-CN"/>
              </w:rPr>
              <w:t>生的VOCs</w:t>
            </w:r>
            <w:r>
              <w:rPr>
                <w:rFonts w:hint="default" w:ascii="Times New Roman" w:hAnsi="Times New Roman" w:eastAsia="宋体" w:cs="Times New Roman"/>
                <w:color w:val="auto"/>
                <w:kern w:val="0"/>
                <w:szCs w:val="21"/>
                <w:lang w:val="en-US" w:eastAsia="zh-CN"/>
              </w:rPr>
              <w:t>，活性炭吸附有机废气是目前比较成熟的典型工艺，排出的有机废气气体，用引风机引入</w:t>
            </w:r>
            <w:r>
              <w:rPr>
                <w:rFonts w:hint="eastAsia" w:ascii="Times New Roman" w:hAnsi="Times New Roman" w:eastAsia="宋体" w:cs="Times New Roman"/>
                <w:color w:val="auto"/>
                <w:kern w:val="0"/>
                <w:szCs w:val="21"/>
                <w:lang w:val="en-US" w:eastAsia="zh-CN"/>
              </w:rPr>
              <w:t>光催化</w:t>
            </w:r>
            <w:r>
              <w:rPr>
                <w:rFonts w:hint="default" w:ascii="Times New Roman" w:hAnsi="Times New Roman" w:eastAsia="宋体" w:cs="Times New Roman"/>
                <w:color w:val="auto"/>
                <w:kern w:val="0"/>
                <w:szCs w:val="21"/>
                <w:lang w:val="en-US" w:eastAsia="zh-CN"/>
              </w:rPr>
              <w:t>单元，达到最适合的温度等条件后通过活性炭箱</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净化后的气体被释放到空气中。通过以上措施，本项目产生的废气均可达标排放，因此使用的废气治理措施可行。</w:t>
            </w:r>
          </w:p>
          <w:p w14:paraId="10F68CD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1.5</w:t>
            </w:r>
            <w:r>
              <w:rPr>
                <w:rFonts w:hint="default" w:ascii="Times New Roman" w:hAnsi="Times New Roman" w:eastAsia="宋体" w:cs="Times New Roman"/>
                <w:color w:val="auto"/>
                <w:kern w:val="0"/>
                <w:szCs w:val="21"/>
                <w:lang w:val="en-US" w:eastAsia="zh-CN"/>
              </w:rPr>
              <w:t>废气污染物环境影响分析</w:t>
            </w:r>
          </w:p>
          <w:p w14:paraId="2345219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制桶车间</w:t>
            </w:r>
            <w:r>
              <w:rPr>
                <w:rFonts w:hint="default" w:ascii="Times New Roman" w:hAnsi="Times New Roman" w:eastAsia="宋体" w:cs="Times New Roman"/>
                <w:color w:val="auto"/>
                <w:kern w:val="0"/>
                <w:szCs w:val="21"/>
                <w:lang w:val="en-US" w:eastAsia="zh-CN"/>
              </w:rPr>
              <w:t>产生的污染物</w:t>
            </w:r>
            <w:r>
              <w:rPr>
                <w:rFonts w:hint="eastAsia" w:ascii="Times New Roman" w:hAnsi="Times New Roman" w:eastAsia="宋体" w:cs="Times New Roman"/>
                <w:color w:val="auto"/>
                <w:kern w:val="0"/>
                <w:szCs w:val="21"/>
                <w:lang w:val="en-US" w:eastAsia="zh-CN"/>
              </w:rPr>
              <w:t>经集气罩</w:t>
            </w:r>
            <w:r>
              <w:rPr>
                <w:rFonts w:hint="eastAsia" w:ascii="Times New Roman" w:hAnsi="Times New Roman" w:cs="Times New Roman"/>
                <w:color w:val="auto"/>
                <w:sz w:val="24"/>
                <w:szCs w:val="24"/>
                <w:lang w:val="en-US" w:eastAsia="zh-CN"/>
              </w:rPr>
              <w:t>+</w:t>
            </w:r>
            <w:r>
              <w:rPr>
                <w:rFonts w:hint="eastAsia" w:cs="Times New Roman"/>
                <w:color w:val="auto"/>
                <w:kern w:val="0"/>
                <w:szCs w:val="21"/>
                <w:lang w:val="en-US" w:eastAsia="zh-CN"/>
              </w:rPr>
              <w:t>袋式</w:t>
            </w:r>
            <w:r>
              <w:rPr>
                <w:rFonts w:hint="eastAsia" w:ascii="Times New Roman" w:hAnsi="Times New Roman" w:eastAsia="宋体" w:cs="Times New Roman"/>
                <w:color w:val="auto"/>
                <w:kern w:val="0"/>
                <w:szCs w:val="21"/>
                <w:lang w:val="en-US" w:eastAsia="zh-CN"/>
              </w:rPr>
              <w:t>除尘</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光催化</w:t>
            </w:r>
            <w:r>
              <w:rPr>
                <w:rFonts w:hint="eastAsia" w:ascii="Times New Roman" w:hAnsi="Times New Roman" w:cs="Times New Roman"/>
                <w:color w:val="auto"/>
                <w:sz w:val="24"/>
                <w:szCs w:val="24"/>
                <w:lang w:val="en-US" w:eastAsia="zh-CN"/>
              </w:rPr>
              <w:t>+</w:t>
            </w:r>
            <w:r>
              <w:rPr>
                <w:rFonts w:hint="eastAsia" w:cs="Times New Roman"/>
                <w:color w:val="auto"/>
                <w:sz w:val="24"/>
                <w:szCs w:val="24"/>
                <w:lang w:val="en-US" w:eastAsia="zh-CN"/>
              </w:rPr>
              <w:t>二级</w:t>
            </w:r>
            <w:r>
              <w:rPr>
                <w:rFonts w:hint="eastAsia" w:ascii="Times New Roman" w:hAnsi="Times New Roman" w:eastAsia="宋体" w:cs="Times New Roman"/>
                <w:color w:val="auto"/>
                <w:kern w:val="0"/>
                <w:szCs w:val="21"/>
                <w:lang w:val="en-US" w:eastAsia="zh-CN"/>
              </w:rPr>
              <w:t>活性炭吸附</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15m高排气筒（DA001）排放</w:t>
            </w:r>
            <w:r>
              <w:rPr>
                <w:rFonts w:hint="default" w:ascii="Times New Roman" w:hAnsi="Times New Roman" w:eastAsia="宋体" w:cs="Times New Roman"/>
                <w:color w:val="auto"/>
                <w:kern w:val="0"/>
                <w:szCs w:val="21"/>
                <w:lang w:val="en-US" w:eastAsia="zh-CN"/>
              </w:rPr>
              <w:t>，非甲烷总烃、粉尘排放</w:t>
            </w:r>
            <w:r>
              <w:rPr>
                <w:rFonts w:hint="eastAsia" w:ascii="Times New Roman" w:hAnsi="Times New Roman" w:eastAsia="宋体" w:cs="Times New Roman"/>
                <w:color w:val="auto"/>
                <w:kern w:val="0"/>
                <w:szCs w:val="21"/>
                <w:lang w:val="en-US" w:eastAsia="zh-CN"/>
              </w:rPr>
              <w:t>速率</w:t>
            </w:r>
            <w:r>
              <w:rPr>
                <w:rFonts w:hint="default" w:ascii="Times New Roman" w:hAnsi="Times New Roman" w:eastAsia="宋体" w:cs="Times New Roman"/>
                <w:color w:val="auto"/>
                <w:kern w:val="0"/>
                <w:szCs w:val="21"/>
                <w:lang w:val="en-US" w:eastAsia="zh-CN"/>
              </w:rPr>
              <w:t>均可满足</w:t>
            </w:r>
            <w:r>
              <w:rPr>
                <w:rFonts w:hint="eastAsia" w:ascii="Times New Roman" w:hAnsi="Times New Roman" w:eastAsia="宋体" w:cs="Times New Roman"/>
                <w:color w:val="auto"/>
                <w:kern w:val="0"/>
                <w:szCs w:val="21"/>
                <w:lang w:val="en-US" w:eastAsia="zh-CN"/>
              </w:rPr>
              <w:t>《合成树脂工业污染物排放标准》（GB31572-2015</w:t>
            </w:r>
            <w:r>
              <w:rPr>
                <w:rFonts w:hint="eastAsia" w:cs="Times New Roman"/>
                <w:b w:val="0"/>
                <w:bCs w:val="0"/>
                <w:color w:val="auto"/>
                <w:szCs w:val="21"/>
                <w:lang w:val="zh-CN" w:eastAsia="zh-CN"/>
              </w:rPr>
              <w:t>，</w:t>
            </w:r>
            <w:r>
              <w:rPr>
                <w:rFonts w:hint="eastAsia" w:cs="Times New Roman"/>
                <w:b w:val="0"/>
                <w:bCs w:val="0"/>
                <w:color w:val="auto"/>
                <w:szCs w:val="21"/>
                <w:lang w:val="en-US" w:eastAsia="zh-CN"/>
              </w:rPr>
              <w:t>含2024年修改单</w:t>
            </w:r>
            <w:r>
              <w:rPr>
                <w:rFonts w:hint="eastAsia" w:ascii="Times New Roman" w:hAnsi="Times New Roman" w:eastAsia="宋体" w:cs="Times New Roman"/>
                <w:color w:val="auto"/>
                <w:kern w:val="0"/>
                <w:szCs w:val="21"/>
                <w:lang w:val="en-US" w:eastAsia="zh-CN"/>
              </w:rPr>
              <w:t>）表5污染物特别排放限制和表9</w:t>
            </w:r>
            <w:r>
              <w:rPr>
                <w:rFonts w:hint="eastAsia"/>
                <w:color w:val="auto"/>
                <w:lang w:val="en-US" w:eastAsia="zh-CN"/>
              </w:rPr>
              <w:t>污染物浓度限值</w:t>
            </w:r>
            <w:r>
              <w:rPr>
                <w:rFonts w:hint="eastAsia" w:ascii="Times New Roman" w:hAnsi="Times New Roman" w:eastAsia="宋体" w:cs="Times New Roman"/>
                <w:color w:val="auto"/>
                <w:kern w:val="0"/>
                <w:szCs w:val="21"/>
                <w:lang w:val="en-US" w:eastAsia="zh-CN"/>
              </w:rPr>
              <w:t>要求，本项目产生的废气均可达标排放，废气对周边环境影响可以接受。</w:t>
            </w:r>
          </w:p>
          <w:p w14:paraId="70F32D9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1.</w:t>
            </w:r>
            <w:r>
              <w:rPr>
                <w:rFonts w:hint="eastAsia" w:ascii="Times New Roman" w:hAnsi="Times New Roman" w:eastAsia="宋体" w:cs="Times New Roman"/>
                <w:color w:val="auto"/>
                <w:kern w:val="0"/>
                <w:szCs w:val="21"/>
                <w:lang w:val="en-US" w:eastAsia="zh-CN"/>
              </w:rPr>
              <w:t>6</w:t>
            </w:r>
            <w:r>
              <w:rPr>
                <w:rFonts w:hint="default" w:ascii="Times New Roman" w:hAnsi="Times New Roman" w:eastAsia="宋体" w:cs="Times New Roman"/>
                <w:color w:val="auto"/>
                <w:kern w:val="0"/>
                <w:szCs w:val="21"/>
                <w:lang w:val="en-US" w:eastAsia="zh-CN"/>
              </w:rPr>
              <w:t>监测要求</w:t>
            </w:r>
          </w:p>
          <w:p w14:paraId="483E8CB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参照《排污单位自行监测技术指南总则》</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《排污许可证申请与核发技术规范橡胶和塑料制品工业》（HJ1122-2020）</w:t>
            </w:r>
            <w:r>
              <w:rPr>
                <w:rFonts w:hint="eastAsia" w:ascii="Times New Roman" w:hAnsi="Times New Roman" w:eastAsia="宋体" w:cs="Times New Roman"/>
                <w:color w:val="auto"/>
                <w:kern w:val="0"/>
                <w:szCs w:val="21"/>
                <w:lang w:val="en-US" w:eastAsia="zh-CN"/>
              </w:rPr>
              <w:t>、《排污单位自行监测技术指南橡胶和塑料制品》（HJ127-2021）相关要求</w:t>
            </w:r>
            <w:r>
              <w:rPr>
                <w:rFonts w:hint="default" w:ascii="Times New Roman" w:hAnsi="Times New Roman" w:eastAsia="宋体" w:cs="Times New Roman"/>
                <w:color w:val="auto"/>
                <w:kern w:val="0"/>
                <w:szCs w:val="21"/>
                <w:lang w:val="en-US" w:eastAsia="zh-CN"/>
              </w:rPr>
              <w:t>，本项目营运期废气监测计划详见下表。</w:t>
            </w:r>
          </w:p>
          <w:p w14:paraId="27EBFE06">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w:t>
            </w:r>
            <w:r>
              <w:rPr>
                <w:rFonts w:hint="eastAsia" w:ascii="Times New Roman" w:hAnsi="Times New Roman" w:eastAsia="宋体" w:cs="Times New Roman"/>
                <w:b/>
                <w:bCs/>
                <w:color w:val="auto"/>
                <w:sz w:val="24"/>
                <w:lang w:val="en-US" w:eastAsia="zh-CN"/>
              </w:rPr>
              <w:t>4</w:t>
            </w:r>
            <w:r>
              <w:rPr>
                <w:rFonts w:hint="default" w:ascii="Times New Roman" w:hAnsi="Times New Roman" w:eastAsia="宋体" w:cs="Times New Roman"/>
                <w:b/>
                <w:bCs/>
                <w:color w:val="auto"/>
                <w:sz w:val="24"/>
                <w:lang w:val="en-US" w:eastAsia="zh-CN"/>
              </w:rPr>
              <w:t>废气监测计划一览表</w:t>
            </w:r>
          </w:p>
          <w:tbl>
            <w:tblPr>
              <w:tblStyle w:val="2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2"/>
              <w:gridCol w:w="1812"/>
              <w:gridCol w:w="1750"/>
              <w:gridCol w:w="3491"/>
            </w:tblGrid>
            <w:tr w14:paraId="2EF00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jc w:val="center"/>
              </w:trPr>
              <w:tc>
                <w:tcPr>
                  <w:tcW w:w="863" w:type="pct"/>
                  <w:tcBorders>
                    <w:tl2br w:val="nil"/>
                    <w:tr2bl w:val="nil"/>
                  </w:tcBorders>
                  <w:noWrap w:val="0"/>
                  <w:vAlign w:val="center"/>
                </w:tcPr>
                <w:p w14:paraId="025D74D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监测点位</w:t>
                  </w:r>
                </w:p>
              </w:tc>
              <w:tc>
                <w:tcPr>
                  <w:tcW w:w="1062" w:type="pct"/>
                  <w:tcBorders>
                    <w:tl2br w:val="nil"/>
                    <w:tr2bl w:val="nil"/>
                  </w:tcBorders>
                  <w:noWrap w:val="0"/>
                  <w:vAlign w:val="center"/>
                </w:tcPr>
                <w:p w14:paraId="1A89CC3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监测指标</w:t>
                  </w:r>
                </w:p>
              </w:tc>
              <w:tc>
                <w:tcPr>
                  <w:tcW w:w="1026" w:type="pct"/>
                  <w:tcBorders>
                    <w:tl2br w:val="nil"/>
                    <w:tr2bl w:val="nil"/>
                  </w:tcBorders>
                  <w:noWrap w:val="0"/>
                  <w:vAlign w:val="center"/>
                </w:tcPr>
                <w:p w14:paraId="6B3F4E6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监测频次</w:t>
                  </w:r>
                </w:p>
              </w:tc>
              <w:tc>
                <w:tcPr>
                  <w:tcW w:w="2047" w:type="pct"/>
                  <w:tcBorders>
                    <w:tl2br w:val="nil"/>
                    <w:tr2bl w:val="nil"/>
                  </w:tcBorders>
                  <w:noWrap w:val="0"/>
                  <w:vAlign w:val="center"/>
                </w:tcPr>
                <w:p w14:paraId="4614468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执行排放标准</w:t>
                  </w:r>
                </w:p>
              </w:tc>
            </w:tr>
            <w:tr w14:paraId="65692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863" w:type="pct"/>
                  <w:vMerge w:val="restart"/>
                  <w:tcBorders>
                    <w:tl2br w:val="nil"/>
                    <w:tr2bl w:val="nil"/>
                  </w:tcBorders>
                  <w:noWrap w:val="0"/>
                  <w:vAlign w:val="center"/>
                </w:tcPr>
                <w:p w14:paraId="40BA6A2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DA001</w:t>
                  </w:r>
                </w:p>
              </w:tc>
              <w:tc>
                <w:tcPr>
                  <w:tcW w:w="1062" w:type="pct"/>
                  <w:tcBorders>
                    <w:tl2br w:val="nil"/>
                    <w:tr2bl w:val="nil"/>
                  </w:tcBorders>
                  <w:noWrap w:val="0"/>
                  <w:vAlign w:val="center"/>
                </w:tcPr>
                <w:p w14:paraId="454A1C0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非甲烷总烃</w:t>
                  </w:r>
                </w:p>
              </w:tc>
              <w:tc>
                <w:tcPr>
                  <w:tcW w:w="1026" w:type="pct"/>
                  <w:tcBorders>
                    <w:tl2br w:val="nil"/>
                    <w:tr2bl w:val="nil"/>
                  </w:tcBorders>
                  <w:noWrap w:val="0"/>
                  <w:vAlign w:val="center"/>
                </w:tcPr>
                <w:p w14:paraId="3684ED3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1次/半年</w:t>
                  </w:r>
                </w:p>
              </w:tc>
              <w:tc>
                <w:tcPr>
                  <w:tcW w:w="2047" w:type="pct"/>
                  <w:vMerge w:val="restart"/>
                  <w:tcBorders>
                    <w:tl2br w:val="nil"/>
                    <w:tr2bl w:val="nil"/>
                  </w:tcBorders>
                  <w:noWrap w:val="0"/>
                  <w:vAlign w:val="center"/>
                </w:tcPr>
                <w:p w14:paraId="7438167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《合成树脂工业污染物排放标准》（GB31572-2015</w:t>
                  </w:r>
                  <w:r>
                    <w:rPr>
                      <w:rFonts w:hint="eastAsia" w:ascii="Times New Roman" w:hAnsi="Times New Roman" w:eastAsia="宋体" w:cs="Times New Roman"/>
                      <w:b w:val="0"/>
                      <w:bCs w:val="0"/>
                      <w:color w:val="auto"/>
                      <w:sz w:val="21"/>
                      <w:szCs w:val="21"/>
                      <w:lang w:val="zh-CN" w:eastAsia="zh-CN"/>
                    </w:rPr>
                    <w:t>，</w:t>
                  </w:r>
                  <w:r>
                    <w:rPr>
                      <w:rFonts w:hint="eastAsia" w:ascii="Times New Roman" w:hAnsi="Times New Roman" w:eastAsia="宋体" w:cs="Times New Roman"/>
                      <w:b w:val="0"/>
                      <w:bCs w:val="0"/>
                      <w:color w:val="auto"/>
                      <w:sz w:val="21"/>
                      <w:szCs w:val="21"/>
                      <w:lang w:val="en-US" w:eastAsia="zh-CN"/>
                    </w:rPr>
                    <w:t>含2024年修改单</w:t>
                  </w:r>
                  <w:r>
                    <w:rPr>
                      <w:rFonts w:hint="default" w:ascii="Times New Roman" w:hAnsi="Times New Roman" w:eastAsia="宋体"/>
                      <w:color w:val="auto"/>
                      <w:sz w:val="21"/>
                      <w:szCs w:val="21"/>
                      <w:lang w:val="en-US" w:eastAsia="zh-CN"/>
                    </w:rPr>
                    <w:t>）</w:t>
                  </w:r>
                </w:p>
              </w:tc>
            </w:tr>
            <w:tr w14:paraId="713CD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863" w:type="pct"/>
                  <w:vMerge w:val="continue"/>
                  <w:tcBorders>
                    <w:tl2br w:val="nil"/>
                    <w:tr2bl w:val="nil"/>
                  </w:tcBorders>
                  <w:noWrap w:val="0"/>
                  <w:vAlign w:val="center"/>
                </w:tcPr>
                <w:p w14:paraId="69B648F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1062" w:type="pct"/>
                  <w:tcBorders>
                    <w:tl2br w:val="nil"/>
                    <w:tr2bl w:val="nil"/>
                  </w:tcBorders>
                  <w:noWrap w:val="0"/>
                  <w:vAlign w:val="center"/>
                </w:tcPr>
                <w:p w14:paraId="55AB2C8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颗粒物</w:t>
                  </w:r>
                </w:p>
              </w:tc>
              <w:tc>
                <w:tcPr>
                  <w:tcW w:w="1026" w:type="pct"/>
                  <w:tcBorders>
                    <w:tl2br w:val="nil"/>
                    <w:tr2bl w:val="nil"/>
                  </w:tcBorders>
                  <w:noWrap w:val="0"/>
                  <w:vAlign w:val="center"/>
                </w:tcPr>
                <w:p w14:paraId="01ECE12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1次/半年</w:t>
                  </w:r>
                </w:p>
              </w:tc>
              <w:tc>
                <w:tcPr>
                  <w:tcW w:w="2047" w:type="pct"/>
                  <w:vMerge w:val="continue"/>
                  <w:tcBorders>
                    <w:tl2br w:val="nil"/>
                    <w:tr2bl w:val="nil"/>
                  </w:tcBorders>
                  <w:noWrap w:val="0"/>
                  <w:vAlign w:val="center"/>
                </w:tcPr>
                <w:p w14:paraId="4145EFD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rPr>
                  </w:pPr>
                </w:p>
              </w:tc>
            </w:tr>
            <w:tr w14:paraId="67844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863" w:type="pct"/>
                  <w:vMerge w:val="continue"/>
                  <w:tcBorders>
                    <w:tl2br w:val="nil"/>
                    <w:tr2bl w:val="nil"/>
                  </w:tcBorders>
                  <w:noWrap w:val="0"/>
                  <w:vAlign w:val="center"/>
                </w:tcPr>
                <w:p w14:paraId="66BC5D9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1062" w:type="pct"/>
                  <w:tcBorders>
                    <w:tl2br w:val="nil"/>
                    <w:tr2bl w:val="nil"/>
                  </w:tcBorders>
                  <w:noWrap w:val="0"/>
                  <w:vAlign w:val="center"/>
                </w:tcPr>
                <w:p w14:paraId="75E23F4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臭气浓度</w:t>
                  </w:r>
                </w:p>
              </w:tc>
              <w:tc>
                <w:tcPr>
                  <w:tcW w:w="1026" w:type="pct"/>
                  <w:tcBorders>
                    <w:tl2br w:val="nil"/>
                    <w:tr2bl w:val="nil"/>
                  </w:tcBorders>
                  <w:noWrap w:val="0"/>
                  <w:vAlign w:val="center"/>
                </w:tcPr>
                <w:p w14:paraId="1C7FF31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1次/半年</w:t>
                  </w:r>
                </w:p>
              </w:tc>
              <w:tc>
                <w:tcPr>
                  <w:tcW w:w="2047" w:type="pct"/>
                  <w:tcBorders>
                    <w:tl2br w:val="nil"/>
                    <w:tr2bl w:val="nil"/>
                  </w:tcBorders>
                  <w:noWrap w:val="0"/>
                  <w:vAlign w:val="center"/>
                </w:tcPr>
                <w:p w14:paraId="2A8A407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rPr>
                  </w:pPr>
                  <w:r>
                    <w:rPr>
                      <w:rFonts w:hint="eastAsia" w:ascii="Times New Roman" w:hAnsi="Times New Roman" w:eastAsia="宋体"/>
                      <w:color w:val="auto"/>
                      <w:sz w:val="21"/>
                      <w:szCs w:val="21"/>
                      <w:lang w:val="zh-CN" w:eastAsia="zh-CN"/>
                    </w:rPr>
                    <w:t>《恶臭污染物排放标准》(GB14554-1993)</w:t>
                  </w:r>
                </w:p>
              </w:tc>
            </w:tr>
            <w:tr w14:paraId="0B199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863" w:type="pct"/>
                  <w:vMerge w:val="restart"/>
                  <w:tcBorders>
                    <w:tl2br w:val="nil"/>
                    <w:tr2bl w:val="nil"/>
                  </w:tcBorders>
                  <w:noWrap w:val="0"/>
                  <w:vAlign w:val="center"/>
                </w:tcPr>
                <w:p w14:paraId="1B8654D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厂界</w:t>
                  </w:r>
                </w:p>
              </w:tc>
              <w:tc>
                <w:tcPr>
                  <w:tcW w:w="1062" w:type="pct"/>
                  <w:tcBorders>
                    <w:tl2br w:val="nil"/>
                    <w:tr2bl w:val="nil"/>
                  </w:tcBorders>
                  <w:noWrap w:val="0"/>
                  <w:vAlign w:val="center"/>
                </w:tcPr>
                <w:p w14:paraId="3AE77E6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非甲烷总烃</w:t>
                  </w:r>
                </w:p>
              </w:tc>
              <w:tc>
                <w:tcPr>
                  <w:tcW w:w="1026" w:type="pct"/>
                  <w:tcBorders>
                    <w:tl2br w:val="nil"/>
                    <w:tr2bl w:val="nil"/>
                  </w:tcBorders>
                  <w:noWrap w:val="0"/>
                  <w:vAlign w:val="center"/>
                </w:tcPr>
                <w:p w14:paraId="5C5A512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1次/半年</w:t>
                  </w:r>
                </w:p>
              </w:tc>
              <w:tc>
                <w:tcPr>
                  <w:tcW w:w="3491" w:type="dxa"/>
                  <w:vMerge w:val="restart"/>
                  <w:tcBorders>
                    <w:tl2br w:val="nil"/>
                    <w:tr2bl w:val="nil"/>
                  </w:tcBorders>
                  <w:noWrap w:val="0"/>
                  <w:vAlign w:val="center"/>
                </w:tcPr>
                <w:p w14:paraId="282CF689">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olor w:val="auto"/>
                      <w:sz w:val="21"/>
                      <w:szCs w:val="21"/>
                    </w:rPr>
                  </w:pPr>
                  <w:r>
                    <w:rPr>
                      <w:rFonts w:hint="default" w:ascii="Times New Roman" w:hAnsi="Times New Roman" w:eastAsia="宋体"/>
                      <w:color w:val="auto"/>
                      <w:sz w:val="21"/>
                      <w:szCs w:val="21"/>
                      <w:lang w:val="en-US" w:eastAsia="zh-CN"/>
                    </w:rPr>
                    <w:t>《合成树脂工业污染物排放标准》（GB31572-2015</w:t>
                  </w:r>
                  <w:r>
                    <w:rPr>
                      <w:rFonts w:hint="eastAsia" w:ascii="Times New Roman" w:hAnsi="Times New Roman" w:eastAsia="宋体" w:cs="Times New Roman"/>
                      <w:b w:val="0"/>
                      <w:bCs w:val="0"/>
                      <w:color w:val="auto"/>
                      <w:sz w:val="21"/>
                      <w:szCs w:val="21"/>
                      <w:lang w:val="zh-CN" w:eastAsia="zh-CN"/>
                    </w:rPr>
                    <w:t>，</w:t>
                  </w:r>
                  <w:r>
                    <w:rPr>
                      <w:rFonts w:hint="eastAsia" w:ascii="Times New Roman" w:hAnsi="Times New Roman" w:eastAsia="宋体" w:cs="Times New Roman"/>
                      <w:b w:val="0"/>
                      <w:bCs w:val="0"/>
                      <w:color w:val="auto"/>
                      <w:sz w:val="21"/>
                      <w:szCs w:val="21"/>
                      <w:lang w:val="en-US" w:eastAsia="zh-CN"/>
                    </w:rPr>
                    <w:t>含2024年修改单</w:t>
                  </w:r>
                  <w:r>
                    <w:rPr>
                      <w:rFonts w:hint="default" w:ascii="Times New Roman" w:hAnsi="Times New Roman" w:eastAsia="宋体"/>
                      <w:color w:val="auto"/>
                      <w:sz w:val="21"/>
                      <w:szCs w:val="21"/>
                      <w:lang w:val="en-US" w:eastAsia="zh-CN"/>
                    </w:rPr>
                    <w:t>）</w:t>
                  </w:r>
                </w:p>
              </w:tc>
            </w:tr>
            <w:tr w14:paraId="498F1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863" w:type="pct"/>
                  <w:vMerge w:val="continue"/>
                  <w:tcBorders>
                    <w:tl2br w:val="nil"/>
                    <w:tr2bl w:val="nil"/>
                  </w:tcBorders>
                  <w:noWrap w:val="0"/>
                  <w:vAlign w:val="center"/>
                </w:tcPr>
                <w:p w14:paraId="50254D8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1062" w:type="pct"/>
                  <w:tcBorders>
                    <w:tl2br w:val="nil"/>
                    <w:tr2bl w:val="nil"/>
                  </w:tcBorders>
                  <w:noWrap w:val="0"/>
                  <w:vAlign w:val="center"/>
                </w:tcPr>
                <w:p w14:paraId="3069CBD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颗粒物</w:t>
                  </w:r>
                </w:p>
              </w:tc>
              <w:tc>
                <w:tcPr>
                  <w:tcW w:w="1026" w:type="pct"/>
                  <w:tcBorders>
                    <w:tl2br w:val="nil"/>
                    <w:tr2bl w:val="nil"/>
                  </w:tcBorders>
                  <w:noWrap w:val="0"/>
                  <w:vAlign w:val="center"/>
                </w:tcPr>
                <w:p w14:paraId="333BB07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1次/半年</w:t>
                  </w:r>
                </w:p>
              </w:tc>
              <w:tc>
                <w:tcPr>
                  <w:tcW w:w="2047" w:type="pct"/>
                  <w:vMerge w:val="continue"/>
                  <w:tcBorders>
                    <w:tl2br w:val="nil"/>
                    <w:tr2bl w:val="nil"/>
                  </w:tcBorders>
                  <w:noWrap w:val="0"/>
                  <w:vAlign w:val="center"/>
                </w:tcPr>
                <w:p w14:paraId="3654C2A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rPr>
                  </w:pPr>
                </w:p>
              </w:tc>
            </w:tr>
            <w:tr w14:paraId="436C1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863" w:type="pct"/>
                  <w:vMerge w:val="continue"/>
                  <w:tcBorders>
                    <w:tl2br w:val="nil"/>
                    <w:tr2bl w:val="nil"/>
                  </w:tcBorders>
                  <w:noWrap w:val="0"/>
                  <w:vAlign w:val="center"/>
                </w:tcPr>
                <w:p w14:paraId="5862CC2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1062" w:type="pct"/>
                  <w:tcBorders>
                    <w:tl2br w:val="nil"/>
                    <w:tr2bl w:val="nil"/>
                  </w:tcBorders>
                  <w:noWrap w:val="0"/>
                  <w:vAlign w:val="center"/>
                </w:tcPr>
                <w:p w14:paraId="07B4CF14">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臭气浓度</w:t>
                  </w:r>
                </w:p>
              </w:tc>
              <w:tc>
                <w:tcPr>
                  <w:tcW w:w="1026" w:type="pct"/>
                  <w:tcBorders>
                    <w:tl2br w:val="nil"/>
                    <w:tr2bl w:val="nil"/>
                  </w:tcBorders>
                  <w:noWrap w:val="0"/>
                  <w:vAlign w:val="center"/>
                </w:tcPr>
                <w:p w14:paraId="12A146C3">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1次/半年</w:t>
                  </w:r>
                </w:p>
              </w:tc>
              <w:tc>
                <w:tcPr>
                  <w:tcW w:w="2047" w:type="pct"/>
                  <w:tcBorders>
                    <w:tl2br w:val="nil"/>
                    <w:tr2bl w:val="nil"/>
                  </w:tcBorders>
                  <w:noWrap w:val="0"/>
                  <w:vAlign w:val="center"/>
                </w:tcPr>
                <w:p w14:paraId="5DC63E6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rPr>
                  </w:pPr>
                  <w:r>
                    <w:rPr>
                      <w:rFonts w:hint="eastAsia" w:ascii="Times New Roman" w:hAnsi="Times New Roman" w:eastAsia="宋体"/>
                      <w:color w:val="auto"/>
                      <w:sz w:val="21"/>
                      <w:szCs w:val="21"/>
                      <w:lang w:val="zh-CN" w:eastAsia="zh-CN"/>
                    </w:rPr>
                    <w:t>《恶臭污染物排放标准》(GB14554-1993)</w:t>
                  </w:r>
                </w:p>
              </w:tc>
            </w:tr>
          </w:tbl>
          <w:p w14:paraId="1424727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2、废水</w:t>
            </w:r>
          </w:p>
          <w:p w14:paraId="5F81430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2.1废水污染源源强核算及污染物产排情况</w:t>
            </w:r>
          </w:p>
          <w:p w14:paraId="6F52BDB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本项目</w:t>
            </w:r>
            <w:r>
              <w:rPr>
                <w:rFonts w:hint="eastAsia" w:cs="Times New Roman"/>
                <w:color w:val="auto"/>
                <w:kern w:val="0"/>
                <w:szCs w:val="21"/>
                <w:lang w:val="en-US" w:eastAsia="zh-CN"/>
              </w:rPr>
              <w:t>无生产废水产生，仅员工生活污水，项目</w:t>
            </w:r>
            <w:r>
              <w:rPr>
                <w:rFonts w:hint="default" w:ascii="Times New Roman" w:hAnsi="Times New Roman" w:eastAsia="宋体" w:cs="Times New Roman"/>
                <w:color w:val="auto"/>
                <w:kern w:val="0"/>
                <w:szCs w:val="21"/>
                <w:lang w:val="en-US" w:eastAsia="zh-CN"/>
              </w:rPr>
              <w:t>运营期</w:t>
            </w:r>
            <w:r>
              <w:rPr>
                <w:rFonts w:hint="eastAsia" w:ascii="Times New Roman" w:hAnsi="Times New Roman" w:eastAsia="宋体" w:cs="Times New Roman"/>
                <w:color w:val="auto"/>
                <w:kern w:val="0"/>
                <w:szCs w:val="21"/>
                <w:lang w:val="en-US" w:eastAsia="zh-CN"/>
              </w:rPr>
              <w:t>新增</w:t>
            </w:r>
            <w:r>
              <w:rPr>
                <w:rFonts w:hint="default" w:ascii="Times New Roman" w:hAnsi="Times New Roman" w:eastAsia="宋体" w:cs="Times New Roman"/>
                <w:color w:val="auto"/>
                <w:kern w:val="0"/>
                <w:szCs w:val="21"/>
                <w:lang w:val="en-US" w:eastAsia="zh-CN"/>
              </w:rPr>
              <w:t>劳动定员</w:t>
            </w:r>
            <w:r>
              <w:rPr>
                <w:rFonts w:hint="eastAsia" w:ascii="Times New Roman" w:hAnsi="Times New Roman" w:eastAsia="宋体" w:cs="Times New Roman"/>
                <w:color w:val="auto"/>
                <w:kern w:val="0"/>
                <w:szCs w:val="21"/>
                <w:lang w:val="en-US" w:eastAsia="zh-CN"/>
              </w:rPr>
              <w:t>2</w:t>
            </w:r>
            <w:r>
              <w:rPr>
                <w:rFonts w:hint="default" w:ascii="Times New Roman" w:hAnsi="Times New Roman" w:eastAsia="宋体" w:cs="Times New Roman"/>
                <w:color w:val="auto"/>
                <w:kern w:val="0"/>
                <w:szCs w:val="21"/>
                <w:lang w:val="en-US" w:eastAsia="zh-CN"/>
              </w:rPr>
              <w:t>0人，年生产天数为300天，</w:t>
            </w:r>
            <w:r>
              <w:rPr>
                <w:rFonts w:hint="eastAsia" w:ascii="Times New Roman" w:hAnsi="Times New Roman" w:eastAsia="宋体" w:cs="Times New Roman"/>
                <w:color w:val="auto"/>
                <w:kern w:val="0"/>
                <w:sz w:val="24"/>
                <w:szCs w:val="24"/>
                <w:highlight w:val="none"/>
                <w:lang w:val="en-US" w:eastAsia="zh-CN"/>
              </w:rPr>
              <w:t>生活用水量为</w:t>
            </w:r>
            <w:r>
              <w:rPr>
                <w:rFonts w:hint="eastAsia" w:cs="Times New Roman"/>
                <w:color w:val="auto"/>
                <w:kern w:val="0"/>
                <w:sz w:val="24"/>
                <w:szCs w:val="24"/>
                <w:highlight w:val="none"/>
                <w:lang w:val="en-US" w:eastAsia="zh-CN"/>
              </w:rPr>
              <w:t>1.6</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/d</w:t>
            </w:r>
            <w:r>
              <w:rPr>
                <w:rFonts w:hint="eastAsia" w:cs="Times New Roman"/>
                <w:color w:val="auto"/>
                <w:kern w:val="0"/>
                <w:sz w:val="24"/>
                <w:szCs w:val="24"/>
                <w:highlight w:val="none"/>
                <w:lang w:val="en-US" w:eastAsia="zh-CN"/>
              </w:rPr>
              <w:t>（480</w:t>
            </w:r>
            <w:r>
              <w:rPr>
                <w:rFonts w:hint="default"/>
                <w:color w:val="auto"/>
                <w:lang w:val="en-US" w:eastAsia="zh-CN"/>
              </w:rPr>
              <w:t>m</w:t>
            </w:r>
            <w:r>
              <w:rPr>
                <w:rFonts w:hint="default"/>
                <w:color w:val="auto"/>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/a）</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Cs w:val="21"/>
                <w:lang w:val="en-US" w:eastAsia="zh-CN"/>
              </w:rPr>
              <w:t>生活污水产生率按照</w:t>
            </w:r>
            <w:r>
              <w:rPr>
                <w:rFonts w:hint="eastAsia" w:cs="Times New Roman"/>
                <w:color w:val="auto"/>
                <w:kern w:val="0"/>
                <w:szCs w:val="21"/>
                <w:lang w:val="en-US" w:eastAsia="zh-CN"/>
              </w:rPr>
              <w:t>8</w:t>
            </w:r>
            <w:r>
              <w:rPr>
                <w:rFonts w:hint="default" w:ascii="Times New Roman" w:hAnsi="Times New Roman" w:eastAsia="宋体" w:cs="Times New Roman"/>
                <w:color w:val="auto"/>
                <w:kern w:val="0"/>
                <w:szCs w:val="21"/>
                <w:lang w:val="en-US" w:eastAsia="zh-CN"/>
              </w:rPr>
              <w:t>0%计算，为</w:t>
            </w:r>
            <w:r>
              <w:rPr>
                <w:rFonts w:hint="eastAsia" w:cs="Times New Roman"/>
                <w:color w:val="auto"/>
                <w:kern w:val="0"/>
                <w:szCs w:val="21"/>
                <w:lang w:val="en-US" w:eastAsia="zh-CN"/>
              </w:rPr>
              <w:t>1.28</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/d（</w:t>
            </w:r>
            <w:r>
              <w:rPr>
                <w:rFonts w:hint="eastAsia" w:cs="Times New Roman"/>
                <w:color w:val="auto"/>
                <w:kern w:val="0"/>
                <w:sz w:val="24"/>
                <w:szCs w:val="24"/>
                <w:highlight w:val="none"/>
                <w:lang w:val="en-US" w:eastAsia="zh-CN"/>
              </w:rPr>
              <w:t>384</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Cs w:val="21"/>
                <w:lang w:val="en-US" w:eastAsia="zh-CN"/>
              </w:rPr>
              <w:t>，经</w:t>
            </w:r>
            <w:r>
              <w:rPr>
                <w:rFonts w:hint="eastAsia" w:ascii="Times New Roman" w:hAnsi="Times New Roman" w:eastAsia="宋体" w:cs="Times New Roman"/>
                <w:color w:val="auto"/>
                <w:kern w:val="0"/>
                <w:szCs w:val="21"/>
                <w:lang w:val="en-US" w:eastAsia="zh-CN"/>
              </w:rPr>
              <w:t>厂区现有污水处理站</w:t>
            </w:r>
            <w:r>
              <w:rPr>
                <w:rFonts w:hint="default" w:ascii="Times New Roman" w:hAnsi="Times New Roman" w:eastAsia="宋体" w:cs="Times New Roman"/>
                <w:color w:val="auto"/>
                <w:kern w:val="0"/>
                <w:szCs w:val="21"/>
                <w:lang w:val="en-US" w:eastAsia="zh-CN"/>
              </w:rPr>
              <w:t>处理达标后全部回用</w:t>
            </w:r>
            <w:r>
              <w:rPr>
                <w:rFonts w:hint="eastAsia" w:ascii="Times New Roman" w:hAnsi="Times New Roman" w:eastAsia="宋体" w:cs="Times New Roman"/>
                <w:color w:val="auto"/>
                <w:kern w:val="0"/>
                <w:szCs w:val="21"/>
                <w:lang w:val="en-US" w:eastAsia="zh-CN"/>
              </w:rPr>
              <w:t>，不外排</w:t>
            </w:r>
            <w:r>
              <w:rPr>
                <w:rFonts w:hint="default" w:ascii="Times New Roman" w:hAnsi="Times New Roman" w:eastAsia="宋体" w:cs="Times New Roman"/>
                <w:color w:val="auto"/>
                <w:kern w:val="0"/>
                <w:szCs w:val="21"/>
                <w:lang w:val="en-US" w:eastAsia="zh-CN"/>
              </w:rPr>
              <w:t>。</w:t>
            </w:r>
          </w:p>
          <w:p w14:paraId="1B2A274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2.2污染防治措施达标可行性分析</w:t>
            </w:r>
          </w:p>
          <w:p w14:paraId="3325191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项目生活污水</w:t>
            </w:r>
            <w:r>
              <w:rPr>
                <w:rFonts w:hint="eastAsia" w:ascii="Times New Roman" w:hAnsi="Times New Roman" w:eastAsia="宋体" w:cs="Times New Roman"/>
                <w:color w:val="auto"/>
                <w:kern w:val="0"/>
                <w:szCs w:val="21"/>
                <w:lang w:val="en-US" w:eastAsia="zh-CN"/>
              </w:rPr>
              <w:t>经厂区现有污水处理站</w:t>
            </w:r>
            <w:r>
              <w:rPr>
                <w:rFonts w:hint="default" w:ascii="Times New Roman" w:hAnsi="Times New Roman" w:eastAsia="宋体" w:cs="Times New Roman"/>
                <w:color w:val="auto"/>
                <w:kern w:val="0"/>
                <w:szCs w:val="21"/>
                <w:lang w:val="en-US" w:eastAsia="zh-CN"/>
              </w:rPr>
              <w:t>处理达标后全部回用，项目营运期生活污水产生情况详见下表。</w:t>
            </w:r>
          </w:p>
          <w:p w14:paraId="3BB44D57">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en-US" w:eastAsia="zh-CN"/>
              </w:rPr>
            </w:pPr>
            <w:bookmarkStart w:id="5" w:name="表4-5  生活污水产生及排放情况一览表"/>
            <w:bookmarkEnd w:id="5"/>
            <w:r>
              <w:rPr>
                <w:rFonts w:hint="default" w:ascii="Times New Roman" w:hAnsi="Times New Roman" w:eastAsia="宋体" w:cs="Times New Roman"/>
                <w:b/>
                <w:bCs/>
                <w:color w:val="auto"/>
                <w:sz w:val="24"/>
                <w:lang w:val="en-US" w:eastAsia="zh-CN"/>
              </w:rPr>
              <w:t>表4-</w:t>
            </w:r>
            <w:r>
              <w:rPr>
                <w:rFonts w:hint="eastAsia" w:ascii="Times New Roman" w:hAnsi="Times New Roman" w:eastAsia="宋体" w:cs="Times New Roman"/>
                <w:b/>
                <w:bCs/>
                <w:color w:val="auto"/>
                <w:sz w:val="24"/>
                <w:lang w:val="en-US" w:eastAsia="zh-CN"/>
              </w:rPr>
              <w:t>5</w:t>
            </w:r>
            <w:r>
              <w:rPr>
                <w:rFonts w:hint="default" w:ascii="Times New Roman" w:hAnsi="Times New Roman" w:eastAsia="宋体" w:cs="Times New Roman"/>
                <w:b/>
                <w:bCs/>
                <w:color w:val="auto"/>
                <w:sz w:val="24"/>
                <w:lang w:val="en-US" w:eastAsia="zh-CN"/>
              </w:rPr>
              <w:t>生活污水产生情况一览表</w:t>
            </w:r>
          </w:p>
          <w:tbl>
            <w:tblPr>
              <w:tblStyle w:val="24"/>
              <w:tblW w:w="495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1"/>
              <w:gridCol w:w="1436"/>
              <w:gridCol w:w="1900"/>
              <w:gridCol w:w="1687"/>
              <w:gridCol w:w="2174"/>
            </w:tblGrid>
            <w:tr w14:paraId="5131D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45" w:type="pct"/>
                  <w:vMerge w:val="restart"/>
                  <w:tcBorders>
                    <w:tl2br w:val="nil"/>
                    <w:tr2bl w:val="nil"/>
                  </w:tcBorders>
                  <w:noWrap w:val="0"/>
                  <w:vAlign w:val="center"/>
                </w:tcPr>
                <w:p w14:paraId="48EB05B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类别</w:t>
                  </w:r>
                </w:p>
              </w:tc>
              <w:tc>
                <w:tcPr>
                  <w:tcW w:w="849" w:type="pct"/>
                  <w:vMerge w:val="restart"/>
                  <w:tcBorders>
                    <w:tl2br w:val="nil"/>
                    <w:tr2bl w:val="nil"/>
                  </w:tcBorders>
                  <w:noWrap w:val="0"/>
                  <w:vAlign w:val="center"/>
                </w:tcPr>
                <w:p w14:paraId="2D5294B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污染物名称</w:t>
                  </w:r>
                </w:p>
              </w:tc>
              <w:tc>
                <w:tcPr>
                  <w:tcW w:w="2120" w:type="pct"/>
                  <w:gridSpan w:val="2"/>
                  <w:tcBorders>
                    <w:tl2br w:val="nil"/>
                    <w:tr2bl w:val="nil"/>
                  </w:tcBorders>
                  <w:noWrap w:val="0"/>
                  <w:vAlign w:val="center"/>
                </w:tcPr>
                <w:p w14:paraId="0501DBE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产生情况</w:t>
                  </w:r>
                </w:p>
              </w:tc>
              <w:tc>
                <w:tcPr>
                  <w:tcW w:w="1285" w:type="pct"/>
                  <w:vMerge w:val="restart"/>
                  <w:tcBorders>
                    <w:tl2br w:val="nil"/>
                    <w:tr2bl w:val="nil"/>
                  </w:tcBorders>
                  <w:noWrap w:val="0"/>
                  <w:vAlign w:val="center"/>
                </w:tcPr>
                <w:p w14:paraId="0337969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处理措施</w:t>
                  </w:r>
                </w:p>
              </w:tc>
            </w:tr>
            <w:tr w14:paraId="3BDB1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45" w:type="pct"/>
                  <w:vMerge w:val="continue"/>
                  <w:tcBorders>
                    <w:tl2br w:val="nil"/>
                    <w:tr2bl w:val="nil"/>
                  </w:tcBorders>
                  <w:noWrap w:val="0"/>
                  <w:vAlign w:val="center"/>
                </w:tcPr>
                <w:p w14:paraId="67B4EC9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849" w:type="pct"/>
                  <w:vMerge w:val="continue"/>
                  <w:tcBorders>
                    <w:tl2br w:val="nil"/>
                    <w:tr2bl w:val="nil"/>
                  </w:tcBorders>
                  <w:noWrap w:val="0"/>
                  <w:vAlign w:val="center"/>
                </w:tcPr>
                <w:p w14:paraId="19BD65C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1123" w:type="pct"/>
                  <w:tcBorders>
                    <w:tl2br w:val="nil"/>
                    <w:tr2bl w:val="nil"/>
                  </w:tcBorders>
                  <w:noWrap w:val="0"/>
                  <w:vAlign w:val="center"/>
                </w:tcPr>
                <w:p w14:paraId="31CC38C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产生浓度（mg/L）</w:t>
                  </w:r>
                </w:p>
              </w:tc>
              <w:tc>
                <w:tcPr>
                  <w:tcW w:w="997" w:type="pct"/>
                  <w:tcBorders>
                    <w:tl2br w:val="nil"/>
                    <w:tr2bl w:val="nil"/>
                  </w:tcBorders>
                  <w:noWrap w:val="0"/>
                  <w:vAlign w:val="center"/>
                </w:tcPr>
                <w:p w14:paraId="08A6010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产生量（t/a）</w:t>
                  </w:r>
                </w:p>
              </w:tc>
              <w:tc>
                <w:tcPr>
                  <w:tcW w:w="1285" w:type="pct"/>
                  <w:vMerge w:val="continue"/>
                  <w:tcBorders>
                    <w:tl2br w:val="nil"/>
                    <w:tr2bl w:val="nil"/>
                  </w:tcBorders>
                  <w:noWrap w:val="0"/>
                  <w:vAlign w:val="center"/>
                </w:tcPr>
                <w:p w14:paraId="2FA0D64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r>
            <w:tr w14:paraId="2A83E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45" w:type="pct"/>
                  <w:vMerge w:val="restart"/>
                  <w:tcBorders>
                    <w:tl2br w:val="nil"/>
                    <w:tr2bl w:val="nil"/>
                  </w:tcBorders>
                  <w:noWrap w:val="0"/>
                  <w:vAlign w:val="center"/>
                </w:tcPr>
                <w:p w14:paraId="2BA8EB3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生活污水</w:t>
                  </w:r>
                </w:p>
                <w:p w14:paraId="6D026A7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w:t>
                  </w:r>
                  <w:r>
                    <w:rPr>
                      <w:rFonts w:hint="eastAsia"/>
                      <w:color w:val="auto"/>
                      <w:sz w:val="21"/>
                      <w:szCs w:val="21"/>
                      <w:lang w:val="en-US" w:eastAsia="zh-CN"/>
                    </w:rPr>
                    <w:t>384</w:t>
                  </w:r>
                  <w:r>
                    <w:rPr>
                      <w:rFonts w:hint="default" w:ascii="Times New Roman" w:hAnsi="Times New Roman" w:eastAsia="宋体"/>
                      <w:color w:val="auto"/>
                      <w:sz w:val="21"/>
                      <w:szCs w:val="21"/>
                      <w:lang w:val="en-US" w:eastAsia="zh-CN"/>
                    </w:rPr>
                    <w:t>m</w:t>
                  </w:r>
                  <w:r>
                    <w:rPr>
                      <w:rFonts w:hint="default" w:ascii="Times New Roman" w:hAnsi="Times New Roman" w:eastAsia="宋体"/>
                      <w:color w:val="auto"/>
                      <w:sz w:val="21"/>
                      <w:szCs w:val="21"/>
                      <w:vertAlign w:val="superscript"/>
                      <w:lang w:val="en-US" w:eastAsia="zh-CN"/>
                    </w:rPr>
                    <w:t>3</w:t>
                  </w:r>
                  <w:r>
                    <w:rPr>
                      <w:rFonts w:hint="default" w:ascii="Times New Roman" w:hAnsi="Times New Roman" w:eastAsia="宋体"/>
                      <w:color w:val="auto"/>
                      <w:sz w:val="21"/>
                      <w:szCs w:val="21"/>
                      <w:lang w:val="en-US" w:eastAsia="zh-CN"/>
                    </w:rPr>
                    <w:t>/a）</w:t>
                  </w:r>
                </w:p>
              </w:tc>
              <w:tc>
                <w:tcPr>
                  <w:tcW w:w="849" w:type="pct"/>
                  <w:tcBorders>
                    <w:tl2br w:val="nil"/>
                    <w:tr2bl w:val="nil"/>
                  </w:tcBorders>
                  <w:noWrap w:val="0"/>
                  <w:vAlign w:val="center"/>
                </w:tcPr>
                <w:p w14:paraId="60B274E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COD</w:t>
                  </w:r>
                </w:p>
              </w:tc>
              <w:tc>
                <w:tcPr>
                  <w:tcW w:w="1123" w:type="pct"/>
                  <w:tcBorders>
                    <w:tl2br w:val="nil"/>
                    <w:tr2bl w:val="nil"/>
                  </w:tcBorders>
                  <w:noWrap w:val="0"/>
                  <w:vAlign w:val="center"/>
                </w:tcPr>
                <w:p w14:paraId="436D51F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300</w:t>
                  </w:r>
                </w:p>
              </w:tc>
              <w:tc>
                <w:tcPr>
                  <w:tcW w:w="1687" w:type="dxa"/>
                  <w:tcBorders>
                    <w:tl2br w:val="nil"/>
                    <w:tr2bl w:val="nil"/>
                  </w:tcBorders>
                  <w:noWrap w:val="0"/>
                  <w:vAlign w:val="center"/>
                </w:tcPr>
                <w:p w14:paraId="0F13834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0.115</w:t>
                  </w:r>
                </w:p>
              </w:tc>
              <w:tc>
                <w:tcPr>
                  <w:tcW w:w="1285" w:type="pct"/>
                  <w:vMerge w:val="restart"/>
                  <w:tcBorders>
                    <w:tl2br w:val="nil"/>
                    <w:tr2bl w:val="nil"/>
                  </w:tcBorders>
                  <w:noWrap w:val="0"/>
                  <w:vAlign w:val="center"/>
                </w:tcPr>
                <w:p w14:paraId="60B282D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调节池</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olor w:val="auto"/>
                      <w:sz w:val="21"/>
                      <w:szCs w:val="21"/>
                      <w:lang w:val="en-US" w:eastAsia="zh-CN"/>
                    </w:rPr>
                    <w:t>气浮池</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olor w:val="auto"/>
                      <w:sz w:val="21"/>
                      <w:szCs w:val="21"/>
                      <w:lang w:val="en-US" w:eastAsia="zh-CN"/>
                    </w:rPr>
                    <w:t>还原反应槽</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olor w:val="auto"/>
                      <w:sz w:val="21"/>
                      <w:szCs w:val="21"/>
                      <w:lang w:val="en-US" w:eastAsia="zh-CN"/>
                    </w:rPr>
                    <w:t>中和反应槽</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olor w:val="auto"/>
                      <w:sz w:val="21"/>
                      <w:szCs w:val="21"/>
                      <w:lang w:val="en-US" w:eastAsia="zh-CN"/>
                    </w:rPr>
                    <w:t>絮凝沉淀池</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olor w:val="auto"/>
                      <w:sz w:val="21"/>
                      <w:szCs w:val="21"/>
                      <w:lang w:val="en-US" w:eastAsia="zh-CN"/>
                    </w:rPr>
                    <w:t>中间水池</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olor w:val="auto"/>
                      <w:sz w:val="21"/>
                      <w:szCs w:val="21"/>
                      <w:lang w:val="en-US" w:eastAsia="zh-CN"/>
                    </w:rPr>
                    <w:t>MBR</w:t>
                  </w:r>
                  <w:r>
                    <w:rPr>
                      <w:rFonts w:hint="eastAsia" w:ascii="Times New Roman" w:hAnsi="Times New Roman" w:eastAsia="宋体"/>
                      <w:color w:val="auto"/>
                      <w:sz w:val="21"/>
                      <w:szCs w:val="21"/>
                      <w:lang w:val="en-US" w:eastAsia="zh-CN"/>
                    </w:rPr>
                    <w:t>反应池</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olor w:val="auto"/>
                      <w:sz w:val="21"/>
                      <w:szCs w:val="21"/>
                      <w:lang w:val="en-US" w:eastAsia="zh-CN"/>
                    </w:rPr>
                    <w:t>纳滤系统</w:t>
                  </w:r>
                </w:p>
              </w:tc>
            </w:tr>
            <w:tr w14:paraId="26FCC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45" w:type="pct"/>
                  <w:vMerge w:val="continue"/>
                  <w:tcBorders>
                    <w:tl2br w:val="nil"/>
                    <w:tr2bl w:val="nil"/>
                  </w:tcBorders>
                  <w:noWrap w:val="0"/>
                  <w:vAlign w:val="center"/>
                </w:tcPr>
                <w:p w14:paraId="2950920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849" w:type="pct"/>
                  <w:tcBorders>
                    <w:tl2br w:val="nil"/>
                    <w:tr2bl w:val="nil"/>
                  </w:tcBorders>
                  <w:noWrap w:val="0"/>
                  <w:vAlign w:val="center"/>
                </w:tcPr>
                <w:p w14:paraId="2679738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BOD</w:t>
                  </w:r>
                  <w:r>
                    <w:rPr>
                      <w:rFonts w:hint="default" w:ascii="Times New Roman" w:hAnsi="Times New Roman" w:eastAsia="宋体"/>
                      <w:color w:val="auto"/>
                      <w:sz w:val="21"/>
                      <w:szCs w:val="21"/>
                      <w:vertAlign w:val="subscript"/>
                      <w:lang w:val="en-US" w:eastAsia="zh-CN"/>
                    </w:rPr>
                    <w:t>5</w:t>
                  </w:r>
                </w:p>
              </w:tc>
              <w:tc>
                <w:tcPr>
                  <w:tcW w:w="1123" w:type="pct"/>
                  <w:tcBorders>
                    <w:tl2br w:val="nil"/>
                    <w:tr2bl w:val="nil"/>
                  </w:tcBorders>
                  <w:noWrap w:val="0"/>
                  <w:vAlign w:val="center"/>
                </w:tcPr>
                <w:p w14:paraId="3667318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250</w:t>
                  </w:r>
                </w:p>
              </w:tc>
              <w:tc>
                <w:tcPr>
                  <w:tcW w:w="1687" w:type="dxa"/>
                  <w:tcBorders>
                    <w:tl2br w:val="nil"/>
                    <w:tr2bl w:val="nil"/>
                  </w:tcBorders>
                  <w:noWrap w:val="0"/>
                  <w:vAlign w:val="center"/>
                </w:tcPr>
                <w:p w14:paraId="2B42817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0.096</w:t>
                  </w:r>
                </w:p>
              </w:tc>
              <w:tc>
                <w:tcPr>
                  <w:tcW w:w="1285" w:type="pct"/>
                  <w:vMerge w:val="continue"/>
                  <w:tcBorders>
                    <w:tl2br w:val="nil"/>
                    <w:tr2bl w:val="nil"/>
                  </w:tcBorders>
                  <w:noWrap w:val="0"/>
                  <w:vAlign w:val="center"/>
                </w:tcPr>
                <w:p w14:paraId="30A3992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r>
            <w:tr w14:paraId="2E197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45" w:type="pct"/>
                  <w:vMerge w:val="continue"/>
                  <w:tcBorders>
                    <w:tl2br w:val="nil"/>
                    <w:tr2bl w:val="nil"/>
                  </w:tcBorders>
                  <w:noWrap w:val="0"/>
                  <w:vAlign w:val="center"/>
                </w:tcPr>
                <w:p w14:paraId="7A7F5A8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849" w:type="pct"/>
                  <w:tcBorders>
                    <w:tl2br w:val="nil"/>
                    <w:tr2bl w:val="nil"/>
                  </w:tcBorders>
                  <w:noWrap w:val="0"/>
                  <w:vAlign w:val="center"/>
                </w:tcPr>
                <w:p w14:paraId="425A2AF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NH</w:t>
                  </w:r>
                  <w:r>
                    <w:rPr>
                      <w:rFonts w:hint="default" w:ascii="Times New Roman" w:hAnsi="Times New Roman" w:eastAsia="宋体"/>
                      <w:color w:val="auto"/>
                      <w:sz w:val="21"/>
                      <w:szCs w:val="21"/>
                      <w:vertAlign w:val="subscript"/>
                      <w:lang w:val="en-US" w:eastAsia="zh-CN"/>
                    </w:rPr>
                    <w:t>3</w:t>
                  </w:r>
                  <w:r>
                    <w:rPr>
                      <w:rFonts w:hint="default" w:ascii="Times New Roman" w:hAnsi="Times New Roman" w:eastAsia="宋体"/>
                      <w:color w:val="auto"/>
                      <w:sz w:val="21"/>
                      <w:szCs w:val="21"/>
                      <w:lang w:val="en-US" w:eastAsia="zh-CN"/>
                    </w:rPr>
                    <w:t>-N</w:t>
                  </w:r>
                </w:p>
              </w:tc>
              <w:tc>
                <w:tcPr>
                  <w:tcW w:w="1123" w:type="pct"/>
                  <w:tcBorders>
                    <w:tl2br w:val="nil"/>
                    <w:tr2bl w:val="nil"/>
                  </w:tcBorders>
                  <w:noWrap w:val="0"/>
                  <w:vAlign w:val="center"/>
                </w:tcPr>
                <w:p w14:paraId="3E091B3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30</w:t>
                  </w:r>
                </w:p>
              </w:tc>
              <w:tc>
                <w:tcPr>
                  <w:tcW w:w="1687" w:type="dxa"/>
                  <w:tcBorders>
                    <w:tl2br w:val="nil"/>
                    <w:tr2bl w:val="nil"/>
                  </w:tcBorders>
                  <w:noWrap w:val="0"/>
                  <w:vAlign w:val="center"/>
                </w:tcPr>
                <w:p w14:paraId="7CEB9CA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0.012</w:t>
                  </w:r>
                </w:p>
              </w:tc>
              <w:tc>
                <w:tcPr>
                  <w:tcW w:w="1285" w:type="pct"/>
                  <w:vMerge w:val="continue"/>
                  <w:tcBorders>
                    <w:tl2br w:val="nil"/>
                    <w:tr2bl w:val="nil"/>
                  </w:tcBorders>
                  <w:noWrap w:val="0"/>
                  <w:vAlign w:val="center"/>
                </w:tcPr>
                <w:p w14:paraId="14966B8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r>
            <w:tr w14:paraId="32089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45" w:type="pct"/>
                  <w:vMerge w:val="continue"/>
                  <w:tcBorders>
                    <w:tl2br w:val="nil"/>
                    <w:tr2bl w:val="nil"/>
                  </w:tcBorders>
                  <w:noWrap w:val="0"/>
                  <w:vAlign w:val="center"/>
                </w:tcPr>
                <w:p w14:paraId="2DFF4B6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849" w:type="pct"/>
                  <w:tcBorders>
                    <w:tl2br w:val="nil"/>
                    <w:tr2bl w:val="nil"/>
                  </w:tcBorders>
                  <w:noWrap w:val="0"/>
                  <w:vAlign w:val="center"/>
                </w:tcPr>
                <w:p w14:paraId="54A7078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SS</w:t>
                  </w:r>
                </w:p>
              </w:tc>
              <w:tc>
                <w:tcPr>
                  <w:tcW w:w="1123" w:type="pct"/>
                  <w:tcBorders>
                    <w:tl2br w:val="nil"/>
                    <w:tr2bl w:val="nil"/>
                  </w:tcBorders>
                  <w:noWrap w:val="0"/>
                  <w:vAlign w:val="center"/>
                </w:tcPr>
                <w:p w14:paraId="63B61F2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220</w:t>
                  </w:r>
                </w:p>
              </w:tc>
              <w:tc>
                <w:tcPr>
                  <w:tcW w:w="1687" w:type="dxa"/>
                  <w:tcBorders>
                    <w:tl2br w:val="nil"/>
                    <w:tr2bl w:val="nil"/>
                  </w:tcBorders>
                  <w:noWrap w:val="0"/>
                  <w:vAlign w:val="center"/>
                </w:tcPr>
                <w:p w14:paraId="60DACF8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0.084</w:t>
                  </w:r>
                </w:p>
              </w:tc>
              <w:tc>
                <w:tcPr>
                  <w:tcW w:w="1285" w:type="pct"/>
                  <w:vMerge w:val="continue"/>
                  <w:tcBorders>
                    <w:tl2br w:val="nil"/>
                    <w:tr2bl w:val="nil"/>
                  </w:tcBorders>
                  <w:noWrap w:val="0"/>
                  <w:vAlign w:val="center"/>
                </w:tcPr>
                <w:p w14:paraId="79E7CDE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r>
          </w:tbl>
          <w:p w14:paraId="395EECF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bCs/>
                <w:color w:val="auto"/>
                <w:kern w:val="0"/>
                <w:szCs w:val="21"/>
              </w:rPr>
            </w:pPr>
            <w:r>
              <w:rPr>
                <w:rFonts w:hint="default" w:ascii="Times New Roman" w:hAnsi="Times New Roman" w:eastAsia="宋体" w:cs="Times New Roman"/>
                <w:color w:val="auto"/>
                <w:kern w:val="0"/>
                <w:szCs w:val="21"/>
                <w:lang w:val="en-US" w:eastAsia="zh-CN"/>
              </w:rPr>
              <w:t>项目生活污水经</w:t>
            </w:r>
            <w:r>
              <w:rPr>
                <w:rFonts w:hint="eastAsia" w:ascii="Times New Roman" w:hAnsi="Times New Roman" w:eastAsia="宋体" w:cs="Times New Roman"/>
                <w:color w:val="auto"/>
                <w:kern w:val="0"/>
                <w:szCs w:val="21"/>
                <w:lang w:val="en-US" w:eastAsia="zh-CN"/>
              </w:rPr>
              <w:t>污水处理站处理</w:t>
            </w:r>
            <w:r>
              <w:rPr>
                <w:rFonts w:hint="default" w:ascii="Times New Roman" w:hAnsi="Times New Roman" w:eastAsia="宋体" w:cs="Times New Roman"/>
                <w:color w:val="auto"/>
                <w:kern w:val="0"/>
                <w:szCs w:val="21"/>
                <w:lang w:val="en-US" w:eastAsia="zh-CN"/>
              </w:rPr>
              <w:t>后各污染物排放浓度均满足</w:t>
            </w:r>
            <w:r>
              <w:rPr>
                <w:rFonts w:hint="eastAsia" w:ascii="Times New Roman" w:hAnsi="Times New Roman" w:eastAsia="宋体" w:cs="Times New Roman"/>
                <w:color w:val="auto"/>
                <w:kern w:val="0"/>
                <w:szCs w:val="21"/>
                <w:lang w:val="en-US" w:eastAsia="zh-CN"/>
              </w:rPr>
              <w:t>《城市污水再生利用工业用水水质》</w:t>
            </w:r>
            <w:r>
              <w:rPr>
                <w:rFonts w:hint="default" w:ascii="Times New Roman" w:hAnsi="Times New Roman" w:eastAsia="宋体" w:cs="Times New Roman"/>
                <w:color w:val="auto"/>
                <w:kern w:val="0"/>
                <w:szCs w:val="21"/>
                <w:lang w:val="en-US" w:eastAsia="zh-CN"/>
              </w:rPr>
              <w:t>(GB/T19923-20</w:t>
            </w:r>
            <w:r>
              <w:rPr>
                <w:rFonts w:hint="eastAsia" w:ascii="Times New Roman" w:hAnsi="Times New Roman" w:eastAsia="宋体" w:cs="Times New Roman"/>
                <w:color w:val="auto"/>
                <w:kern w:val="0"/>
                <w:szCs w:val="21"/>
                <w:lang w:val="en-US" w:eastAsia="zh-CN"/>
              </w:rPr>
              <w:t>24</w:t>
            </w: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中表</w:t>
            </w:r>
            <w:r>
              <w:rPr>
                <w:rFonts w:hint="default" w:ascii="Times New Roman" w:hAnsi="Times New Roman" w:eastAsia="宋体" w:cs="Times New Roman"/>
                <w:color w:val="auto"/>
                <w:kern w:val="0"/>
                <w:szCs w:val="21"/>
                <w:lang w:val="en-US" w:eastAsia="zh-CN"/>
              </w:rPr>
              <w:t>1</w:t>
            </w:r>
            <w:r>
              <w:rPr>
                <w:rFonts w:hint="eastAsia" w:ascii="Times New Roman" w:hAnsi="Times New Roman" w:eastAsia="宋体" w:cs="Times New Roman"/>
                <w:color w:val="auto"/>
                <w:kern w:val="0"/>
                <w:szCs w:val="21"/>
                <w:lang w:val="en-US" w:eastAsia="zh-CN"/>
              </w:rPr>
              <w:t>限值要求</w:t>
            </w:r>
            <w:r>
              <w:rPr>
                <w:rFonts w:hint="default" w:ascii="Times New Roman" w:hAnsi="Times New Roman" w:eastAsia="宋体"/>
                <w:bCs/>
                <w:color w:val="auto"/>
                <w:kern w:val="0"/>
                <w:szCs w:val="21"/>
              </w:rPr>
              <w:t>。</w:t>
            </w:r>
          </w:p>
          <w:p w14:paraId="59E1E54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2.3依托污水处理设施环境可行性分析</w:t>
            </w:r>
          </w:p>
          <w:p w14:paraId="3915578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本项目位于内蒙古自治区鄂尔多斯市鄂托克旗</w:t>
            </w:r>
            <w:r>
              <w:rPr>
                <w:rFonts w:hint="eastAsia" w:ascii="Times New Roman" w:hAnsi="Times New Roman" w:eastAsia="宋体" w:cs="Times New Roman"/>
                <w:color w:val="auto"/>
                <w:kern w:val="0"/>
                <w:szCs w:val="21"/>
                <w:lang w:val="en-US" w:eastAsia="zh-CN"/>
              </w:rPr>
              <w:t>内蒙古美力坚清蓝危废处置有限公司现有厂区范围内，</w:t>
            </w:r>
            <w:r>
              <w:rPr>
                <w:rFonts w:hint="default" w:ascii="Times New Roman" w:hAnsi="Times New Roman" w:eastAsia="宋体" w:cs="Times New Roman"/>
                <w:color w:val="auto"/>
                <w:kern w:val="0"/>
                <w:szCs w:val="21"/>
                <w:lang w:val="en-US" w:eastAsia="zh-CN"/>
              </w:rPr>
              <w:t>项目营运期</w:t>
            </w:r>
            <w:r>
              <w:rPr>
                <w:rFonts w:hint="eastAsia" w:ascii="Times New Roman" w:hAnsi="Times New Roman" w:eastAsia="宋体" w:cs="Times New Roman"/>
                <w:color w:val="auto"/>
                <w:kern w:val="0"/>
                <w:szCs w:val="21"/>
                <w:lang w:val="en-US" w:eastAsia="zh-CN"/>
              </w:rPr>
              <w:t>生活污水产生</w:t>
            </w:r>
            <w:r>
              <w:rPr>
                <w:rFonts w:hint="default" w:ascii="Times New Roman" w:hAnsi="Times New Roman" w:eastAsia="宋体" w:cs="Times New Roman"/>
                <w:color w:val="auto"/>
                <w:kern w:val="0"/>
                <w:szCs w:val="21"/>
                <w:lang w:val="en-US" w:eastAsia="zh-CN"/>
              </w:rPr>
              <w:t>量</w:t>
            </w:r>
            <w:r>
              <w:rPr>
                <w:rFonts w:hint="eastAsia" w:ascii="Times New Roman" w:hAnsi="Times New Roman" w:eastAsia="宋体" w:cs="Times New Roman"/>
                <w:color w:val="auto"/>
                <w:kern w:val="0"/>
                <w:szCs w:val="21"/>
                <w:lang w:val="en-US" w:eastAsia="zh-CN"/>
              </w:rPr>
              <w:t>为</w:t>
            </w:r>
            <w:r>
              <w:rPr>
                <w:rFonts w:hint="eastAsia" w:cs="Times New Roman"/>
                <w:color w:val="auto"/>
                <w:kern w:val="0"/>
                <w:szCs w:val="21"/>
                <w:lang w:val="en-US" w:eastAsia="zh-CN"/>
              </w:rPr>
              <w:t>0.96</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Cs w:val="21"/>
                <w:lang w:val="en-US" w:eastAsia="zh-CN"/>
              </w:rPr>
              <w:t>/d，主要污染物为COD、BOD</w:t>
            </w:r>
            <w:r>
              <w:rPr>
                <w:rFonts w:hint="default" w:ascii="Times New Roman" w:hAnsi="Times New Roman" w:eastAsia="宋体" w:cs="Times New Roman"/>
                <w:color w:val="auto"/>
                <w:kern w:val="0"/>
                <w:szCs w:val="21"/>
                <w:vertAlign w:val="subscript"/>
                <w:lang w:val="en-US" w:eastAsia="zh-CN"/>
              </w:rPr>
              <w:t>5</w:t>
            </w:r>
            <w:r>
              <w:rPr>
                <w:rFonts w:hint="default" w:ascii="Times New Roman" w:hAnsi="Times New Roman" w:eastAsia="宋体" w:cs="Times New Roman"/>
                <w:color w:val="auto"/>
                <w:kern w:val="0"/>
                <w:szCs w:val="21"/>
                <w:lang w:val="en-US" w:eastAsia="zh-CN"/>
              </w:rPr>
              <w:t>、NH</w:t>
            </w:r>
            <w:r>
              <w:rPr>
                <w:rFonts w:hint="default" w:ascii="Times New Roman" w:hAnsi="Times New Roman" w:eastAsia="宋体" w:cs="Times New Roman"/>
                <w:color w:val="auto"/>
                <w:kern w:val="0"/>
                <w:szCs w:val="21"/>
                <w:vertAlign w:val="subscript"/>
                <w:lang w:val="en-US" w:eastAsia="zh-CN"/>
              </w:rPr>
              <w:t>3</w:t>
            </w:r>
            <w:r>
              <w:rPr>
                <w:rFonts w:hint="default" w:ascii="Times New Roman" w:hAnsi="Times New Roman" w:eastAsia="宋体" w:cs="Times New Roman"/>
                <w:color w:val="auto"/>
                <w:kern w:val="0"/>
                <w:szCs w:val="21"/>
                <w:lang w:val="en-US" w:eastAsia="zh-CN"/>
              </w:rPr>
              <w:t>-N、SS等，水质简单</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项目污水经</w:t>
            </w:r>
            <w:r>
              <w:rPr>
                <w:rFonts w:hint="eastAsia" w:ascii="Times New Roman" w:hAnsi="Times New Roman" w:eastAsia="宋体" w:cs="Times New Roman"/>
                <w:color w:val="auto"/>
                <w:kern w:val="0"/>
                <w:szCs w:val="21"/>
                <w:lang w:val="en-US" w:eastAsia="zh-CN"/>
              </w:rPr>
              <w:t>现有污水处理站采用</w:t>
            </w: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 w:val="24"/>
                <w:szCs w:val="24"/>
                <w:lang w:val="en-US" w:eastAsia="zh-CN" w:bidi="ar-SA"/>
              </w:rPr>
              <w:t>调节池</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 w:val="24"/>
                <w:szCs w:val="24"/>
                <w:lang w:val="en-US" w:eastAsia="zh-CN" w:bidi="ar-SA"/>
              </w:rPr>
              <w:t>气浮池</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 w:val="24"/>
                <w:szCs w:val="24"/>
                <w:lang w:val="en-US" w:eastAsia="zh-CN" w:bidi="ar-SA"/>
              </w:rPr>
              <w:t>还原反应槽</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 w:val="24"/>
                <w:szCs w:val="24"/>
                <w:lang w:val="en-US" w:eastAsia="zh-CN" w:bidi="ar-SA"/>
              </w:rPr>
              <w:t>中和反应槽</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 w:val="24"/>
                <w:szCs w:val="24"/>
                <w:lang w:val="en-US" w:eastAsia="zh-CN" w:bidi="ar-SA"/>
              </w:rPr>
              <w:t>絮凝沉淀池</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 w:val="24"/>
                <w:szCs w:val="24"/>
                <w:lang w:val="en-US" w:eastAsia="zh-CN" w:bidi="ar-SA"/>
              </w:rPr>
              <w:t>中间水池</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kern w:val="0"/>
                <w:sz w:val="24"/>
                <w:szCs w:val="24"/>
                <w:lang w:val="en-US" w:eastAsia="zh-CN" w:bidi="ar-SA"/>
              </w:rPr>
              <w:t>MBR</w:t>
            </w:r>
            <w:r>
              <w:rPr>
                <w:rFonts w:hint="eastAsia" w:ascii="Times New Roman" w:hAnsi="Times New Roman" w:eastAsia="宋体" w:cs="Times New Roman"/>
                <w:color w:val="auto"/>
                <w:kern w:val="0"/>
                <w:sz w:val="24"/>
                <w:szCs w:val="24"/>
                <w:lang w:val="en-US" w:eastAsia="zh-CN" w:bidi="ar-SA"/>
              </w:rPr>
              <w:t>反应池</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 w:val="24"/>
                <w:szCs w:val="24"/>
                <w:lang w:val="en-US" w:eastAsia="zh-CN" w:bidi="ar-SA"/>
              </w:rPr>
              <w:t>纳滤系统</w:t>
            </w:r>
            <w:r>
              <w:rPr>
                <w:rFonts w:hint="default" w:ascii="Times New Roman" w:hAnsi="Times New Roman" w:eastAsia="宋体" w:cs="Times New Roman"/>
                <w:color w:val="auto"/>
                <w:kern w:val="0"/>
                <w:szCs w:val="21"/>
                <w:lang w:val="en-US" w:eastAsia="zh-CN"/>
              </w:rPr>
              <w:t>”处理达标后全部回用。</w:t>
            </w:r>
            <w:r>
              <w:rPr>
                <w:rFonts w:hint="eastAsia" w:cs="Times New Roman"/>
                <w:color w:val="auto"/>
                <w:kern w:val="0"/>
                <w:szCs w:val="21"/>
                <w:lang w:val="en-US" w:eastAsia="zh-CN"/>
              </w:rPr>
              <w:t>污</w:t>
            </w:r>
            <w:r>
              <w:rPr>
                <w:rFonts w:hint="default" w:ascii="Times New Roman" w:hAnsi="Times New Roman" w:eastAsia="宋体" w:cs="Times New Roman"/>
                <w:color w:val="auto"/>
                <w:kern w:val="0"/>
                <w:szCs w:val="21"/>
                <w:lang w:val="en-US" w:eastAsia="zh-CN"/>
              </w:rPr>
              <w:t>水通过</w:t>
            </w:r>
            <w:r>
              <w:rPr>
                <w:rFonts w:hint="eastAsia" w:ascii="Times New Roman" w:hAnsi="Times New Roman" w:eastAsia="宋体" w:cs="Times New Roman"/>
                <w:color w:val="auto"/>
                <w:kern w:val="0"/>
                <w:szCs w:val="21"/>
                <w:lang w:val="en-US" w:eastAsia="zh-CN"/>
              </w:rPr>
              <w:t>污水处理站</w:t>
            </w:r>
            <w:r>
              <w:rPr>
                <w:rFonts w:hint="default" w:ascii="Times New Roman" w:hAnsi="Times New Roman" w:eastAsia="宋体" w:cs="Times New Roman"/>
                <w:color w:val="auto"/>
                <w:kern w:val="0"/>
                <w:szCs w:val="21"/>
                <w:lang w:val="en-US" w:eastAsia="zh-CN"/>
              </w:rPr>
              <w:t>处理后可满足</w:t>
            </w:r>
            <w:r>
              <w:rPr>
                <w:rFonts w:hint="eastAsia" w:ascii="Times New Roman" w:hAnsi="Times New Roman" w:eastAsia="宋体" w:cs="Times New Roman"/>
                <w:color w:val="auto"/>
                <w:kern w:val="0"/>
                <w:szCs w:val="21"/>
                <w:lang w:val="en-US" w:eastAsia="zh-CN"/>
              </w:rPr>
              <w:t>《城市污水再生利用工业用水水质》</w:t>
            </w:r>
            <w:r>
              <w:rPr>
                <w:rFonts w:hint="default" w:ascii="Times New Roman" w:hAnsi="Times New Roman" w:eastAsia="宋体" w:cs="Times New Roman"/>
                <w:color w:val="auto"/>
                <w:kern w:val="0"/>
                <w:szCs w:val="21"/>
                <w:lang w:val="en-US" w:eastAsia="zh-CN"/>
              </w:rPr>
              <w:t>(GB/T19923-20</w:t>
            </w:r>
            <w:r>
              <w:rPr>
                <w:rFonts w:hint="eastAsia" w:ascii="Times New Roman" w:hAnsi="Times New Roman" w:eastAsia="宋体" w:cs="Times New Roman"/>
                <w:color w:val="auto"/>
                <w:kern w:val="0"/>
                <w:szCs w:val="21"/>
                <w:lang w:val="en-US" w:eastAsia="zh-CN"/>
              </w:rPr>
              <w:t>24</w:t>
            </w: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中表</w:t>
            </w:r>
            <w:r>
              <w:rPr>
                <w:rFonts w:hint="default" w:ascii="Times New Roman" w:hAnsi="Times New Roman" w:eastAsia="宋体" w:cs="Times New Roman"/>
                <w:color w:val="auto"/>
                <w:kern w:val="0"/>
                <w:szCs w:val="21"/>
                <w:lang w:val="en-US" w:eastAsia="zh-CN"/>
              </w:rPr>
              <w:t>1</w:t>
            </w:r>
            <w:r>
              <w:rPr>
                <w:rFonts w:hint="eastAsia" w:ascii="Times New Roman" w:hAnsi="Times New Roman" w:eastAsia="宋体" w:cs="Times New Roman"/>
                <w:color w:val="auto"/>
                <w:kern w:val="0"/>
                <w:szCs w:val="21"/>
                <w:lang w:val="en-US" w:eastAsia="zh-CN"/>
              </w:rPr>
              <w:t>限值要求。</w:t>
            </w:r>
            <w:r>
              <w:rPr>
                <w:rFonts w:hint="default" w:ascii="Times New Roman" w:hAnsi="Times New Roman" w:eastAsia="宋体" w:cs="Times New Roman"/>
                <w:color w:val="auto"/>
                <w:kern w:val="0"/>
                <w:szCs w:val="21"/>
                <w:lang w:val="en-US" w:eastAsia="zh-CN"/>
              </w:rPr>
              <w:t>厂区内建设有一座有效容积为1000</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Cs w:val="21"/>
                <w:lang w:val="en-US" w:eastAsia="zh-CN"/>
              </w:rPr>
              <w:t>的事故水池兼做消防废水收集池</w:t>
            </w:r>
            <w:r>
              <w:rPr>
                <w:rFonts w:hint="eastAsia" w:ascii="Times New Roman" w:hAnsi="Times New Roman" w:eastAsia="宋体" w:cs="Times New Roman"/>
                <w:color w:val="auto"/>
                <w:kern w:val="0"/>
                <w:szCs w:val="21"/>
                <w:lang w:val="en-US" w:eastAsia="zh-CN"/>
              </w:rPr>
              <w:t>。</w:t>
            </w:r>
          </w:p>
          <w:p w14:paraId="1F0C640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厂区现有</w:t>
            </w:r>
            <w:r>
              <w:rPr>
                <w:rFonts w:hint="default" w:ascii="Times New Roman" w:hAnsi="Times New Roman" w:eastAsia="宋体" w:cs="Times New Roman"/>
                <w:color w:val="auto"/>
                <w:kern w:val="0"/>
                <w:sz w:val="24"/>
                <w:szCs w:val="24"/>
                <w:lang w:val="en-US" w:eastAsia="zh-CN" w:bidi="ar-SA"/>
              </w:rPr>
              <w:t>污水处理</w:t>
            </w:r>
            <w:r>
              <w:rPr>
                <w:rFonts w:hint="eastAsia" w:ascii="Times New Roman" w:hAnsi="Times New Roman" w:eastAsia="宋体" w:cs="Times New Roman"/>
                <w:color w:val="auto"/>
                <w:kern w:val="0"/>
                <w:sz w:val="24"/>
                <w:szCs w:val="24"/>
                <w:lang w:val="en-US" w:eastAsia="zh-CN" w:bidi="ar-SA"/>
              </w:rPr>
              <w:t>站</w:t>
            </w:r>
            <w:r>
              <w:rPr>
                <w:rFonts w:hint="default" w:ascii="Times New Roman" w:hAnsi="Times New Roman" w:eastAsia="宋体" w:cs="Times New Roman"/>
                <w:color w:val="auto"/>
                <w:kern w:val="0"/>
                <w:sz w:val="24"/>
                <w:szCs w:val="24"/>
                <w:lang w:val="en-US" w:eastAsia="zh-CN" w:bidi="ar-SA"/>
              </w:rPr>
              <w:t>设计规模为</w:t>
            </w:r>
            <w:r>
              <w:rPr>
                <w:rFonts w:hint="eastAsia" w:ascii="Times New Roman" w:hAnsi="Times New Roman" w:eastAsia="宋体" w:cs="Times New Roman"/>
                <w:color w:val="auto"/>
                <w:kern w:val="0"/>
                <w:sz w:val="24"/>
                <w:szCs w:val="24"/>
                <w:lang w:val="en-US" w:eastAsia="zh-CN" w:bidi="ar-SA"/>
              </w:rPr>
              <w:t>200</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 w:val="24"/>
                <w:szCs w:val="24"/>
                <w:lang w:val="en-US" w:eastAsia="zh-CN" w:bidi="ar-SA"/>
              </w:rPr>
              <w:t>/d，主要处理</w:t>
            </w:r>
            <w:r>
              <w:rPr>
                <w:rFonts w:hint="eastAsia" w:ascii="Times New Roman" w:hAnsi="Times New Roman" w:eastAsia="宋体" w:cs="Times New Roman"/>
                <w:color w:val="auto"/>
                <w:kern w:val="0"/>
                <w:sz w:val="24"/>
                <w:szCs w:val="24"/>
                <w:lang w:val="en-US" w:eastAsia="zh-CN" w:bidi="ar-SA"/>
              </w:rPr>
              <w:t>厂</w:t>
            </w:r>
            <w:r>
              <w:rPr>
                <w:rFonts w:hint="default" w:ascii="Times New Roman" w:hAnsi="Times New Roman" w:eastAsia="宋体" w:cs="Times New Roman"/>
                <w:color w:val="auto"/>
                <w:kern w:val="0"/>
                <w:sz w:val="24"/>
                <w:szCs w:val="24"/>
                <w:lang w:val="en-US" w:eastAsia="zh-CN" w:bidi="ar-SA"/>
              </w:rPr>
              <w:t>区一般</w:t>
            </w:r>
            <w:r>
              <w:rPr>
                <w:rFonts w:hint="eastAsia" w:ascii="Times New Roman" w:hAnsi="Times New Roman" w:eastAsia="宋体" w:cs="Times New Roman"/>
                <w:color w:val="auto"/>
                <w:kern w:val="0"/>
                <w:sz w:val="24"/>
                <w:szCs w:val="24"/>
                <w:lang w:val="en-US" w:eastAsia="zh-CN" w:bidi="ar-SA"/>
              </w:rPr>
              <w:t>生产</w:t>
            </w:r>
            <w:r>
              <w:rPr>
                <w:rFonts w:hint="default" w:ascii="Times New Roman" w:hAnsi="Times New Roman" w:eastAsia="宋体" w:cs="Times New Roman"/>
                <w:color w:val="auto"/>
                <w:kern w:val="0"/>
                <w:sz w:val="24"/>
                <w:szCs w:val="24"/>
                <w:lang w:val="en-US" w:eastAsia="zh-CN" w:bidi="ar-SA"/>
              </w:rPr>
              <w:t>废水和生活污水，</w:t>
            </w:r>
            <w:r>
              <w:rPr>
                <w:rFonts w:hint="eastAsia" w:ascii="Times New Roman" w:hAnsi="Times New Roman" w:eastAsia="宋体" w:cs="Times New Roman"/>
                <w:color w:val="auto"/>
                <w:kern w:val="0"/>
                <w:sz w:val="24"/>
                <w:szCs w:val="24"/>
                <w:lang w:val="en-US" w:eastAsia="zh-CN" w:bidi="ar-SA"/>
              </w:rPr>
              <w:t>目前污水处理站日均处理污水量</w:t>
            </w:r>
            <w:r>
              <w:rPr>
                <w:rFonts w:hint="default" w:ascii="Times New Roman" w:hAnsi="Times New Roman" w:eastAsia="宋体" w:cs="Times New Roman"/>
                <w:color w:val="auto"/>
                <w:kern w:val="0"/>
                <w:sz w:val="24"/>
                <w:szCs w:val="24"/>
                <w:lang w:val="en-US" w:eastAsia="zh-CN" w:bidi="ar-SA"/>
              </w:rPr>
              <w:t>为</w:t>
            </w:r>
            <w:r>
              <w:rPr>
                <w:rFonts w:hint="eastAsia" w:ascii="Times New Roman" w:hAnsi="Times New Roman" w:eastAsia="宋体" w:cs="Times New Roman"/>
                <w:color w:val="auto"/>
                <w:kern w:val="0"/>
                <w:szCs w:val="21"/>
                <w:lang w:val="en-US" w:eastAsia="zh-CN"/>
              </w:rPr>
              <w:t>87</w:t>
            </w:r>
            <w:r>
              <w:rPr>
                <w:rFonts w:hint="eastAsia" w:ascii="Times New Roman" w:hAnsi="Times New Roman" w:eastAsia="宋体" w:cs="Times New Roman"/>
                <w:color w:val="auto"/>
                <w:kern w:val="0"/>
                <w:sz w:val="24"/>
                <w:szCs w:val="24"/>
                <w:lang w:val="en-US" w:eastAsia="zh-CN" w:bidi="ar-SA"/>
              </w:rPr>
              <w:t>.7</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 w:val="24"/>
                <w:szCs w:val="24"/>
                <w:lang w:val="en-US" w:eastAsia="zh-CN" w:bidi="ar-SA"/>
              </w:rPr>
              <w:t>/d，</w:t>
            </w:r>
            <w:r>
              <w:rPr>
                <w:rFonts w:hint="eastAsia" w:ascii="Times New Roman" w:hAnsi="Times New Roman" w:eastAsia="宋体" w:cs="Times New Roman"/>
                <w:color w:val="auto"/>
                <w:kern w:val="0"/>
                <w:sz w:val="24"/>
                <w:szCs w:val="24"/>
                <w:lang w:val="en-US" w:eastAsia="zh-CN" w:bidi="ar-SA"/>
              </w:rPr>
              <w:t>剩余处理能力为112.3</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 w:val="24"/>
                <w:szCs w:val="24"/>
                <w:lang w:val="en-US" w:eastAsia="zh-CN" w:bidi="ar-SA"/>
              </w:rPr>
              <w:t>/d</w:t>
            </w:r>
            <w:r>
              <w:rPr>
                <w:rFonts w:hint="eastAsia" w:ascii="Times New Roman" w:hAnsi="Times New Roman" w:eastAsia="宋体" w:cs="Times New Roman"/>
                <w:color w:val="auto"/>
                <w:kern w:val="0"/>
                <w:sz w:val="24"/>
                <w:szCs w:val="24"/>
                <w:lang w:val="en-US" w:eastAsia="zh-CN" w:bidi="ar-SA"/>
              </w:rPr>
              <w:t>，本项目新增污水量为</w:t>
            </w:r>
            <w:r>
              <w:rPr>
                <w:rFonts w:hint="eastAsia" w:cs="Times New Roman"/>
                <w:color w:val="auto"/>
                <w:kern w:val="0"/>
                <w:sz w:val="24"/>
                <w:szCs w:val="24"/>
                <w:lang w:val="en-US" w:eastAsia="zh-CN" w:bidi="ar-SA"/>
              </w:rPr>
              <w:t>0.96</w:t>
            </w:r>
            <w:r>
              <w:rPr>
                <w:rFonts w:hint="default"/>
                <w:color w:val="auto"/>
                <w:lang w:val="en-US" w:eastAsia="zh-CN"/>
              </w:rPr>
              <w:t>m</w:t>
            </w:r>
            <w:r>
              <w:rPr>
                <w:rFonts w:hint="default"/>
                <w:color w:val="auto"/>
                <w:vertAlign w:val="superscript"/>
                <w:lang w:val="en-US" w:eastAsia="zh-CN"/>
              </w:rPr>
              <w:t>3</w:t>
            </w:r>
            <w:r>
              <w:rPr>
                <w:rFonts w:hint="default" w:ascii="Times New Roman" w:hAnsi="Times New Roman" w:eastAsia="宋体" w:cs="Times New Roman"/>
                <w:color w:val="auto"/>
                <w:kern w:val="0"/>
                <w:sz w:val="24"/>
                <w:szCs w:val="24"/>
                <w:lang w:val="en-US" w:eastAsia="zh-CN" w:bidi="ar-SA"/>
              </w:rPr>
              <w:t>/d</w:t>
            </w:r>
            <w:r>
              <w:rPr>
                <w:rFonts w:hint="eastAsia" w:ascii="Times New Roman" w:hAnsi="Times New Roman" w:eastAsia="宋体" w:cs="Times New Roman"/>
                <w:color w:val="auto"/>
                <w:kern w:val="0"/>
                <w:sz w:val="24"/>
                <w:szCs w:val="24"/>
                <w:lang w:val="en-US" w:eastAsia="zh-CN" w:bidi="ar-SA"/>
              </w:rPr>
              <w:t>，在其设计规模范围内，依托可行。</w:t>
            </w:r>
          </w:p>
          <w:p w14:paraId="7745531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3、噪声</w:t>
            </w:r>
          </w:p>
          <w:p w14:paraId="56DAE5E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3.1噪声源强及治理措施</w:t>
            </w:r>
          </w:p>
          <w:p w14:paraId="12B7485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本项目运营期间主要噪声源为</w:t>
            </w:r>
            <w:r>
              <w:rPr>
                <w:rFonts w:hint="eastAsia" w:ascii="Times New Roman" w:hAnsi="Times New Roman" w:eastAsia="宋体" w:cs="Times New Roman"/>
                <w:color w:val="auto"/>
                <w:kern w:val="0"/>
                <w:szCs w:val="21"/>
                <w:lang w:val="en-US" w:eastAsia="zh-CN"/>
              </w:rPr>
              <w:t>吹塑机</w:t>
            </w: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破碎机</w:t>
            </w: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弯管机</w:t>
            </w: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拌料机</w:t>
            </w:r>
            <w:r>
              <w:rPr>
                <w:rFonts w:hint="default" w:ascii="Times New Roman" w:hAnsi="Times New Roman" w:eastAsia="宋体" w:cs="Times New Roman"/>
                <w:color w:val="auto"/>
                <w:kern w:val="0"/>
                <w:szCs w:val="21"/>
                <w:lang w:val="en-US" w:eastAsia="zh-CN"/>
              </w:rPr>
              <w:t>等设备的运行噪声，噪声声源强度在75-</w:t>
            </w:r>
            <w:r>
              <w:rPr>
                <w:rFonts w:hint="eastAsia" w:ascii="Times New Roman" w:hAnsi="Times New Roman" w:eastAsia="宋体" w:cs="Times New Roman"/>
                <w:color w:val="auto"/>
                <w:kern w:val="0"/>
                <w:szCs w:val="21"/>
                <w:lang w:val="en-US" w:eastAsia="zh-CN"/>
              </w:rPr>
              <w:t>90</w:t>
            </w:r>
            <w:r>
              <w:rPr>
                <w:rFonts w:hint="default" w:ascii="Times New Roman" w:hAnsi="Times New Roman" w:eastAsia="宋体" w:cs="Times New Roman"/>
                <w:color w:val="auto"/>
                <w:kern w:val="0"/>
                <w:szCs w:val="21"/>
                <w:lang w:val="en-US" w:eastAsia="zh-CN"/>
              </w:rPr>
              <w:t>dB</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A</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之间。详见下表4-</w:t>
            </w:r>
            <w:r>
              <w:rPr>
                <w:rFonts w:hint="eastAsia" w:ascii="Times New Roman" w:hAnsi="Times New Roman" w:eastAsia="宋体" w:cs="Times New Roman"/>
                <w:color w:val="auto"/>
                <w:kern w:val="0"/>
                <w:szCs w:val="21"/>
                <w:lang w:val="en-US" w:eastAsia="zh-CN"/>
              </w:rPr>
              <w:t>6</w:t>
            </w:r>
            <w:r>
              <w:rPr>
                <w:rFonts w:hint="default" w:ascii="Times New Roman" w:hAnsi="Times New Roman" w:eastAsia="宋体" w:cs="Times New Roman"/>
                <w:color w:val="auto"/>
                <w:kern w:val="0"/>
                <w:szCs w:val="21"/>
                <w:lang w:val="en-US" w:eastAsia="zh-CN"/>
              </w:rPr>
              <w:t>。</w:t>
            </w:r>
          </w:p>
          <w:p w14:paraId="420ADAD7">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w:t>
            </w:r>
            <w:r>
              <w:rPr>
                <w:rFonts w:hint="eastAsia" w:ascii="Times New Roman" w:hAnsi="Times New Roman" w:eastAsia="宋体" w:cs="Times New Roman"/>
                <w:b/>
                <w:bCs/>
                <w:color w:val="auto"/>
                <w:sz w:val="24"/>
                <w:lang w:val="en-US" w:eastAsia="zh-CN"/>
              </w:rPr>
              <w:t>4-6</w:t>
            </w:r>
            <w:r>
              <w:rPr>
                <w:rFonts w:hint="default" w:ascii="Times New Roman" w:hAnsi="Times New Roman" w:eastAsia="宋体" w:cs="Times New Roman"/>
                <w:b/>
                <w:bCs/>
                <w:color w:val="auto"/>
                <w:sz w:val="24"/>
                <w:lang w:val="en-US" w:eastAsia="zh-CN"/>
              </w:rPr>
              <w:t>项目</w:t>
            </w:r>
            <w:r>
              <w:rPr>
                <w:rFonts w:hint="eastAsia" w:ascii="Times New Roman" w:hAnsi="Times New Roman" w:eastAsia="宋体" w:cs="Times New Roman"/>
                <w:b/>
                <w:bCs/>
                <w:color w:val="auto"/>
                <w:sz w:val="24"/>
                <w:lang w:val="en-US" w:eastAsia="zh-CN"/>
              </w:rPr>
              <w:t>室内声源</w:t>
            </w:r>
            <w:r>
              <w:rPr>
                <w:rFonts w:hint="default" w:ascii="Times New Roman" w:hAnsi="Times New Roman" w:eastAsia="宋体" w:cs="Times New Roman"/>
                <w:b/>
                <w:bCs/>
                <w:color w:val="auto"/>
                <w:sz w:val="24"/>
                <w:lang w:val="en-US" w:eastAsia="zh-CN"/>
              </w:rPr>
              <w:t>噪声源强</w:t>
            </w:r>
            <w:r>
              <w:rPr>
                <w:rFonts w:hint="eastAsia" w:ascii="Times New Roman" w:hAnsi="Times New Roman" w:eastAsia="宋体" w:cs="Times New Roman"/>
                <w:b/>
                <w:bCs/>
                <w:color w:val="auto"/>
                <w:sz w:val="24"/>
                <w:lang w:val="en-US" w:eastAsia="zh-CN"/>
              </w:rPr>
              <w:t>调查清单</w:t>
            </w:r>
          </w:p>
          <w:tbl>
            <w:tblPr>
              <w:tblStyle w:val="24"/>
              <w:tblW w:w="4970" w:type="pct"/>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8"/>
              <w:gridCol w:w="1141"/>
              <w:gridCol w:w="646"/>
              <w:gridCol w:w="613"/>
              <w:gridCol w:w="460"/>
              <w:gridCol w:w="511"/>
              <w:gridCol w:w="409"/>
              <w:gridCol w:w="579"/>
              <w:gridCol w:w="646"/>
              <w:gridCol w:w="630"/>
              <w:gridCol w:w="749"/>
              <w:gridCol w:w="817"/>
              <w:gridCol w:w="698"/>
            </w:tblGrid>
            <w:tr w14:paraId="13ECC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40" w:type="pct"/>
                  <w:vMerge w:val="restart"/>
                  <w:tcBorders>
                    <w:tl2br w:val="nil"/>
                    <w:tr2bl w:val="nil"/>
                  </w:tcBorders>
                  <w:noWrap w:val="0"/>
                  <w:vAlign w:val="center"/>
                </w:tcPr>
                <w:p w14:paraId="459F6D2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建筑物名称</w:t>
                  </w:r>
                </w:p>
              </w:tc>
              <w:tc>
                <w:tcPr>
                  <w:tcW w:w="672" w:type="pct"/>
                  <w:vMerge w:val="restart"/>
                  <w:tcBorders>
                    <w:tl2br w:val="nil"/>
                    <w:tr2bl w:val="nil"/>
                  </w:tcBorders>
                  <w:noWrap w:val="0"/>
                  <w:vAlign w:val="center"/>
                </w:tcPr>
                <w:p w14:paraId="1C211B4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声源名称</w:t>
                  </w:r>
                </w:p>
              </w:tc>
              <w:tc>
                <w:tcPr>
                  <w:tcW w:w="381" w:type="pct"/>
                  <w:vMerge w:val="restart"/>
                  <w:tcBorders>
                    <w:tl2br w:val="nil"/>
                    <w:tr2bl w:val="nil"/>
                  </w:tcBorders>
                  <w:noWrap w:val="0"/>
                  <w:vAlign w:val="center"/>
                </w:tcPr>
                <w:p w14:paraId="59C9C79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声源源强/dB(A)</w:t>
                  </w:r>
                </w:p>
              </w:tc>
              <w:tc>
                <w:tcPr>
                  <w:tcW w:w="361" w:type="pct"/>
                  <w:vMerge w:val="restart"/>
                  <w:tcBorders>
                    <w:tl2br w:val="nil"/>
                    <w:tr2bl w:val="nil"/>
                  </w:tcBorders>
                  <w:noWrap w:val="0"/>
                  <w:vAlign w:val="center"/>
                </w:tcPr>
                <w:p w14:paraId="0ED6EA3C">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声源控制措施</w:t>
                  </w:r>
                </w:p>
                <w:p w14:paraId="7470706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813" w:type="pct"/>
                  <w:gridSpan w:val="3"/>
                  <w:tcBorders>
                    <w:tl2br w:val="nil"/>
                    <w:tr2bl w:val="nil"/>
                  </w:tcBorders>
                  <w:noWrap w:val="0"/>
                  <w:vAlign w:val="center"/>
                </w:tcPr>
                <w:p w14:paraId="5359F50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空间相对位置/m</w:t>
                  </w:r>
                </w:p>
              </w:tc>
              <w:tc>
                <w:tcPr>
                  <w:tcW w:w="341" w:type="pct"/>
                  <w:vMerge w:val="restart"/>
                  <w:tcBorders>
                    <w:tl2br w:val="nil"/>
                    <w:tr2bl w:val="nil"/>
                  </w:tcBorders>
                  <w:noWrap w:val="0"/>
                  <w:vAlign w:val="center"/>
                </w:tcPr>
                <w:p w14:paraId="57A37E0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距室内边界距离/m</w:t>
                  </w:r>
                </w:p>
              </w:tc>
              <w:tc>
                <w:tcPr>
                  <w:tcW w:w="381" w:type="pct"/>
                  <w:vMerge w:val="restart"/>
                  <w:tcBorders>
                    <w:tl2br w:val="nil"/>
                    <w:tr2bl w:val="nil"/>
                  </w:tcBorders>
                  <w:noWrap w:val="0"/>
                  <w:vAlign w:val="center"/>
                </w:tcPr>
                <w:p w14:paraId="7A8882F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室内边界声级/dB(A)</w:t>
                  </w:r>
                </w:p>
              </w:tc>
              <w:tc>
                <w:tcPr>
                  <w:tcW w:w="371" w:type="pct"/>
                  <w:vMerge w:val="restart"/>
                  <w:tcBorders>
                    <w:tl2br w:val="nil"/>
                    <w:tr2bl w:val="nil"/>
                  </w:tcBorders>
                  <w:noWrap w:val="0"/>
                  <w:vAlign w:val="center"/>
                </w:tcPr>
                <w:p w14:paraId="6EB6AEA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运行时段/h</w:t>
                  </w:r>
                </w:p>
              </w:tc>
              <w:tc>
                <w:tcPr>
                  <w:tcW w:w="441" w:type="pct"/>
                  <w:vMerge w:val="restart"/>
                  <w:tcBorders>
                    <w:tl2br w:val="nil"/>
                    <w:tr2bl w:val="nil"/>
                  </w:tcBorders>
                  <w:noWrap w:val="0"/>
                  <w:vAlign w:val="center"/>
                </w:tcPr>
                <w:p w14:paraId="1BC7A1B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建筑物插入损失/dB(A)</w:t>
                  </w:r>
                </w:p>
              </w:tc>
              <w:tc>
                <w:tcPr>
                  <w:tcW w:w="893" w:type="pct"/>
                  <w:gridSpan w:val="2"/>
                  <w:tcBorders>
                    <w:tl2br w:val="nil"/>
                    <w:tr2bl w:val="nil"/>
                  </w:tcBorders>
                  <w:noWrap w:val="0"/>
                  <w:vAlign w:val="center"/>
                </w:tcPr>
                <w:p w14:paraId="6492892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建筑物外噪声</w:t>
                  </w:r>
                </w:p>
              </w:tc>
            </w:tr>
            <w:tr w14:paraId="0A1DF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340" w:type="pct"/>
                  <w:vMerge w:val="continue"/>
                  <w:tcBorders>
                    <w:tl2br w:val="nil"/>
                    <w:tr2bl w:val="nil"/>
                  </w:tcBorders>
                  <w:noWrap w:val="0"/>
                  <w:vAlign w:val="center"/>
                </w:tcPr>
                <w:p w14:paraId="23C712E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vMerge w:val="continue"/>
                  <w:tcBorders>
                    <w:tl2br w:val="nil"/>
                    <w:tr2bl w:val="nil"/>
                  </w:tcBorders>
                  <w:noWrap w:val="0"/>
                  <w:vAlign w:val="center"/>
                </w:tcPr>
                <w:p w14:paraId="2DB358C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381" w:type="pct"/>
                  <w:vMerge w:val="continue"/>
                  <w:tcBorders>
                    <w:tl2br w:val="nil"/>
                    <w:tr2bl w:val="nil"/>
                  </w:tcBorders>
                  <w:noWrap w:val="0"/>
                  <w:vAlign w:val="center"/>
                </w:tcPr>
                <w:p w14:paraId="708E6ED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361" w:type="pct"/>
                  <w:vMerge w:val="continue"/>
                  <w:tcBorders>
                    <w:tl2br w:val="nil"/>
                    <w:tr2bl w:val="nil"/>
                  </w:tcBorders>
                  <w:noWrap w:val="0"/>
                  <w:vAlign w:val="center"/>
                </w:tcPr>
                <w:p w14:paraId="4760C1F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71" w:type="pct"/>
                  <w:tcBorders>
                    <w:tl2br w:val="nil"/>
                    <w:tr2bl w:val="nil"/>
                  </w:tcBorders>
                  <w:noWrap w:val="0"/>
                  <w:vAlign w:val="center"/>
                </w:tcPr>
                <w:p w14:paraId="4C14722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X</w:t>
                  </w:r>
                </w:p>
              </w:tc>
              <w:tc>
                <w:tcPr>
                  <w:tcW w:w="301" w:type="pct"/>
                  <w:tcBorders>
                    <w:tl2br w:val="nil"/>
                    <w:tr2bl w:val="nil"/>
                  </w:tcBorders>
                  <w:noWrap w:val="0"/>
                  <w:vAlign w:val="center"/>
                </w:tcPr>
                <w:p w14:paraId="6951B36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Y</w:t>
                  </w:r>
                </w:p>
              </w:tc>
              <w:tc>
                <w:tcPr>
                  <w:tcW w:w="241" w:type="pct"/>
                  <w:tcBorders>
                    <w:tl2br w:val="nil"/>
                    <w:tr2bl w:val="nil"/>
                  </w:tcBorders>
                  <w:noWrap w:val="0"/>
                  <w:vAlign w:val="center"/>
                </w:tcPr>
                <w:p w14:paraId="293A6F1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Z</w:t>
                  </w:r>
                </w:p>
              </w:tc>
              <w:tc>
                <w:tcPr>
                  <w:tcW w:w="341" w:type="pct"/>
                  <w:vMerge w:val="continue"/>
                  <w:tcBorders>
                    <w:tl2br w:val="nil"/>
                    <w:tr2bl w:val="nil"/>
                  </w:tcBorders>
                  <w:noWrap w:val="0"/>
                  <w:vAlign w:val="center"/>
                </w:tcPr>
                <w:p w14:paraId="3689D2E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381" w:type="pct"/>
                  <w:vMerge w:val="continue"/>
                  <w:tcBorders>
                    <w:tl2br w:val="nil"/>
                    <w:tr2bl w:val="nil"/>
                  </w:tcBorders>
                  <w:noWrap w:val="0"/>
                  <w:vAlign w:val="center"/>
                </w:tcPr>
                <w:p w14:paraId="7262B9B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371" w:type="pct"/>
                  <w:vMerge w:val="continue"/>
                  <w:tcBorders>
                    <w:tl2br w:val="nil"/>
                    <w:tr2bl w:val="nil"/>
                  </w:tcBorders>
                  <w:noWrap w:val="0"/>
                  <w:vAlign w:val="center"/>
                </w:tcPr>
                <w:p w14:paraId="6AE48D0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441" w:type="pct"/>
                  <w:vMerge w:val="continue"/>
                  <w:tcBorders>
                    <w:tl2br w:val="nil"/>
                    <w:tr2bl w:val="nil"/>
                  </w:tcBorders>
                  <w:noWrap w:val="0"/>
                  <w:vAlign w:val="center"/>
                </w:tcPr>
                <w:p w14:paraId="4874134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481" w:type="pct"/>
                  <w:tcBorders>
                    <w:tl2br w:val="nil"/>
                    <w:tr2bl w:val="nil"/>
                  </w:tcBorders>
                  <w:noWrap w:val="0"/>
                  <w:vAlign w:val="center"/>
                </w:tcPr>
                <w:p w14:paraId="6CFC21C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声级/dB(A)</w:t>
                  </w:r>
                </w:p>
              </w:tc>
              <w:tc>
                <w:tcPr>
                  <w:tcW w:w="411" w:type="pct"/>
                  <w:tcBorders>
                    <w:tl2br w:val="nil"/>
                    <w:tr2bl w:val="nil"/>
                  </w:tcBorders>
                  <w:noWrap w:val="0"/>
                  <w:vAlign w:val="center"/>
                </w:tcPr>
                <w:p w14:paraId="3445304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建筑物外距离</w:t>
                  </w:r>
                </w:p>
              </w:tc>
            </w:tr>
            <w:tr w14:paraId="354E3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340" w:type="pct"/>
                  <w:vMerge w:val="restart"/>
                  <w:tcBorders>
                    <w:tl2br w:val="nil"/>
                    <w:tr2bl w:val="nil"/>
                  </w:tcBorders>
                  <w:noWrap/>
                  <w:vAlign w:val="center"/>
                </w:tcPr>
                <w:p w14:paraId="598A019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制桶车间</w:t>
                  </w:r>
                </w:p>
              </w:tc>
              <w:tc>
                <w:tcPr>
                  <w:tcW w:w="672" w:type="pct"/>
                  <w:tcBorders>
                    <w:tl2br w:val="nil"/>
                    <w:tr2bl w:val="nil"/>
                  </w:tcBorders>
                  <w:noWrap/>
                  <w:vAlign w:val="center"/>
                </w:tcPr>
                <w:p w14:paraId="66CA400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全自动中空吹塑机1</w:t>
                  </w:r>
                </w:p>
              </w:tc>
              <w:tc>
                <w:tcPr>
                  <w:tcW w:w="381" w:type="pct"/>
                  <w:tcBorders>
                    <w:tl2br w:val="nil"/>
                    <w:tr2bl w:val="nil"/>
                  </w:tcBorders>
                  <w:noWrap/>
                  <w:vAlign w:val="center"/>
                </w:tcPr>
                <w:p w14:paraId="61DB9C2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85</w:t>
                  </w:r>
                </w:p>
              </w:tc>
              <w:tc>
                <w:tcPr>
                  <w:tcW w:w="361" w:type="pct"/>
                  <w:vMerge w:val="restart"/>
                  <w:tcBorders>
                    <w:tl2br w:val="nil"/>
                    <w:tr2bl w:val="nil"/>
                  </w:tcBorders>
                  <w:noWrap/>
                  <w:vAlign w:val="center"/>
                </w:tcPr>
                <w:p w14:paraId="7D32739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厂房隔声、低噪声设备</w:t>
                  </w:r>
                </w:p>
              </w:tc>
              <w:tc>
                <w:tcPr>
                  <w:tcW w:w="271" w:type="pct"/>
                  <w:tcBorders>
                    <w:tl2br w:val="nil"/>
                    <w:tr2bl w:val="nil"/>
                  </w:tcBorders>
                  <w:noWrap/>
                  <w:vAlign w:val="center"/>
                </w:tcPr>
                <w:p w14:paraId="4AA66D31">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rPr>
                    <w:t>14</w:t>
                  </w:r>
                </w:p>
              </w:tc>
              <w:tc>
                <w:tcPr>
                  <w:tcW w:w="301" w:type="pct"/>
                  <w:tcBorders>
                    <w:tl2br w:val="nil"/>
                    <w:tr2bl w:val="nil"/>
                  </w:tcBorders>
                  <w:noWrap/>
                  <w:vAlign w:val="center"/>
                </w:tcPr>
                <w:p w14:paraId="5B980A0A">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rPr>
                    <w:t>288</w:t>
                  </w:r>
                </w:p>
              </w:tc>
              <w:tc>
                <w:tcPr>
                  <w:tcW w:w="241" w:type="pct"/>
                  <w:tcBorders>
                    <w:tl2br w:val="nil"/>
                    <w:tr2bl w:val="nil"/>
                  </w:tcBorders>
                  <w:noWrap/>
                  <w:vAlign w:val="center"/>
                </w:tcPr>
                <w:p w14:paraId="4B152215">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rPr>
                    <w:t>1118.84</w:t>
                  </w:r>
                </w:p>
              </w:tc>
              <w:tc>
                <w:tcPr>
                  <w:tcW w:w="341" w:type="pct"/>
                  <w:tcBorders>
                    <w:tl2br w:val="nil"/>
                    <w:tr2bl w:val="nil"/>
                  </w:tcBorders>
                  <w:noWrap/>
                  <w:vAlign w:val="center"/>
                </w:tcPr>
                <w:p w14:paraId="4F538E8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w:t>
                  </w:r>
                </w:p>
              </w:tc>
              <w:tc>
                <w:tcPr>
                  <w:tcW w:w="381" w:type="pct"/>
                  <w:tcBorders>
                    <w:tl2br w:val="nil"/>
                    <w:tr2bl w:val="nil"/>
                  </w:tcBorders>
                  <w:noWrap/>
                  <w:vAlign w:val="center"/>
                </w:tcPr>
                <w:p w14:paraId="31B9023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64.45</w:t>
                  </w:r>
                </w:p>
              </w:tc>
              <w:tc>
                <w:tcPr>
                  <w:tcW w:w="371" w:type="pct"/>
                  <w:tcBorders>
                    <w:tl2br w:val="nil"/>
                    <w:tr2bl w:val="nil"/>
                  </w:tcBorders>
                  <w:noWrap/>
                  <w:vAlign w:val="center"/>
                </w:tcPr>
                <w:p w14:paraId="4D22585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7200</w:t>
                  </w:r>
                </w:p>
              </w:tc>
              <w:tc>
                <w:tcPr>
                  <w:tcW w:w="441" w:type="pct"/>
                  <w:tcBorders>
                    <w:tl2br w:val="nil"/>
                    <w:tr2bl w:val="nil"/>
                  </w:tcBorders>
                  <w:noWrap/>
                  <w:vAlign w:val="center"/>
                </w:tcPr>
                <w:p w14:paraId="0EC120F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w:t>
                  </w:r>
                </w:p>
              </w:tc>
              <w:tc>
                <w:tcPr>
                  <w:tcW w:w="481" w:type="pct"/>
                  <w:tcBorders>
                    <w:tl2br w:val="nil"/>
                    <w:tr2bl w:val="nil"/>
                  </w:tcBorders>
                  <w:noWrap/>
                  <w:vAlign w:val="center"/>
                </w:tcPr>
                <w:p w14:paraId="483D423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38.45</w:t>
                  </w:r>
                </w:p>
              </w:tc>
              <w:tc>
                <w:tcPr>
                  <w:tcW w:w="411" w:type="pct"/>
                  <w:tcBorders>
                    <w:tl2br w:val="nil"/>
                    <w:tr2bl w:val="nil"/>
                  </w:tcBorders>
                  <w:noWrap/>
                  <w:vAlign w:val="center"/>
                </w:tcPr>
                <w:p w14:paraId="26BD29B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r>
            <w:tr w14:paraId="5A232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2135F89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noWrap/>
                  <w:vAlign w:val="center"/>
                </w:tcPr>
                <w:p w14:paraId="2F1E7F2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全自动中空吹塑机2</w:t>
                  </w:r>
                </w:p>
              </w:tc>
              <w:tc>
                <w:tcPr>
                  <w:tcW w:w="381" w:type="pct"/>
                  <w:tcBorders>
                    <w:tl2br w:val="nil"/>
                    <w:tr2bl w:val="nil"/>
                  </w:tcBorders>
                  <w:noWrap/>
                  <w:vAlign w:val="center"/>
                </w:tcPr>
                <w:p w14:paraId="085F15D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85</w:t>
                  </w:r>
                </w:p>
              </w:tc>
              <w:tc>
                <w:tcPr>
                  <w:tcW w:w="361" w:type="pct"/>
                  <w:vMerge w:val="continue"/>
                  <w:tcBorders>
                    <w:tl2br w:val="nil"/>
                    <w:tr2bl w:val="nil"/>
                  </w:tcBorders>
                  <w:noWrap/>
                  <w:vAlign w:val="center"/>
                </w:tcPr>
                <w:p w14:paraId="1E5D1FB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271" w:type="pct"/>
                  <w:tcBorders>
                    <w:tl2br w:val="nil"/>
                    <w:tr2bl w:val="nil"/>
                  </w:tcBorders>
                  <w:noWrap/>
                  <w:vAlign w:val="center"/>
                </w:tcPr>
                <w:p w14:paraId="1CDAC8EA">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32</w:t>
                  </w:r>
                </w:p>
              </w:tc>
              <w:tc>
                <w:tcPr>
                  <w:tcW w:w="301" w:type="pct"/>
                  <w:tcBorders>
                    <w:tl2br w:val="nil"/>
                    <w:tr2bl w:val="nil"/>
                  </w:tcBorders>
                  <w:noWrap/>
                  <w:vAlign w:val="center"/>
                </w:tcPr>
                <w:p w14:paraId="483139F3">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288</w:t>
                  </w:r>
                </w:p>
              </w:tc>
              <w:tc>
                <w:tcPr>
                  <w:tcW w:w="241" w:type="pct"/>
                  <w:tcBorders>
                    <w:tl2br w:val="nil"/>
                    <w:tr2bl w:val="nil"/>
                  </w:tcBorders>
                  <w:noWrap/>
                  <w:vAlign w:val="center"/>
                </w:tcPr>
                <w:p w14:paraId="09E20282">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1119.95</w:t>
                  </w:r>
                </w:p>
              </w:tc>
              <w:tc>
                <w:tcPr>
                  <w:tcW w:w="341" w:type="pct"/>
                  <w:tcBorders>
                    <w:tl2br w:val="nil"/>
                    <w:tr2bl w:val="nil"/>
                  </w:tcBorders>
                  <w:noWrap/>
                  <w:vAlign w:val="center"/>
                </w:tcPr>
                <w:p w14:paraId="5CABF7F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w:t>
                  </w:r>
                </w:p>
              </w:tc>
              <w:tc>
                <w:tcPr>
                  <w:tcW w:w="381" w:type="pct"/>
                  <w:tcBorders>
                    <w:tl2br w:val="nil"/>
                    <w:tr2bl w:val="nil"/>
                  </w:tcBorders>
                  <w:noWrap/>
                  <w:vAlign w:val="center"/>
                </w:tcPr>
                <w:p w14:paraId="1A4D57F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64.48</w:t>
                  </w:r>
                </w:p>
              </w:tc>
              <w:tc>
                <w:tcPr>
                  <w:tcW w:w="371" w:type="pct"/>
                  <w:tcBorders>
                    <w:tl2br w:val="nil"/>
                    <w:tr2bl w:val="nil"/>
                  </w:tcBorders>
                  <w:noWrap/>
                  <w:vAlign w:val="center"/>
                </w:tcPr>
                <w:p w14:paraId="2CDE58D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7200</w:t>
                  </w:r>
                </w:p>
              </w:tc>
              <w:tc>
                <w:tcPr>
                  <w:tcW w:w="441" w:type="pct"/>
                  <w:tcBorders>
                    <w:tl2br w:val="nil"/>
                    <w:tr2bl w:val="nil"/>
                  </w:tcBorders>
                  <w:noWrap/>
                  <w:vAlign w:val="center"/>
                </w:tcPr>
                <w:p w14:paraId="64C18CD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w:t>
                  </w:r>
                </w:p>
              </w:tc>
              <w:tc>
                <w:tcPr>
                  <w:tcW w:w="481" w:type="pct"/>
                  <w:tcBorders>
                    <w:tl2br w:val="nil"/>
                    <w:tr2bl w:val="nil"/>
                  </w:tcBorders>
                  <w:noWrap/>
                  <w:vAlign w:val="center"/>
                </w:tcPr>
                <w:p w14:paraId="035302A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38.48</w:t>
                  </w:r>
                </w:p>
              </w:tc>
              <w:tc>
                <w:tcPr>
                  <w:tcW w:w="411" w:type="pct"/>
                  <w:tcBorders>
                    <w:tl2br w:val="nil"/>
                    <w:tr2bl w:val="nil"/>
                  </w:tcBorders>
                  <w:noWrap/>
                  <w:vAlign w:val="center"/>
                </w:tcPr>
                <w:p w14:paraId="1EDB33A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r>
            <w:tr w14:paraId="3E8FA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7DF882D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noWrap/>
                  <w:vAlign w:val="center"/>
                </w:tcPr>
                <w:p w14:paraId="034AB1C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塑料破碎机</w:t>
                  </w:r>
                </w:p>
              </w:tc>
              <w:tc>
                <w:tcPr>
                  <w:tcW w:w="381" w:type="pct"/>
                  <w:tcBorders>
                    <w:tl2br w:val="nil"/>
                    <w:tr2bl w:val="nil"/>
                  </w:tcBorders>
                  <w:noWrap/>
                  <w:vAlign w:val="center"/>
                </w:tcPr>
                <w:p w14:paraId="45737CE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90</w:t>
                  </w:r>
                </w:p>
              </w:tc>
              <w:tc>
                <w:tcPr>
                  <w:tcW w:w="361" w:type="pct"/>
                  <w:vMerge w:val="continue"/>
                  <w:tcBorders>
                    <w:tl2br w:val="nil"/>
                    <w:tr2bl w:val="nil"/>
                  </w:tcBorders>
                  <w:noWrap/>
                  <w:vAlign w:val="center"/>
                </w:tcPr>
                <w:p w14:paraId="42BF5D7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71" w:type="pct"/>
                  <w:tcBorders>
                    <w:tl2br w:val="nil"/>
                    <w:tr2bl w:val="nil"/>
                  </w:tcBorders>
                  <w:noWrap/>
                  <w:vAlign w:val="center"/>
                </w:tcPr>
                <w:p w14:paraId="32AF18F8">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rPr>
                    <w:t>14</w:t>
                  </w:r>
                </w:p>
              </w:tc>
              <w:tc>
                <w:tcPr>
                  <w:tcW w:w="301" w:type="pct"/>
                  <w:tcBorders>
                    <w:tl2br w:val="nil"/>
                    <w:tr2bl w:val="nil"/>
                  </w:tcBorders>
                  <w:noWrap/>
                  <w:vAlign w:val="center"/>
                </w:tcPr>
                <w:p w14:paraId="6654F307">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rPr>
                    <w:t>288</w:t>
                  </w:r>
                </w:p>
              </w:tc>
              <w:tc>
                <w:tcPr>
                  <w:tcW w:w="241" w:type="pct"/>
                  <w:tcBorders>
                    <w:tl2br w:val="nil"/>
                    <w:tr2bl w:val="nil"/>
                  </w:tcBorders>
                  <w:noWrap/>
                  <w:vAlign w:val="center"/>
                </w:tcPr>
                <w:p w14:paraId="14EA701A">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rPr>
                    <w:t>1118.84</w:t>
                  </w:r>
                </w:p>
              </w:tc>
              <w:tc>
                <w:tcPr>
                  <w:tcW w:w="341" w:type="pct"/>
                  <w:tcBorders>
                    <w:tl2br w:val="nil"/>
                    <w:tr2bl w:val="nil"/>
                  </w:tcBorders>
                  <w:noWrap/>
                  <w:vAlign w:val="center"/>
                </w:tcPr>
                <w:p w14:paraId="6AE79B5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w:t>
                  </w:r>
                </w:p>
              </w:tc>
              <w:tc>
                <w:tcPr>
                  <w:tcW w:w="381" w:type="pct"/>
                  <w:tcBorders>
                    <w:tl2br w:val="nil"/>
                    <w:tr2bl w:val="nil"/>
                  </w:tcBorders>
                  <w:noWrap/>
                  <w:vAlign w:val="center"/>
                </w:tcPr>
                <w:p w14:paraId="602A52C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69.48</w:t>
                  </w:r>
                </w:p>
              </w:tc>
              <w:tc>
                <w:tcPr>
                  <w:tcW w:w="371" w:type="pct"/>
                  <w:tcBorders>
                    <w:tl2br w:val="nil"/>
                    <w:tr2bl w:val="nil"/>
                  </w:tcBorders>
                  <w:noWrap/>
                  <w:vAlign w:val="center"/>
                </w:tcPr>
                <w:p w14:paraId="2C6932F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7200</w:t>
                  </w:r>
                </w:p>
              </w:tc>
              <w:tc>
                <w:tcPr>
                  <w:tcW w:w="441" w:type="pct"/>
                  <w:tcBorders>
                    <w:tl2br w:val="nil"/>
                    <w:tr2bl w:val="nil"/>
                  </w:tcBorders>
                  <w:noWrap/>
                  <w:vAlign w:val="center"/>
                </w:tcPr>
                <w:p w14:paraId="77C0404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w:t>
                  </w:r>
                </w:p>
              </w:tc>
              <w:tc>
                <w:tcPr>
                  <w:tcW w:w="481" w:type="pct"/>
                  <w:tcBorders>
                    <w:tl2br w:val="nil"/>
                    <w:tr2bl w:val="nil"/>
                  </w:tcBorders>
                  <w:noWrap/>
                  <w:vAlign w:val="center"/>
                </w:tcPr>
                <w:p w14:paraId="785DDC5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43.48</w:t>
                  </w:r>
                </w:p>
              </w:tc>
              <w:tc>
                <w:tcPr>
                  <w:tcW w:w="411" w:type="pct"/>
                  <w:tcBorders>
                    <w:tl2br w:val="nil"/>
                    <w:tr2bl w:val="nil"/>
                  </w:tcBorders>
                  <w:noWrap/>
                  <w:vAlign w:val="center"/>
                </w:tcPr>
                <w:p w14:paraId="0486E03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r>
            <w:tr w14:paraId="312D5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1F7971F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noWrap/>
                  <w:vAlign w:val="center"/>
                </w:tcPr>
                <w:p w14:paraId="2A669B0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数控弯管机</w:t>
                  </w:r>
                </w:p>
              </w:tc>
              <w:tc>
                <w:tcPr>
                  <w:tcW w:w="381" w:type="pct"/>
                  <w:tcBorders>
                    <w:tl2br w:val="nil"/>
                    <w:tr2bl w:val="nil"/>
                  </w:tcBorders>
                  <w:noWrap/>
                  <w:vAlign w:val="center"/>
                </w:tcPr>
                <w:p w14:paraId="44A3FDF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80</w:t>
                  </w:r>
                </w:p>
              </w:tc>
              <w:tc>
                <w:tcPr>
                  <w:tcW w:w="361" w:type="pct"/>
                  <w:vMerge w:val="continue"/>
                  <w:tcBorders>
                    <w:tl2br w:val="nil"/>
                    <w:tr2bl w:val="nil"/>
                  </w:tcBorders>
                  <w:noWrap/>
                  <w:vAlign w:val="center"/>
                </w:tcPr>
                <w:p w14:paraId="4AE86D3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271" w:type="pct"/>
                  <w:tcBorders>
                    <w:tl2br w:val="nil"/>
                    <w:tr2bl w:val="nil"/>
                  </w:tcBorders>
                  <w:noWrap/>
                  <w:vAlign w:val="center"/>
                </w:tcPr>
                <w:p w14:paraId="676AD4E2">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31</w:t>
                  </w:r>
                </w:p>
              </w:tc>
              <w:tc>
                <w:tcPr>
                  <w:tcW w:w="301" w:type="pct"/>
                  <w:tcBorders>
                    <w:tl2br w:val="nil"/>
                    <w:tr2bl w:val="nil"/>
                  </w:tcBorders>
                  <w:noWrap/>
                  <w:vAlign w:val="center"/>
                </w:tcPr>
                <w:p w14:paraId="4769D8CD">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306</w:t>
                  </w:r>
                </w:p>
              </w:tc>
              <w:tc>
                <w:tcPr>
                  <w:tcW w:w="241" w:type="pct"/>
                  <w:tcBorders>
                    <w:tl2br w:val="nil"/>
                    <w:tr2bl w:val="nil"/>
                  </w:tcBorders>
                  <w:noWrap/>
                  <w:vAlign w:val="center"/>
                </w:tcPr>
                <w:p w14:paraId="15FAE0CD">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1120.27</w:t>
                  </w:r>
                </w:p>
              </w:tc>
              <w:tc>
                <w:tcPr>
                  <w:tcW w:w="341" w:type="pct"/>
                  <w:tcBorders>
                    <w:tl2br w:val="nil"/>
                    <w:tr2bl w:val="nil"/>
                  </w:tcBorders>
                  <w:noWrap/>
                  <w:vAlign w:val="center"/>
                </w:tcPr>
                <w:p w14:paraId="21B94C8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w:t>
                  </w:r>
                </w:p>
              </w:tc>
              <w:tc>
                <w:tcPr>
                  <w:tcW w:w="381" w:type="pct"/>
                  <w:tcBorders>
                    <w:tl2br w:val="nil"/>
                    <w:tr2bl w:val="nil"/>
                  </w:tcBorders>
                  <w:noWrap/>
                  <w:vAlign w:val="center"/>
                </w:tcPr>
                <w:p w14:paraId="5A9F3B6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59.48</w:t>
                  </w:r>
                </w:p>
              </w:tc>
              <w:tc>
                <w:tcPr>
                  <w:tcW w:w="371" w:type="pct"/>
                  <w:tcBorders>
                    <w:tl2br w:val="nil"/>
                    <w:tr2bl w:val="nil"/>
                  </w:tcBorders>
                  <w:noWrap/>
                  <w:vAlign w:val="center"/>
                </w:tcPr>
                <w:p w14:paraId="3FA6CFE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7200</w:t>
                  </w:r>
                </w:p>
              </w:tc>
              <w:tc>
                <w:tcPr>
                  <w:tcW w:w="441" w:type="pct"/>
                  <w:tcBorders>
                    <w:tl2br w:val="nil"/>
                    <w:tr2bl w:val="nil"/>
                  </w:tcBorders>
                  <w:noWrap/>
                  <w:vAlign w:val="center"/>
                </w:tcPr>
                <w:p w14:paraId="5171800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w:t>
                  </w:r>
                </w:p>
              </w:tc>
              <w:tc>
                <w:tcPr>
                  <w:tcW w:w="481" w:type="pct"/>
                  <w:tcBorders>
                    <w:tl2br w:val="nil"/>
                    <w:tr2bl w:val="nil"/>
                  </w:tcBorders>
                  <w:noWrap/>
                  <w:vAlign w:val="center"/>
                </w:tcPr>
                <w:p w14:paraId="780EA2C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33.48</w:t>
                  </w:r>
                </w:p>
              </w:tc>
              <w:tc>
                <w:tcPr>
                  <w:tcW w:w="411" w:type="pct"/>
                  <w:tcBorders>
                    <w:tl2br w:val="nil"/>
                    <w:tr2bl w:val="nil"/>
                  </w:tcBorders>
                  <w:noWrap/>
                  <w:vAlign w:val="center"/>
                </w:tcPr>
                <w:p w14:paraId="3A37A05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r>
            <w:tr w14:paraId="26855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7DEE37F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noWrap/>
                  <w:vAlign w:val="center"/>
                </w:tcPr>
                <w:p w14:paraId="0A8819B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数控</w:t>
                  </w:r>
                  <w:r>
                    <w:rPr>
                      <w:rFonts w:hint="eastAsia" w:ascii="Times New Roman" w:hAnsi="Times New Roman" w:eastAsia="宋体"/>
                      <w:color w:val="auto"/>
                      <w:sz w:val="21"/>
                      <w:szCs w:val="21"/>
                      <w:lang w:val="en-US" w:eastAsia="zh-CN"/>
                    </w:rPr>
                    <w:t>切</w:t>
                  </w:r>
                  <w:r>
                    <w:rPr>
                      <w:rFonts w:hint="default" w:ascii="Times New Roman" w:hAnsi="Times New Roman" w:eastAsia="宋体"/>
                      <w:color w:val="auto"/>
                      <w:sz w:val="21"/>
                      <w:szCs w:val="21"/>
                      <w:lang w:val="en-US" w:eastAsia="zh-CN"/>
                    </w:rPr>
                    <w:t>管机</w:t>
                  </w:r>
                </w:p>
              </w:tc>
              <w:tc>
                <w:tcPr>
                  <w:tcW w:w="381" w:type="pct"/>
                  <w:tcBorders>
                    <w:tl2br w:val="nil"/>
                    <w:tr2bl w:val="nil"/>
                  </w:tcBorders>
                  <w:noWrap/>
                  <w:vAlign w:val="center"/>
                </w:tcPr>
                <w:p w14:paraId="5F756DD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80</w:t>
                  </w:r>
                </w:p>
              </w:tc>
              <w:tc>
                <w:tcPr>
                  <w:tcW w:w="361" w:type="pct"/>
                  <w:vMerge w:val="continue"/>
                  <w:tcBorders>
                    <w:tl2br w:val="nil"/>
                    <w:tr2bl w:val="nil"/>
                  </w:tcBorders>
                  <w:noWrap/>
                  <w:vAlign w:val="center"/>
                </w:tcPr>
                <w:p w14:paraId="11BD83B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271" w:type="pct"/>
                  <w:tcBorders>
                    <w:tl2br w:val="nil"/>
                    <w:tr2bl w:val="nil"/>
                  </w:tcBorders>
                  <w:noWrap/>
                  <w:vAlign w:val="center"/>
                </w:tcPr>
                <w:p w14:paraId="3BBD5158">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31</w:t>
                  </w:r>
                </w:p>
              </w:tc>
              <w:tc>
                <w:tcPr>
                  <w:tcW w:w="301" w:type="pct"/>
                  <w:tcBorders>
                    <w:tl2br w:val="nil"/>
                    <w:tr2bl w:val="nil"/>
                  </w:tcBorders>
                  <w:noWrap/>
                  <w:vAlign w:val="center"/>
                </w:tcPr>
                <w:p w14:paraId="180A8266">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296</w:t>
                  </w:r>
                </w:p>
              </w:tc>
              <w:tc>
                <w:tcPr>
                  <w:tcW w:w="241" w:type="pct"/>
                  <w:tcBorders>
                    <w:tl2br w:val="nil"/>
                    <w:tr2bl w:val="nil"/>
                  </w:tcBorders>
                  <w:noWrap/>
                  <w:vAlign w:val="center"/>
                </w:tcPr>
                <w:p w14:paraId="1FC41061">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1120.02</w:t>
                  </w:r>
                </w:p>
              </w:tc>
              <w:tc>
                <w:tcPr>
                  <w:tcW w:w="341" w:type="pct"/>
                  <w:tcBorders>
                    <w:tl2br w:val="nil"/>
                    <w:tr2bl w:val="nil"/>
                  </w:tcBorders>
                  <w:noWrap/>
                  <w:vAlign w:val="center"/>
                </w:tcPr>
                <w:p w14:paraId="2AF579A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w:t>
                  </w:r>
                </w:p>
              </w:tc>
              <w:tc>
                <w:tcPr>
                  <w:tcW w:w="381" w:type="pct"/>
                  <w:tcBorders>
                    <w:tl2br w:val="nil"/>
                    <w:tr2bl w:val="nil"/>
                  </w:tcBorders>
                  <w:noWrap/>
                  <w:vAlign w:val="center"/>
                </w:tcPr>
                <w:p w14:paraId="3728C15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59.48</w:t>
                  </w:r>
                </w:p>
              </w:tc>
              <w:tc>
                <w:tcPr>
                  <w:tcW w:w="371" w:type="pct"/>
                  <w:tcBorders>
                    <w:tl2br w:val="nil"/>
                    <w:tr2bl w:val="nil"/>
                  </w:tcBorders>
                  <w:noWrap/>
                  <w:vAlign w:val="center"/>
                </w:tcPr>
                <w:p w14:paraId="3B61812F">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7200</w:t>
                  </w:r>
                </w:p>
              </w:tc>
              <w:tc>
                <w:tcPr>
                  <w:tcW w:w="441" w:type="pct"/>
                  <w:tcBorders>
                    <w:tl2br w:val="nil"/>
                    <w:tr2bl w:val="nil"/>
                  </w:tcBorders>
                  <w:noWrap/>
                  <w:vAlign w:val="center"/>
                </w:tcPr>
                <w:p w14:paraId="082B0F34">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w:t>
                  </w:r>
                </w:p>
              </w:tc>
              <w:tc>
                <w:tcPr>
                  <w:tcW w:w="481" w:type="pct"/>
                  <w:tcBorders>
                    <w:tl2br w:val="nil"/>
                    <w:tr2bl w:val="nil"/>
                  </w:tcBorders>
                  <w:noWrap/>
                  <w:vAlign w:val="center"/>
                </w:tcPr>
                <w:p w14:paraId="7A7DB57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33.48</w:t>
                  </w:r>
                </w:p>
              </w:tc>
              <w:tc>
                <w:tcPr>
                  <w:tcW w:w="411" w:type="pct"/>
                  <w:tcBorders>
                    <w:tl2br w:val="nil"/>
                    <w:tr2bl w:val="nil"/>
                  </w:tcBorders>
                  <w:noWrap/>
                  <w:vAlign w:val="center"/>
                </w:tcPr>
                <w:p w14:paraId="67305F6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r>
            <w:tr w14:paraId="227C7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0A6529D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noWrap/>
                  <w:vAlign w:val="center"/>
                </w:tcPr>
                <w:p w14:paraId="46D2AA4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修边机1</w:t>
                  </w:r>
                </w:p>
              </w:tc>
              <w:tc>
                <w:tcPr>
                  <w:tcW w:w="381" w:type="pct"/>
                  <w:tcBorders>
                    <w:tl2br w:val="nil"/>
                    <w:tr2bl w:val="nil"/>
                  </w:tcBorders>
                  <w:noWrap/>
                  <w:vAlign w:val="center"/>
                </w:tcPr>
                <w:p w14:paraId="1491FBE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85</w:t>
                  </w:r>
                </w:p>
              </w:tc>
              <w:tc>
                <w:tcPr>
                  <w:tcW w:w="361" w:type="pct"/>
                  <w:vMerge w:val="continue"/>
                  <w:tcBorders>
                    <w:tl2br w:val="nil"/>
                    <w:tr2bl w:val="nil"/>
                  </w:tcBorders>
                  <w:noWrap/>
                  <w:vAlign w:val="center"/>
                </w:tcPr>
                <w:p w14:paraId="3C5EC13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271" w:type="pct"/>
                  <w:tcBorders>
                    <w:tl2br w:val="nil"/>
                    <w:tr2bl w:val="nil"/>
                  </w:tcBorders>
                  <w:noWrap/>
                  <w:vAlign w:val="center"/>
                </w:tcPr>
                <w:p w14:paraId="09818E1B">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19</w:t>
                  </w:r>
                </w:p>
              </w:tc>
              <w:tc>
                <w:tcPr>
                  <w:tcW w:w="301" w:type="pct"/>
                  <w:tcBorders>
                    <w:tl2br w:val="nil"/>
                    <w:tr2bl w:val="nil"/>
                  </w:tcBorders>
                  <w:noWrap/>
                  <w:vAlign w:val="center"/>
                </w:tcPr>
                <w:p w14:paraId="14FB823F">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311</w:t>
                  </w:r>
                </w:p>
              </w:tc>
              <w:tc>
                <w:tcPr>
                  <w:tcW w:w="241" w:type="pct"/>
                  <w:tcBorders>
                    <w:tl2br w:val="nil"/>
                    <w:tr2bl w:val="nil"/>
                  </w:tcBorders>
                  <w:noWrap/>
                  <w:vAlign w:val="center"/>
                </w:tcPr>
                <w:p w14:paraId="7904762C">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1119.51</w:t>
                  </w:r>
                </w:p>
              </w:tc>
              <w:tc>
                <w:tcPr>
                  <w:tcW w:w="341" w:type="pct"/>
                  <w:tcBorders>
                    <w:tl2br w:val="nil"/>
                    <w:tr2bl w:val="nil"/>
                  </w:tcBorders>
                  <w:noWrap/>
                  <w:vAlign w:val="center"/>
                </w:tcPr>
                <w:p w14:paraId="503A99D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w:t>
                  </w:r>
                </w:p>
              </w:tc>
              <w:tc>
                <w:tcPr>
                  <w:tcW w:w="381" w:type="pct"/>
                  <w:tcBorders>
                    <w:tl2br w:val="nil"/>
                    <w:tr2bl w:val="nil"/>
                  </w:tcBorders>
                  <w:noWrap/>
                  <w:vAlign w:val="center"/>
                </w:tcPr>
                <w:p w14:paraId="55DA2F15">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69.48</w:t>
                  </w:r>
                </w:p>
              </w:tc>
              <w:tc>
                <w:tcPr>
                  <w:tcW w:w="371" w:type="pct"/>
                  <w:tcBorders>
                    <w:tl2br w:val="nil"/>
                    <w:tr2bl w:val="nil"/>
                  </w:tcBorders>
                  <w:noWrap/>
                  <w:vAlign w:val="center"/>
                </w:tcPr>
                <w:p w14:paraId="39F296DB">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7200</w:t>
                  </w:r>
                </w:p>
              </w:tc>
              <w:tc>
                <w:tcPr>
                  <w:tcW w:w="441" w:type="pct"/>
                  <w:tcBorders>
                    <w:tl2br w:val="nil"/>
                    <w:tr2bl w:val="nil"/>
                  </w:tcBorders>
                  <w:noWrap/>
                  <w:vAlign w:val="center"/>
                </w:tcPr>
                <w:p w14:paraId="5A759686">
                  <w:pPr>
                    <w:keepNext w:val="0"/>
                    <w:keepLines w:val="0"/>
                    <w:pageBreakBefore w:val="0"/>
                    <w:suppressLineNumbers w:val="0"/>
                    <w:kinsoku/>
                    <w:overflowPunct/>
                    <w:bidi w:val="0"/>
                    <w:spacing w:before="0" w:beforeAutospacing="0" w:after="0" w:afterLines="0" w:afterAutospacing="0"/>
                    <w:ind w:left="0" w:right="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w:t>
                  </w:r>
                </w:p>
              </w:tc>
              <w:tc>
                <w:tcPr>
                  <w:tcW w:w="481" w:type="pct"/>
                  <w:tcBorders>
                    <w:tl2br w:val="nil"/>
                    <w:tr2bl w:val="nil"/>
                  </w:tcBorders>
                  <w:noWrap/>
                  <w:vAlign w:val="center"/>
                </w:tcPr>
                <w:p w14:paraId="79A0B33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43.48</w:t>
                  </w:r>
                </w:p>
              </w:tc>
              <w:tc>
                <w:tcPr>
                  <w:tcW w:w="411" w:type="pct"/>
                  <w:tcBorders>
                    <w:tl2br w:val="nil"/>
                    <w:tr2bl w:val="nil"/>
                  </w:tcBorders>
                  <w:noWrap/>
                  <w:vAlign w:val="center"/>
                </w:tcPr>
                <w:p w14:paraId="18BD7BB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r>
            <w:tr w14:paraId="29DC8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0D5A543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shd w:val="clear" w:color="auto" w:fill="auto"/>
                  <w:noWrap/>
                  <w:vAlign w:val="center"/>
                </w:tcPr>
                <w:p w14:paraId="584F4417">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修边机2</w:t>
                  </w:r>
                </w:p>
              </w:tc>
              <w:tc>
                <w:tcPr>
                  <w:tcW w:w="381" w:type="pct"/>
                  <w:tcBorders>
                    <w:tl2br w:val="nil"/>
                    <w:tr2bl w:val="nil"/>
                  </w:tcBorders>
                  <w:shd w:val="clear" w:color="auto" w:fill="auto"/>
                  <w:noWrap/>
                  <w:vAlign w:val="center"/>
                </w:tcPr>
                <w:p w14:paraId="772F5A26">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85</w:t>
                  </w:r>
                </w:p>
              </w:tc>
              <w:tc>
                <w:tcPr>
                  <w:tcW w:w="361" w:type="pct"/>
                  <w:vMerge w:val="continue"/>
                  <w:tcBorders>
                    <w:tl2br w:val="nil"/>
                    <w:tr2bl w:val="nil"/>
                  </w:tcBorders>
                  <w:shd w:val="clear" w:color="auto" w:fill="auto"/>
                  <w:noWrap/>
                  <w:vAlign w:val="center"/>
                </w:tcPr>
                <w:p w14:paraId="040FE71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271" w:type="pct"/>
                  <w:tcBorders>
                    <w:tl2br w:val="nil"/>
                    <w:tr2bl w:val="nil"/>
                  </w:tcBorders>
                  <w:shd w:val="clear" w:color="auto" w:fill="auto"/>
                  <w:noWrap/>
                  <w:vAlign w:val="center"/>
                </w:tcPr>
                <w:p w14:paraId="4F377295">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25</w:t>
                  </w:r>
                </w:p>
              </w:tc>
              <w:tc>
                <w:tcPr>
                  <w:tcW w:w="301" w:type="pct"/>
                  <w:tcBorders>
                    <w:tl2br w:val="nil"/>
                    <w:tr2bl w:val="nil"/>
                  </w:tcBorders>
                  <w:shd w:val="clear" w:color="auto" w:fill="auto"/>
                  <w:noWrap/>
                  <w:vAlign w:val="center"/>
                </w:tcPr>
                <w:p w14:paraId="6F36D52B">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311</w:t>
                  </w:r>
                </w:p>
              </w:tc>
              <w:tc>
                <w:tcPr>
                  <w:tcW w:w="241" w:type="pct"/>
                  <w:tcBorders>
                    <w:tl2br w:val="nil"/>
                    <w:tr2bl w:val="nil"/>
                  </w:tcBorders>
                  <w:shd w:val="clear" w:color="auto" w:fill="auto"/>
                  <w:noWrap/>
                  <w:vAlign w:val="center"/>
                </w:tcPr>
                <w:p w14:paraId="23D91DD3">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1119.87</w:t>
                  </w:r>
                </w:p>
              </w:tc>
              <w:tc>
                <w:tcPr>
                  <w:tcW w:w="341" w:type="pct"/>
                  <w:tcBorders>
                    <w:tl2br w:val="nil"/>
                    <w:tr2bl w:val="nil"/>
                  </w:tcBorders>
                  <w:shd w:val="clear" w:color="auto" w:fill="auto"/>
                  <w:noWrap/>
                  <w:vAlign w:val="center"/>
                </w:tcPr>
                <w:p w14:paraId="3DC701B0">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w:t>
                  </w:r>
                </w:p>
              </w:tc>
              <w:tc>
                <w:tcPr>
                  <w:tcW w:w="381" w:type="pct"/>
                  <w:tcBorders>
                    <w:tl2br w:val="nil"/>
                    <w:tr2bl w:val="nil"/>
                  </w:tcBorders>
                  <w:shd w:val="clear" w:color="auto" w:fill="auto"/>
                  <w:noWrap/>
                  <w:vAlign w:val="center"/>
                </w:tcPr>
                <w:p w14:paraId="3BF706F6">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69.48</w:t>
                  </w:r>
                </w:p>
              </w:tc>
              <w:tc>
                <w:tcPr>
                  <w:tcW w:w="371" w:type="pct"/>
                  <w:tcBorders>
                    <w:tl2br w:val="nil"/>
                    <w:tr2bl w:val="nil"/>
                  </w:tcBorders>
                  <w:shd w:val="clear" w:color="auto" w:fill="auto"/>
                  <w:noWrap/>
                  <w:vAlign w:val="center"/>
                </w:tcPr>
                <w:p w14:paraId="331A35D3">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7200</w:t>
                  </w:r>
                </w:p>
              </w:tc>
              <w:tc>
                <w:tcPr>
                  <w:tcW w:w="441" w:type="pct"/>
                  <w:tcBorders>
                    <w:tl2br w:val="nil"/>
                    <w:tr2bl w:val="nil"/>
                  </w:tcBorders>
                  <w:shd w:val="clear" w:color="auto" w:fill="auto"/>
                  <w:noWrap/>
                  <w:vAlign w:val="center"/>
                </w:tcPr>
                <w:p w14:paraId="7358B3C1">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w:t>
                  </w:r>
                </w:p>
              </w:tc>
              <w:tc>
                <w:tcPr>
                  <w:tcW w:w="481" w:type="pct"/>
                  <w:tcBorders>
                    <w:tl2br w:val="nil"/>
                    <w:tr2bl w:val="nil"/>
                  </w:tcBorders>
                  <w:shd w:val="clear" w:color="auto" w:fill="auto"/>
                  <w:noWrap/>
                  <w:vAlign w:val="center"/>
                </w:tcPr>
                <w:p w14:paraId="5B864E3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43.48</w:t>
                  </w:r>
                </w:p>
              </w:tc>
              <w:tc>
                <w:tcPr>
                  <w:tcW w:w="411" w:type="pct"/>
                  <w:tcBorders>
                    <w:tl2br w:val="nil"/>
                    <w:tr2bl w:val="nil"/>
                  </w:tcBorders>
                  <w:shd w:val="clear" w:color="auto" w:fill="auto"/>
                  <w:noWrap/>
                  <w:vAlign w:val="center"/>
                </w:tcPr>
                <w:p w14:paraId="514D3665">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r>
            <w:tr w14:paraId="196B5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0C9400C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shd w:val="clear" w:color="auto" w:fill="auto"/>
                  <w:noWrap/>
                  <w:vAlign w:val="center"/>
                </w:tcPr>
                <w:p w14:paraId="40E94C6C">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eastAsia="zh-CN"/>
                    </w:rPr>
                    <w:t>焊接</w:t>
                  </w:r>
                  <w:r>
                    <w:rPr>
                      <w:rFonts w:hint="eastAsia" w:ascii="Times New Roman" w:hAnsi="Times New Roman" w:eastAsia="宋体"/>
                      <w:color w:val="auto"/>
                      <w:sz w:val="21"/>
                      <w:szCs w:val="21"/>
                      <w:lang w:val="en-US" w:eastAsia="zh-CN"/>
                    </w:rPr>
                    <w:t>机</w:t>
                  </w:r>
                </w:p>
              </w:tc>
              <w:tc>
                <w:tcPr>
                  <w:tcW w:w="381" w:type="pct"/>
                  <w:tcBorders>
                    <w:tl2br w:val="nil"/>
                    <w:tr2bl w:val="nil"/>
                  </w:tcBorders>
                  <w:shd w:val="clear" w:color="auto" w:fill="auto"/>
                  <w:noWrap/>
                  <w:vAlign w:val="center"/>
                </w:tcPr>
                <w:p w14:paraId="7C5B5EBD">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85</w:t>
                  </w:r>
                </w:p>
              </w:tc>
              <w:tc>
                <w:tcPr>
                  <w:tcW w:w="361" w:type="pct"/>
                  <w:vMerge w:val="continue"/>
                  <w:tcBorders>
                    <w:tl2br w:val="nil"/>
                    <w:tr2bl w:val="nil"/>
                  </w:tcBorders>
                  <w:shd w:val="clear" w:color="auto" w:fill="auto"/>
                  <w:noWrap/>
                  <w:vAlign w:val="center"/>
                </w:tcPr>
                <w:p w14:paraId="5E4885D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271" w:type="pct"/>
                  <w:tcBorders>
                    <w:tl2br w:val="nil"/>
                    <w:tr2bl w:val="nil"/>
                  </w:tcBorders>
                  <w:shd w:val="clear" w:color="auto" w:fill="auto"/>
                  <w:noWrap/>
                  <w:vAlign w:val="center"/>
                </w:tcPr>
                <w:p w14:paraId="309560CE">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31</w:t>
                  </w:r>
                </w:p>
              </w:tc>
              <w:tc>
                <w:tcPr>
                  <w:tcW w:w="301" w:type="pct"/>
                  <w:tcBorders>
                    <w:tl2br w:val="nil"/>
                    <w:tr2bl w:val="nil"/>
                  </w:tcBorders>
                  <w:shd w:val="clear" w:color="auto" w:fill="auto"/>
                  <w:noWrap/>
                  <w:vAlign w:val="center"/>
                </w:tcPr>
                <w:p w14:paraId="402D8AFE">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313</w:t>
                  </w:r>
                </w:p>
              </w:tc>
              <w:tc>
                <w:tcPr>
                  <w:tcW w:w="241" w:type="pct"/>
                  <w:tcBorders>
                    <w:tl2br w:val="nil"/>
                    <w:tr2bl w:val="nil"/>
                  </w:tcBorders>
                  <w:shd w:val="clear" w:color="auto" w:fill="auto"/>
                  <w:noWrap/>
                  <w:vAlign w:val="center"/>
                </w:tcPr>
                <w:p w14:paraId="77CE8DBE">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1120.18</w:t>
                  </w:r>
                </w:p>
              </w:tc>
              <w:tc>
                <w:tcPr>
                  <w:tcW w:w="341" w:type="pct"/>
                  <w:tcBorders>
                    <w:tl2br w:val="nil"/>
                    <w:tr2bl w:val="nil"/>
                  </w:tcBorders>
                  <w:shd w:val="clear" w:color="auto" w:fill="auto"/>
                  <w:noWrap/>
                  <w:vAlign w:val="center"/>
                </w:tcPr>
                <w:p w14:paraId="6D02058F">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5</w:t>
                  </w:r>
                </w:p>
              </w:tc>
              <w:tc>
                <w:tcPr>
                  <w:tcW w:w="381" w:type="pct"/>
                  <w:tcBorders>
                    <w:tl2br w:val="nil"/>
                    <w:tr2bl w:val="nil"/>
                  </w:tcBorders>
                  <w:shd w:val="clear" w:color="auto" w:fill="auto"/>
                  <w:noWrap/>
                  <w:vAlign w:val="center"/>
                </w:tcPr>
                <w:p w14:paraId="4461A255">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57.48</w:t>
                  </w:r>
                </w:p>
              </w:tc>
              <w:tc>
                <w:tcPr>
                  <w:tcW w:w="371" w:type="pct"/>
                  <w:tcBorders>
                    <w:tl2br w:val="nil"/>
                    <w:tr2bl w:val="nil"/>
                  </w:tcBorders>
                  <w:shd w:val="clear" w:color="auto" w:fill="auto"/>
                  <w:noWrap/>
                  <w:vAlign w:val="center"/>
                </w:tcPr>
                <w:p w14:paraId="2DC5921E">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7200</w:t>
                  </w:r>
                </w:p>
              </w:tc>
              <w:tc>
                <w:tcPr>
                  <w:tcW w:w="441" w:type="pct"/>
                  <w:tcBorders>
                    <w:tl2br w:val="nil"/>
                    <w:tr2bl w:val="nil"/>
                  </w:tcBorders>
                  <w:shd w:val="clear" w:color="auto" w:fill="auto"/>
                  <w:noWrap/>
                  <w:vAlign w:val="center"/>
                </w:tcPr>
                <w:p w14:paraId="70913848">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20</w:t>
                  </w:r>
                </w:p>
              </w:tc>
              <w:tc>
                <w:tcPr>
                  <w:tcW w:w="481" w:type="pct"/>
                  <w:tcBorders>
                    <w:tl2br w:val="nil"/>
                    <w:tr2bl w:val="nil"/>
                  </w:tcBorders>
                  <w:shd w:val="clear" w:color="auto" w:fill="auto"/>
                  <w:noWrap/>
                  <w:vAlign w:val="center"/>
                </w:tcPr>
                <w:p w14:paraId="0AC0913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31.48</w:t>
                  </w:r>
                </w:p>
              </w:tc>
              <w:tc>
                <w:tcPr>
                  <w:tcW w:w="411" w:type="pct"/>
                  <w:tcBorders>
                    <w:tl2br w:val="nil"/>
                    <w:tr2bl w:val="nil"/>
                  </w:tcBorders>
                  <w:shd w:val="clear" w:color="auto" w:fill="auto"/>
                  <w:noWrap/>
                  <w:vAlign w:val="center"/>
                </w:tcPr>
                <w:p w14:paraId="249514D0">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1</w:t>
                  </w:r>
                </w:p>
              </w:tc>
            </w:tr>
            <w:tr w14:paraId="61DBA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4EC4AD7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shd w:val="clear" w:color="auto" w:fill="auto"/>
                  <w:noWrap/>
                  <w:vAlign w:val="center"/>
                </w:tcPr>
                <w:p w14:paraId="015733A6">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打磨除尘一体机</w:t>
                  </w:r>
                </w:p>
              </w:tc>
              <w:tc>
                <w:tcPr>
                  <w:tcW w:w="381" w:type="pct"/>
                  <w:tcBorders>
                    <w:tl2br w:val="nil"/>
                    <w:tr2bl w:val="nil"/>
                  </w:tcBorders>
                  <w:shd w:val="clear" w:color="auto" w:fill="auto"/>
                  <w:noWrap/>
                  <w:vAlign w:val="center"/>
                </w:tcPr>
                <w:p w14:paraId="37DF8EA3">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85</w:t>
                  </w:r>
                </w:p>
              </w:tc>
              <w:tc>
                <w:tcPr>
                  <w:tcW w:w="361" w:type="pct"/>
                  <w:vMerge w:val="continue"/>
                  <w:tcBorders>
                    <w:tl2br w:val="nil"/>
                    <w:tr2bl w:val="nil"/>
                  </w:tcBorders>
                  <w:noWrap/>
                  <w:vAlign w:val="center"/>
                </w:tcPr>
                <w:p w14:paraId="2E5B1D9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271" w:type="pct"/>
                  <w:tcBorders>
                    <w:tl2br w:val="nil"/>
                    <w:tr2bl w:val="nil"/>
                  </w:tcBorders>
                  <w:shd w:val="clear" w:color="auto" w:fill="auto"/>
                  <w:noWrap/>
                  <w:vAlign w:val="center"/>
                </w:tcPr>
                <w:p w14:paraId="032F65DE">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30</w:t>
                  </w:r>
                </w:p>
              </w:tc>
              <w:tc>
                <w:tcPr>
                  <w:tcW w:w="301" w:type="pct"/>
                  <w:tcBorders>
                    <w:tl2br w:val="nil"/>
                    <w:tr2bl w:val="nil"/>
                  </w:tcBorders>
                  <w:shd w:val="clear" w:color="auto" w:fill="auto"/>
                  <w:noWrap/>
                  <w:vAlign w:val="center"/>
                </w:tcPr>
                <w:p w14:paraId="05B7B5D2">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310</w:t>
                  </w:r>
                </w:p>
              </w:tc>
              <w:tc>
                <w:tcPr>
                  <w:tcW w:w="241" w:type="pct"/>
                  <w:tcBorders>
                    <w:tl2br w:val="nil"/>
                    <w:tr2bl w:val="nil"/>
                  </w:tcBorders>
                  <w:shd w:val="clear" w:color="auto" w:fill="auto"/>
                  <w:noWrap/>
                  <w:vAlign w:val="center"/>
                </w:tcPr>
                <w:p w14:paraId="27F70001">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1120.21</w:t>
                  </w:r>
                </w:p>
              </w:tc>
              <w:tc>
                <w:tcPr>
                  <w:tcW w:w="341" w:type="pct"/>
                  <w:tcBorders>
                    <w:tl2br w:val="nil"/>
                    <w:tr2bl w:val="nil"/>
                  </w:tcBorders>
                  <w:shd w:val="clear" w:color="auto" w:fill="auto"/>
                  <w:noWrap/>
                  <w:vAlign w:val="center"/>
                </w:tcPr>
                <w:p w14:paraId="3C73F78D">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5</w:t>
                  </w:r>
                </w:p>
              </w:tc>
              <w:tc>
                <w:tcPr>
                  <w:tcW w:w="381" w:type="pct"/>
                  <w:tcBorders>
                    <w:tl2br w:val="nil"/>
                    <w:tr2bl w:val="nil"/>
                  </w:tcBorders>
                  <w:shd w:val="clear" w:color="auto" w:fill="auto"/>
                  <w:noWrap/>
                  <w:vAlign w:val="center"/>
                </w:tcPr>
                <w:p w14:paraId="7559B750">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59.48</w:t>
                  </w:r>
                </w:p>
              </w:tc>
              <w:tc>
                <w:tcPr>
                  <w:tcW w:w="371" w:type="pct"/>
                  <w:tcBorders>
                    <w:tl2br w:val="nil"/>
                    <w:tr2bl w:val="nil"/>
                  </w:tcBorders>
                  <w:shd w:val="clear" w:color="auto" w:fill="auto"/>
                  <w:noWrap/>
                  <w:vAlign w:val="center"/>
                </w:tcPr>
                <w:p w14:paraId="44C7061A">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7200</w:t>
                  </w:r>
                </w:p>
              </w:tc>
              <w:tc>
                <w:tcPr>
                  <w:tcW w:w="441" w:type="pct"/>
                  <w:tcBorders>
                    <w:tl2br w:val="nil"/>
                    <w:tr2bl w:val="nil"/>
                  </w:tcBorders>
                  <w:shd w:val="clear" w:color="auto" w:fill="auto"/>
                  <w:noWrap/>
                  <w:vAlign w:val="center"/>
                </w:tcPr>
                <w:p w14:paraId="777E596F">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20</w:t>
                  </w:r>
                </w:p>
              </w:tc>
              <w:tc>
                <w:tcPr>
                  <w:tcW w:w="481" w:type="pct"/>
                  <w:tcBorders>
                    <w:tl2br w:val="nil"/>
                    <w:tr2bl w:val="nil"/>
                  </w:tcBorders>
                  <w:shd w:val="clear" w:color="auto" w:fill="auto"/>
                  <w:noWrap/>
                  <w:vAlign w:val="center"/>
                </w:tcPr>
                <w:p w14:paraId="4BB6EBC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33.48</w:t>
                  </w:r>
                </w:p>
              </w:tc>
              <w:tc>
                <w:tcPr>
                  <w:tcW w:w="411" w:type="pct"/>
                  <w:tcBorders>
                    <w:tl2br w:val="nil"/>
                    <w:tr2bl w:val="nil"/>
                  </w:tcBorders>
                  <w:shd w:val="clear" w:color="auto" w:fill="auto"/>
                  <w:noWrap/>
                  <w:vAlign w:val="center"/>
                </w:tcPr>
                <w:p w14:paraId="1802B5C3">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1</w:t>
                  </w:r>
                </w:p>
              </w:tc>
            </w:tr>
            <w:tr w14:paraId="4A311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5594252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shd w:val="clear" w:color="auto" w:fill="auto"/>
                  <w:noWrap/>
                  <w:vAlign w:val="center"/>
                </w:tcPr>
                <w:p w14:paraId="2C0BFCAC">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空压机</w:t>
                  </w:r>
                </w:p>
              </w:tc>
              <w:tc>
                <w:tcPr>
                  <w:tcW w:w="381" w:type="pct"/>
                  <w:tcBorders>
                    <w:tl2br w:val="nil"/>
                    <w:tr2bl w:val="nil"/>
                  </w:tcBorders>
                  <w:shd w:val="clear" w:color="auto" w:fill="auto"/>
                  <w:noWrap/>
                  <w:vAlign w:val="center"/>
                </w:tcPr>
                <w:p w14:paraId="463BD111">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85</w:t>
                  </w:r>
                </w:p>
              </w:tc>
              <w:tc>
                <w:tcPr>
                  <w:tcW w:w="361" w:type="pct"/>
                  <w:vMerge w:val="continue"/>
                  <w:tcBorders>
                    <w:tl2br w:val="nil"/>
                    <w:tr2bl w:val="nil"/>
                  </w:tcBorders>
                  <w:noWrap/>
                  <w:vAlign w:val="center"/>
                </w:tcPr>
                <w:p w14:paraId="4A2FFE1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271" w:type="pct"/>
                  <w:tcBorders>
                    <w:tl2br w:val="nil"/>
                    <w:tr2bl w:val="nil"/>
                  </w:tcBorders>
                  <w:shd w:val="clear" w:color="auto" w:fill="auto"/>
                  <w:noWrap/>
                  <w:vAlign w:val="center"/>
                </w:tcPr>
                <w:p w14:paraId="38E69D83">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38</w:t>
                  </w:r>
                </w:p>
              </w:tc>
              <w:tc>
                <w:tcPr>
                  <w:tcW w:w="301" w:type="pct"/>
                  <w:tcBorders>
                    <w:tl2br w:val="nil"/>
                    <w:tr2bl w:val="nil"/>
                  </w:tcBorders>
                  <w:shd w:val="clear" w:color="auto" w:fill="auto"/>
                  <w:noWrap/>
                  <w:vAlign w:val="center"/>
                </w:tcPr>
                <w:p w14:paraId="0E1FAE15">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322</w:t>
                  </w:r>
                </w:p>
              </w:tc>
              <w:tc>
                <w:tcPr>
                  <w:tcW w:w="241" w:type="pct"/>
                  <w:tcBorders>
                    <w:tl2br w:val="nil"/>
                    <w:tr2bl w:val="nil"/>
                  </w:tcBorders>
                  <w:shd w:val="clear" w:color="auto" w:fill="auto"/>
                  <w:noWrap/>
                  <w:vAlign w:val="center"/>
                </w:tcPr>
                <w:p w14:paraId="13137D65">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1120.34</w:t>
                  </w:r>
                </w:p>
              </w:tc>
              <w:tc>
                <w:tcPr>
                  <w:tcW w:w="341" w:type="pct"/>
                  <w:tcBorders>
                    <w:tl2br w:val="nil"/>
                    <w:tr2bl w:val="nil"/>
                  </w:tcBorders>
                  <w:shd w:val="clear" w:color="auto" w:fill="auto"/>
                  <w:noWrap/>
                  <w:vAlign w:val="center"/>
                </w:tcPr>
                <w:p w14:paraId="1BA2E48D">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5</w:t>
                  </w:r>
                </w:p>
              </w:tc>
              <w:tc>
                <w:tcPr>
                  <w:tcW w:w="381" w:type="pct"/>
                  <w:tcBorders>
                    <w:tl2br w:val="nil"/>
                    <w:tr2bl w:val="nil"/>
                  </w:tcBorders>
                  <w:shd w:val="clear" w:color="auto" w:fill="auto"/>
                  <w:noWrap/>
                  <w:vAlign w:val="center"/>
                </w:tcPr>
                <w:p w14:paraId="61BCF697">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64.45</w:t>
                  </w:r>
                </w:p>
              </w:tc>
              <w:tc>
                <w:tcPr>
                  <w:tcW w:w="371" w:type="pct"/>
                  <w:tcBorders>
                    <w:tl2br w:val="nil"/>
                    <w:tr2bl w:val="nil"/>
                  </w:tcBorders>
                  <w:shd w:val="clear" w:color="auto" w:fill="auto"/>
                  <w:noWrap/>
                  <w:vAlign w:val="center"/>
                </w:tcPr>
                <w:p w14:paraId="2504E59B">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7200</w:t>
                  </w:r>
                </w:p>
              </w:tc>
              <w:tc>
                <w:tcPr>
                  <w:tcW w:w="441" w:type="pct"/>
                  <w:tcBorders>
                    <w:tl2br w:val="nil"/>
                    <w:tr2bl w:val="nil"/>
                  </w:tcBorders>
                  <w:shd w:val="clear" w:color="auto" w:fill="auto"/>
                  <w:noWrap/>
                  <w:vAlign w:val="center"/>
                </w:tcPr>
                <w:p w14:paraId="7EAA14F5">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20</w:t>
                  </w:r>
                </w:p>
              </w:tc>
              <w:tc>
                <w:tcPr>
                  <w:tcW w:w="481" w:type="pct"/>
                  <w:tcBorders>
                    <w:tl2br w:val="nil"/>
                    <w:tr2bl w:val="nil"/>
                  </w:tcBorders>
                  <w:shd w:val="clear" w:color="auto" w:fill="auto"/>
                  <w:noWrap/>
                  <w:vAlign w:val="center"/>
                </w:tcPr>
                <w:p w14:paraId="21CC545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38.45</w:t>
                  </w:r>
                </w:p>
              </w:tc>
              <w:tc>
                <w:tcPr>
                  <w:tcW w:w="411" w:type="pct"/>
                  <w:tcBorders>
                    <w:tl2br w:val="nil"/>
                    <w:tr2bl w:val="nil"/>
                  </w:tcBorders>
                  <w:shd w:val="clear" w:color="auto" w:fill="auto"/>
                  <w:noWrap/>
                  <w:vAlign w:val="center"/>
                </w:tcPr>
                <w:p w14:paraId="2CBC87D9">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1</w:t>
                  </w:r>
                </w:p>
              </w:tc>
            </w:tr>
            <w:tr w14:paraId="69146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3480A62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shd w:val="clear" w:color="auto" w:fill="auto"/>
                  <w:noWrap/>
                  <w:vAlign w:val="center"/>
                </w:tcPr>
                <w:p w14:paraId="3E08CE3B">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全自动上料干燥一体机</w:t>
                  </w:r>
                  <w:r>
                    <w:rPr>
                      <w:rFonts w:hint="eastAsia" w:ascii="Times New Roman" w:hAnsi="Times New Roman" w:eastAsia="宋体"/>
                      <w:color w:val="auto"/>
                      <w:sz w:val="21"/>
                      <w:szCs w:val="21"/>
                      <w:highlight w:val="none"/>
                      <w:lang w:val="en-US" w:eastAsia="zh-CN"/>
                    </w:rPr>
                    <w:t>1</w:t>
                  </w:r>
                </w:p>
              </w:tc>
              <w:tc>
                <w:tcPr>
                  <w:tcW w:w="381" w:type="pct"/>
                  <w:tcBorders>
                    <w:tl2br w:val="nil"/>
                    <w:tr2bl w:val="nil"/>
                  </w:tcBorders>
                  <w:shd w:val="clear" w:color="auto" w:fill="auto"/>
                  <w:noWrap/>
                  <w:vAlign w:val="center"/>
                </w:tcPr>
                <w:p w14:paraId="56A2B422">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90</w:t>
                  </w:r>
                </w:p>
              </w:tc>
              <w:tc>
                <w:tcPr>
                  <w:tcW w:w="361" w:type="pct"/>
                  <w:vMerge w:val="continue"/>
                  <w:tcBorders>
                    <w:tl2br w:val="nil"/>
                    <w:tr2bl w:val="nil"/>
                  </w:tcBorders>
                  <w:noWrap/>
                  <w:vAlign w:val="center"/>
                </w:tcPr>
                <w:p w14:paraId="62CB50E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271" w:type="pct"/>
                  <w:tcBorders>
                    <w:tl2br w:val="nil"/>
                    <w:tr2bl w:val="nil"/>
                  </w:tcBorders>
                  <w:shd w:val="clear" w:color="auto" w:fill="auto"/>
                  <w:noWrap/>
                  <w:vAlign w:val="center"/>
                </w:tcPr>
                <w:p w14:paraId="7517D49F">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19</w:t>
                  </w:r>
                </w:p>
              </w:tc>
              <w:tc>
                <w:tcPr>
                  <w:tcW w:w="301" w:type="pct"/>
                  <w:tcBorders>
                    <w:tl2br w:val="nil"/>
                    <w:tr2bl w:val="nil"/>
                  </w:tcBorders>
                  <w:shd w:val="clear" w:color="auto" w:fill="auto"/>
                  <w:noWrap/>
                  <w:vAlign w:val="center"/>
                </w:tcPr>
                <w:p w14:paraId="09D7E00E">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292</w:t>
                  </w:r>
                </w:p>
              </w:tc>
              <w:tc>
                <w:tcPr>
                  <w:tcW w:w="241" w:type="pct"/>
                  <w:tcBorders>
                    <w:tl2br w:val="nil"/>
                    <w:tr2bl w:val="nil"/>
                  </w:tcBorders>
                  <w:shd w:val="clear" w:color="auto" w:fill="auto"/>
                  <w:noWrap/>
                  <w:vAlign w:val="center"/>
                </w:tcPr>
                <w:p w14:paraId="23B92BF0">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1119.11</w:t>
                  </w:r>
                </w:p>
              </w:tc>
              <w:tc>
                <w:tcPr>
                  <w:tcW w:w="341" w:type="pct"/>
                  <w:tcBorders>
                    <w:tl2br w:val="nil"/>
                    <w:tr2bl w:val="nil"/>
                  </w:tcBorders>
                  <w:shd w:val="clear" w:color="auto" w:fill="auto"/>
                  <w:noWrap/>
                  <w:vAlign w:val="center"/>
                </w:tcPr>
                <w:p w14:paraId="140B02DD">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5</w:t>
                  </w:r>
                </w:p>
              </w:tc>
              <w:tc>
                <w:tcPr>
                  <w:tcW w:w="381" w:type="pct"/>
                  <w:tcBorders>
                    <w:tl2br w:val="nil"/>
                    <w:tr2bl w:val="nil"/>
                  </w:tcBorders>
                  <w:shd w:val="clear" w:color="auto" w:fill="auto"/>
                  <w:noWrap/>
                  <w:vAlign w:val="center"/>
                </w:tcPr>
                <w:p w14:paraId="1CC730FA">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69.48</w:t>
                  </w:r>
                </w:p>
              </w:tc>
              <w:tc>
                <w:tcPr>
                  <w:tcW w:w="371" w:type="pct"/>
                  <w:tcBorders>
                    <w:tl2br w:val="nil"/>
                    <w:tr2bl w:val="nil"/>
                  </w:tcBorders>
                  <w:shd w:val="clear" w:color="auto" w:fill="auto"/>
                  <w:noWrap/>
                  <w:vAlign w:val="center"/>
                </w:tcPr>
                <w:p w14:paraId="5CE4D2AF">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7200</w:t>
                  </w:r>
                </w:p>
              </w:tc>
              <w:tc>
                <w:tcPr>
                  <w:tcW w:w="441" w:type="pct"/>
                  <w:tcBorders>
                    <w:tl2br w:val="nil"/>
                    <w:tr2bl w:val="nil"/>
                  </w:tcBorders>
                  <w:shd w:val="clear" w:color="auto" w:fill="auto"/>
                  <w:noWrap/>
                  <w:vAlign w:val="center"/>
                </w:tcPr>
                <w:p w14:paraId="1C8E6FCE">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20</w:t>
                  </w:r>
                </w:p>
              </w:tc>
              <w:tc>
                <w:tcPr>
                  <w:tcW w:w="481" w:type="pct"/>
                  <w:tcBorders>
                    <w:tl2br w:val="nil"/>
                    <w:tr2bl w:val="nil"/>
                  </w:tcBorders>
                  <w:shd w:val="clear" w:color="auto" w:fill="auto"/>
                  <w:noWrap/>
                  <w:vAlign w:val="center"/>
                </w:tcPr>
                <w:p w14:paraId="0706AAC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43.48</w:t>
                  </w:r>
                </w:p>
              </w:tc>
              <w:tc>
                <w:tcPr>
                  <w:tcW w:w="411" w:type="pct"/>
                  <w:tcBorders>
                    <w:tl2br w:val="nil"/>
                    <w:tr2bl w:val="nil"/>
                  </w:tcBorders>
                  <w:shd w:val="clear" w:color="auto" w:fill="auto"/>
                  <w:noWrap/>
                  <w:vAlign w:val="center"/>
                </w:tcPr>
                <w:p w14:paraId="154DBEEA">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1</w:t>
                  </w:r>
                </w:p>
              </w:tc>
            </w:tr>
            <w:tr w14:paraId="3EB38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40" w:type="pct"/>
                  <w:vMerge w:val="continue"/>
                  <w:tcBorders>
                    <w:tl2br w:val="nil"/>
                    <w:tr2bl w:val="nil"/>
                  </w:tcBorders>
                  <w:noWrap/>
                  <w:vAlign w:val="center"/>
                </w:tcPr>
                <w:p w14:paraId="6EA5473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672" w:type="pct"/>
                  <w:tcBorders>
                    <w:tl2br w:val="nil"/>
                    <w:tr2bl w:val="nil"/>
                  </w:tcBorders>
                  <w:shd w:val="clear" w:color="auto" w:fill="auto"/>
                  <w:noWrap/>
                  <w:vAlign w:val="center"/>
                </w:tcPr>
                <w:p w14:paraId="75BF5306">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全自动上料干燥一体机</w:t>
                  </w:r>
                  <w:r>
                    <w:rPr>
                      <w:rFonts w:hint="eastAsia" w:ascii="Times New Roman" w:hAnsi="Times New Roman" w:eastAsia="宋体"/>
                      <w:color w:val="auto"/>
                      <w:sz w:val="21"/>
                      <w:szCs w:val="21"/>
                      <w:highlight w:val="none"/>
                      <w:lang w:val="en-US" w:eastAsia="zh-CN"/>
                    </w:rPr>
                    <w:t>2</w:t>
                  </w:r>
                </w:p>
              </w:tc>
              <w:tc>
                <w:tcPr>
                  <w:tcW w:w="381" w:type="pct"/>
                  <w:tcBorders>
                    <w:tl2br w:val="nil"/>
                    <w:tr2bl w:val="nil"/>
                  </w:tcBorders>
                  <w:shd w:val="clear" w:color="auto" w:fill="auto"/>
                  <w:noWrap/>
                  <w:vAlign w:val="center"/>
                </w:tcPr>
                <w:p w14:paraId="5F541F79">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90</w:t>
                  </w:r>
                </w:p>
              </w:tc>
              <w:tc>
                <w:tcPr>
                  <w:tcW w:w="361" w:type="pct"/>
                  <w:vMerge w:val="continue"/>
                  <w:tcBorders>
                    <w:tl2br w:val="nil"/>
                    <w:tr2bl w:val="nil"/>
                  </w:tcBorders>
                  <w:noWrap/>
                  <w:vAlign w:val="center"/>
                </w:tcPr>
                <w:p w14:paraId="5121749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271" w:type="pct"/>
                  <w:tcBorders>
                    <w:tl2br w:val="nil"/>
                    <w:tr2bl w:val="nil"/>
                  </w:tcBorders>
                  <w:shd w:val="clear" w:color="auto" w:fill="auto"/>
                  <w:noWrap/>
                  <w:vAlign w:val="center"/>
                </w:tcPr>
                <w:p w14:paraId="2761C6B6">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26</w:t>
                  </w:r>
                </w:p>
              </w:tc>
              <w:tc>
                <w:tcPr>
                  <w:tcW w:w="301" w:type="pct"/>
                  <w:tcBorders>
                    <w:tl2br w:val="nil"/>
                    <w:tr2bl w:val="nil"/>
                  </w:tcBorders>
                  <w:shd w:val="clear" w:color="auto" w:fill="auto"/>
                  <w:noWrap/>
                  <w:vAlign w:val="center"/>
                </w:tcPr>
                <w:p w14:paraId="02811395">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292</w:t>
                  </w:r>
                </w:p>
              </w:tc>
              <w:tc>
                <w:tcPr>
                  <w:tcW w:w="241" w:type="pct"/>
                  <w:tcBorders>
                    <w:tl2br w:val="nil"/>
                    <w:tr2bl w:val="nil"/>
                  </w:tcBorders>
                  <w:shd w:val="clear" w:color="auto" w:fill="auto"/>
                  <w:noWrap/>
                  <w:vAlign w:val="center"/>
                </w:tcPr>
                <w:p w14:paraId="647917CF">
                  <w:pPr>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rPr>
                    <w:t>1119.62</w:t>
                  </w:r>
                </w:p>
              </w:tc>
              <w:tc>
                <w:tcPr>
                  <w:tcW w:w="341" w:type="pct"/>
                  <w:tcBorders>
                    <w:tl2br w:val="nil"/>
                    <w:tr2bl w:val="nil"/>
                  </w:tcBorders>
                  <w:shd w:val="clear" w:color="auto" w:fill="auto"/>
                  <w:noWrap/>
                  <w:vAlign w:val="center"/>
                </w:tcPr>
                <w:p w14:paraId="4DA2DD63">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5</w:t>
                  </w:r>
                </w:p>
              </w:tc>
              <w:tc>
                <w:tcPr>
                  <w:tcW w:w="381" w:type="pct"/>
                  <w:tcBorders>
                    <w:tl2br w:val="nil"/>
                    <w:tr2bl w:val="nil"/>
                  </w:tcBorders>
                  <w:shd w:val="clear" w:color="auto" w:fill="auto"/>
                  <w:noWrap/>
                  <w:vAlign w:val="center"/>
                </w:tcPr>
                <w:p w14:paraId="68B094BC">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69.48</w:t>
                  </w:r>
                </w:p>
              </w:tc>
              <w:tc>
                <w:tcPr>
                  <w:tcW w:w="371" w:type="pct"/>
                  <w:tcBorders>
                    <w:tl2br w:val="nil"/>
                    <w:tr2bl w:val="nil"/>
                  </w:tcBorders>
                  <w:shd w:val="clear" w:color="auto" w:fill="auto"/>
                  <w:noWrap/>
                  <w:vAlign w:val="center"/>
                </w:tcPr>
                <w:p w14:paraId="3EEF54D3">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7200</w:t>
                  </w:r>
                </w:p>
              </w:tc>
              <w:tc>
                <w:tcPr>
                  <w:tcW w:w="441" w:type="pct"/>
                  <w:tcBorders>
                    <w:tl2br w:val="nil"/>
                    <w:tr2bl w:val="nil"/>
                  </w:tcBorders>
                  <w:shd w:val="clear" w:color="auto" w:fill="auto"/>
                  <w:noWrap/>
                  <w:vAlign w:val="center"/>
                </w:tcPr>
                <w:p w14:paraId="5C3F57C9">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20</w:t>
                  </w:r>
                </w:p>
              </w:tc>
              <w:tc>
                <w:tcPr>
                  <w:tcW w:w="481" w:type="pct"/>
                  <w:tcBorders>
                    <w:tl2br w:val="nil"/>
                    <w:tr2bl w:val="nil"/>
                  </w:tcBorders>
                  <w:shd w:val="clear" w:color="auto" w:fill="auto"/>
                  <w:noWrap/>
                  <w:vAlign w:val="center"/>
                </w:tcPr>
                <w:p w14:paraId="6DEB01E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43.48</w:t>
                  </w:r>
                </w:p>
              </w:tc>
              <w:tc>
                <w:tcPr>
                  <w:tcW w:w="411" w:type="pct"/>
                  <w:tcBorders>
                    <w:tl2br w:val="nil"/>
                    <w:tr2bl w:val="nil"/>
                  </w:tcBorders>
                  <w:shd w:val="clear" w:color="auto" w:fill="auto"/>
                  <w:noWrap/>
                  <w:vAlign w:val="center"/>
                </w:tcPr>
                <w:p w14:paraId="092E0DC7">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1</w:t>
                  </w:r>
                </w:p>
              </w:tc>
            </w:tr>
          </w:tbl>
          <w:p w14:paraId="147BD85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3.2厂界和环境保护目标达标情况</w:t>
            </w:r>
          </w:p>
          <w:p w14:paraId="782AE39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（1）评价标准</w:t>
            </w:r>
          </w:p>
          <w:p w14:paraId="7476241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厂界噪声排放执行《工业企业厂界环境噪声排放标准》（GB12348-2008）</w:t>
            </w:r>
            <w:r>
              <w:rPr>
                <w:rFonts w:hint="eastAsia" w:ascii="Times New Roman" w:hAnsi="Times New Roman" w:eastAsia="宋体" w:cs="Times New Roman"/>
                <w:color w:val="auto"/>
                <w:kern w:val="0"/>
                <w:sz w:val="24"/>
                <w:szCs w:val="24"/>
                <w:lang w:val="en-US" w:eastAsia="zh-CN"/>
              </w:rPr>
              <w:t>3</w:t>
            </w:r>
            <w:r>
              <w:rPr>
                <w:rFonts w:hint="default" w:ascii="Times New Roman" w:hAnsi="Times New Roman" w:eastAsia="宋体" w:cs="Times New Roman"/>
                <w:color w:val="auto"/>
                <w:kern w:val="0"/>
                <w:sz w:val="24"/>
                <w:szCs w:val="24"/>
                <w:lang w:val="en-US" w:eastAsia="zh-CN"/>
              </w:rPr>
              <w:t>类标准。</w:t>
            </w:r>
          </w:p>
          <w:p w14:paraId="0727B25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（2）评价方法与预测模式</w:t>
            </w:r>
          </w:p>
          <w:p w14:paraId="452DADF8">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采用</w:t>
            </w:r>
            <w:r>
              <w:rPr>
                <w:rFonts w:hint="default" w:ascii="Times New Roman" w:hAnsi="Times New Roman" w:eastAsia="宋体"/>
                <w:color w:val="auto"/>
                <w:kern w:val="2"/>
                <w:sz w:val="24"/>
                <w:szCs w:val="24"/>
              </w:rPr>
              <w:t>《环境影响评价技术导则声环境》（HJ2.4-2021）</w:t>
            </w:r>
            <w:r>
              <w:rPr>
                <w:rFonts w:hint="default" w:ascii="Times New Roman" w:hAnsi="Times New Roman" w:eastAsia="宋体"/>
                <w:color w:val="auto"/>
                <w:spacing w:val="0"/>
                <w:sz w:val="24"/>
                <w:szCs w:val="24"/>
              </w:rPr>
              <w:t>中工业噪声预测模式。</w:t>
            </w:r>
          </w:p>
          <w:p w14:paraId="43B87C49">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eastAsia" w:ascii="Times New Roman" w:hAnsi="Times New Roman" w:eastAsia="宋体" w:cs="宋体"/>
                <w:color w:val="auto"/>
                <w:spacing w:val="0"/>
                <w:sz w:val="24"/>
                <w:szCs w:val="24"/>
              </w:rPr>
              <w:t>①</w:t>
            </w:r>
            <w:r>
              <w:rPr>
                <w:rFonts w:hint="default" w:ascii="Times New Roman" w:hAnsi="Times New Roman" w:eastAsia="宋体"/>
                <w:color w:val="auto"/>
                <w:spacing w:val="0"/>
                <w:sz w:val="24"/>
                <w:szCs w:val="24"/>
              </w:rPr>
              <w:t>单个室外点声源在预测点产生的声级计算基本公式</w:t>
            </w:r>
          </w:p>
          <w:p w14:paraId="03DBBE45">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如已知声源的倍频带声功率级，预测点位置的倍频带声压级Lp（r）可按公式</w:t>
            </w:r>
            <w:r>
              <w:rPr>
                <w:rFonts w:hint="eastAsia" w:ascii="Times New Roman" w:hAnsi="Times New Roman" w:eastAsia="宋体" w:cs="宋体"/>
                <w:color w:val="auto"/>
                <w:spacing w:val="0"/>
                <w:sz w:val="24"/>
                <w:szCs w:val="24"/>
              </w:rPr>
              <w:t>⑴</w:t>
            </w:r>
            <w:r>
              <w:rPr>
                <w:rFonts w:hint="default" w:ascii="Times New Roman" w:hAnsi="Times New Roman" w:eastAsia="宋体"/>
                <w:color w:val="auto"/>
                <w:spacing w:val="0"/>
                <w:sz w:val="24"/>
                <w:szCs w:val="24"/>
              </w:rPr>
              <w:t>计算：</w:t>
            </w:r>
          </w:p>
          <w:p w14:paraId="79EB3CD9">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drawing>
                <wp:inline distT="0" distB="0" distL="0" distR="0">
                  <wp:extent cx="1289050" cy="241300"/>
                  <wp:effectExtent l="0" t="0" r="0" b="6350"/>
                  <wp:docPr id="9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7"/>
                          <pic:cNvPicPr>
                            <a:picLocks noChangeAspect="1" noChangeArrowheads="1"/>
                          </pic:cNvPicPr>
                        </pic:nvPicPr>
                        <pic:blipFill>
                          <a:blip r:embed="rId24" cstate="print"/>
                          <a:srcRect/>
                          <a:stretch>
                            <a:fillRect/>
                          </a:stretch>
                        </pic:blipFill>
                        <pic:spPr>
                          <a:xfrm>
                            <a:off x="0" y="0"/>
                            <a:ext cx="1289050" cy="241300"/>
                          </a:xfrm>
                          <a:prstGeom prst="rect">
                            <a:avLst/>
                          </a:prstGeom>
                          <a:noFill/>
                          <a:ln w="9525">
                            <a:noFill/>
                            <a:miter lim="800000"/>
                            <a:headEnd/>
                            <a:tailEnd/>
                          </a:ln>
                        </pic:spPr>
                      </pic:pic>
                    </a:graphicData>
                  </a:graphic>
                </wp:inline>
              </w:drawing>
            </w:r>
            <w:r>
              <w:rPr>
                <w:rFonts w:hint="eastAsia" w:ascii="Times New Roman" w:hAnsi="Times New Roman" w:eastAsia="宋体" w:cs="宋体"/>
                <w:color w:val="auto"/>
                <w:spacing w:val="0"/>
                <w:sz w:val="24"/>
                <w:szCs w:val="24"/>
              </w:rPr>
              <w:t>⑴</w:t>
            </w:r>
          </w:p>
          <w:p w14:paraId="3A380487">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object>
                <v:shape id="_x0000_i1025" o:spt="75" type="#_x0000_t75" style="height:15.75pt;width:166.5pt;" o:ole="t" filled="f" o:preferrelative="t" stroked="f" coordsize="21600,21600">
                  <v:path/>
                  <v:fill on="f" focussize="0,0"/>
                  <v:stroke on="f" joinstyle="miter"/>
                  <v:imagedata r:id="rId26" o:title=""/>
                  <o:lock v:ext="edit" aspectratio="t"/>
                  <w10:wrap type="none"/>
                  <w10:anchorlock/>
                </v:shape>
                <o:OLEObject Type="Embed" ProgID="Equation.3" ShapeID="_x0000_i1025" DrawAspect="Content" ObjectID="_1468075725" r:id="rId25">
                  <o:LockedField>false</o:LockedField>
                </o:OLEObject>
              </w:object>
            </w:r>
          </w:p>
          <w:p w14:paraId="57713287">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式中：</w:t>
            </w:r>
          </w:p>
          <w:p w14:paraId="2BFF8B70">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Lw—倍频带声功率级，dB；</w:t>
            </w:r>
          </w:p>
          <w:p w14:paraId="3487683D">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Dc—指向性校正，dB，对辐射到自由空间的全向点声源，为0；</w:t>
            </w:r>
          </w:p>
          <w:p w14:paraId="1C08B2F8">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倍频带衰减，dB；</w:t>
            </w:r>
          </w:p>
          <w:p w14:paraId="1BD7B834">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Adiv—几何发散引起的倍频带衰减，dB；</w:t>
            </w:r>
          </w:p>
          <w:p w14:paraId="5218211B">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Aatm—大气吸收引起的倍频带衰减，dB；</w:t>
            </w:r>
          </w:p>
          <w:p w14:paraId="6E198261">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Agr—地面效应吸收引起的倍频带衰减，dB；</w:t>
            </w:r>
          </w:p>
          <w:p w14:paraId="7A25D348">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Abar—声屏障引起的倍频带衰减，dB；</w:t>
            </w:r>
          </w:p>
          <w:p w14:paraId="6551468C">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Amisc—其他多方面效应引起的倍频带衰减，dB。</w:t>
            </w:r>
          </w:p>
          <w:p w14:paraId="749F87AB">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如已知靠近声源处某点的倍频带声压级Lp（r0）时，相同方向预测点位置的倍频带声压级Lp（r）可按公式（2）计算：</w:t>
            </w:r>
          </w:p>
          <w:p w14:paraId="51381F93">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object>
                <v:shape id="_x0000_i1026" o:spt="75" type="#_x0000_t75" style="height:15.75pt;width:92.25pt;" o:ole="t" filled="f" o:preferrelative="t" stroked="f" coordsize="21600,21600">
                  <v:path/>
                  <v:fill on="f" focussize="0,0"/>
                  <v:stroke on="f" joinstyle="miter"/>
                  <v:imagedata r:id="rId28" o:title=""/>
                  <o:lock v:ext="edit" aspectratio="t"/>
                  <w10:wrap type="none"/>
                  <w10:anchorlock/>
                </v:shape>
                <o:OLEObject Type="Embed" ProgID="Equation.3" ShapeID="_x0000_i1026" DrawAspect="Content" ObjectID="_1468075726" r:id="rId27">
                  <o:LockedField>false</o:LockedField>
                </o:OLEObject>
              </w:object>
            </w:r>
            <w:r>
              <w:rPr>
                <w:rFonts w:hint="default" w:ascii="Times New Roman" w:hAnsi="Times New Roman" w:eastAsia="宋体"/>
                <w:color w:val="auto"/>
                <w:spacing w:val="0"/>
                <w:sz w:val="24"/>
                <w:szCs w:val="24"/>
              </w:rPr>
              <w:t>（2）</w:t>
            </w:r>
          </w:p>
          <w:p w14:paraId="5F3B8FFE">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预测点的A声级LA（r），可利用8个倍频带的声压级公式（3）计算：</w:t>
            </w:r>
          </w:p>
          <w:p w14:paraId="210E5B1A">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object>
                <v:shape id="_x0000_i1027" o:spt="75" type="#_x0000_t75" style="height:34.5pt;width:143.95pt;" o:ole="t" filled="f" o:preferrelative="t" stroked="f" coordsize="21600,21600">
                  <v:path/>
                  <v:fill on="f" focussize="0,0"/>
                  <v:stroke on="f" joinstyle="miter"/>
                  <v:imagedata r:id="rId30" o:title=""/>
                  <o:lock v:ext="edit" aspectratio="t"/>
                  <w10:wrap type="none"/>
                  <w10:anchorlock/>
                </v:shape>
                <o:OLEObject Type="Embed" ProgID="Equation.3" ShapeID="_x0000_i1027" DrawAspect="Content" ObjectID="_1468075727" r:id="rId29">
                  <o:LockedField>false</o:LockedField>
                </o:OLEObject>
              </w:object>
            </w:r>
            <w:r>
              <w:rPr>
                <w:rFonts w:hint="default" w:ascii="Times New Roman" w:hAnsi="Times New Roman" w:eastAsia="宋体"/>
                <w:color w:val="auto"/>
                <w:spacing w:val="0"/>
                <w:sz w:val="24"/>
                <w:szCs w:val="24"/>
              </w:rPr>
              <w:t>（3）</w:t>
            </w:r>
          </w:p>
          <w:p w14:paraId="65163261">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式中：</w:t>
            </w:r>
          </w:p>
          <w:p w14:paraId="1AC1F245">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LPi（r）—预测点（r）处，第i倍频带声压级，dB；</w:t>
            </w:r>
          </w:p>
          <w:p w14:paraId="500163D7">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object>
                <v:shape id="_x0000_i1028" o:spt="75" type="#_x0000_t75" style="height:15pt;width:12.75pt;" o:ole="t" filled="f" o:preferrelative="t" stroked="f" coordsize="21600,21600">
                  <v:path/>
                  <v:fill on="f" focussize="0,0"/>
                  <v:stroke on="f" joinstyle="miter"/>
                  <v:imagedata r:id="rId32" o:title=""/>
                  <o:lock v:ext="edit" aspectratio="t"/>
                  <w10:wrap type="none"/>
                  <w10:anchorlock/>
                </v:shape>
                <o:OLEObject Type="Embed" ProgID="Equation.3" ShapeID="_x0000_i1028" DrawAspect="Content" ObjectID="_1468075728" r:id="rId31">
                  <o:LockedField>false</o:LockedField>
                </o:OLEObject>
              </w:object>
            </w:r>
            <w:r>
              <w:rPr>
                <w:rFonts w:hint="default" w:ascii="Times New Roman" w:hAnsi="Times New Roman" w:eastAsia="宋体"/>
                <w:color w:val="auto"/>
                <w:spacing w:val="0"/>
                <w:sz w:val="24"/>
                <w:szCs w:val="24"/>
              </w:rPr>
              <w:t>Li—第i倍频带的A计权网络修正值，dB。</w:t>
            </w:r>
          </w:p>
          <w:p w14:paraId="55D85CF6">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在不能取得声源倍频带声功率级或倍频带声压级，只能获得A声功率级或某点的A声级时，可按公式（4）做近似计算：</w:t>
            </w:r>
          </w:p>
          <w:p w14:paraId="45388D66">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drawing>
                <wp:inline distT="0" distB="0" distL="0" distR="0">
                  <wp:extent cx="1371600" cy="228600"/>
                  <wp:effectExtent l="0" t="0" r="0" b="0"/>
                  <wp:docPr id="9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2"/>
                          <pic:cNvPicPr>
                            <a:picLocks noChangeAspect="1" noChangeArrowheads="1"/>
                          </pic:cNvPicPr>
                        </pic:nvPicPr>
                        <pic:blipFill>
                          <a:blip r:embed="rId33" cstate="print"/>
                          <a:srcRect/>
                          <a:stretch>
                            <a:fillRect/>
                          </a:stretch>
                        </pic:blipFill>
                        <pic:spPr>
                          <a:xfrm>
                            <a:off x="0" y="0"/>
                            <a:ext cx="1371600" cy="228600"/>
                          </a:xfrm>
                          <a:prstGeom prst="rect">
                            <a:avLst/>
                          </a:prstGeom>
                          <a:noFill/>
                          <a:ln w="9525">
                            <a:noFill/>
                            <a:miter lim="800000"/>
                            <a:headEnd/>
                            <a:tailEnd/>
                          </a:ln>
                        </pic:spPr>
                      </pic:pic>
                    </a:graphicData>
                  </a:graphic>
                </wp:inline>
              </w:drawing>
            </w:r>
            <w:r>
              <w:rPr>
                <w:rFonts w:hint="default" w:ascii="Times New Roman" w:hAnsi="Times New Roman" w:eastAsia="宋体"/>
                <w:color w:val="auto"/>
                <w:spacing w:val="0"/>
                <w:sz w:val="24"/>
                <w:szCs w:val="24"/>
              </w:rPr>
              <w:t>（4）</w:t>
            </w:r>
          </w:p>
          <w:p w14:paraId="49550192">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或</w:t>
            </w:r>
            <w:r>
              <w:rPr>
                <w:rFonts w:hint="default" w:ascii="Times New Roman" w:hAnsi="Times New Roman" w:eastAsia="宋体"/>
                <w:color w:val="auto"/>
                <w:spacing w:val="0"/>
                <w:sz w:val="24"/>
                <w:szCs w:val="24"/>
              </w:rPr>
              <w:drawing>
                <wp:inline distT="0" distB="0" distL="0" distR="0">
                  <wp:extent cx="1206500" cy="228600"/>
                  <wp:effectExtent l="0" t="0" r="0" b="0"/>
                  <wp:docPr id="9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33"/>
                          <pic:cNvPicPr>
                            <a:picLocks noChangeAspect="1" noChangeArrowheads="1"/>
                          </pic:cNvPicPr>
                        </pic:nvPicPr>
                        <pic:blipFill>
                          <a:blip r:embed="rId34" cstate="print"/>
                          <a:srcRect/>
                          <a:stretch>
                            <a:fillRect/>
                          </a:stretch>
                        </pic:blipFill>
                        <pic:spPr>
                          <a:xfrm>
                            <a:off x="0" y="0"/>
                            <a:ext cx="1206500" cy="228600"/>
                          </a:xfrm>
                          <a:prstGeom prst="rect">
                            <a:avLst/>
                          </a:prstGeom>
                          <a:noFill/>
                          <a:ln w="9525">
                            <a:noFill/>
                            <a:miter lim="800000"/>
                            <a:headEnd/>
                            <a:tailEnd/>
                          </a:ln>
                        </pic:spPr>
                      </pic:pic>
                    </a:graphicData>
                  </a:graphic>
                </wp:inline>
              </w:drawing>
            </w:r>
            <w:r>
              <w:rPr>
                <w:rFonts w:hint="default" w:ascii="Times New Roman" w:hAnsi="Times New Roman" w:eastAsia="宋体"/>
                <w:color w:val="auto"/>
                <w:spacing w:val="0"/>
                <w:sz w:val="24"/>
                <w:szCs w:val="24"/>
              </w:rPr>
              <w:t>（5）</w:t>
            </w:r>
          </w:p>
          <w:p w14:paraId="3F3D5398">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A可选择对A声级影响最大的倍频带计算，一般可选中心频率为500Hz的倍频带估算。</w:t>
            </w:r>
          </w:p>
          <w:p w14:paraId="2D40DD9C">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eastAsia" w:ascii="Times New Roman" w:hAnsi="Times New Roman" w:eastAsia="宋体" w:cs="宋体"/>
                <w:color w:val="auto"/>
                <w:spacing w:val="0"/>
                <w:sz w:val="24"/>
                <w:szCs w:val="24"/>
              </w:rPr>
              <w:t>②</w:t>
            </w:r>
            <w:r>
              <w:rPr>
                <w:rFonts w:hint="default" w:ascii="Times New Roman" w:hAnsi="Times New Roman" w:eastAsia="宋体"/>
                <w:color w:val="auto"/>
                <w:spacing w:val="0"/>
                <w:sz w:val="24"/>
                <w:szCs w:val="24"/>
              </w:rPr>
              <w:t>室内声源等效室外声源声功率级计算方法</w:t>
            </w:r>
          </w:p>
          <w:p w14:paraId="766F635A">
            <w:pPr>
              <w:keepNext w:val="0"/>
              <w:keepLines w:val="0"/>
              <w:pageBreakBefore w:val="0"/>
              <w:widowControl/>
              <w:suppressLineNumbers w:val="0"/>
              <w:kinsoku/>
              <w:overflowPunct/>
              <w:bidi w:val="0"/>
              <w:adjustRightInd w:val="0"/>
              <w:snapToGrid w:val="0"/>
              <w:spacing w:before="0" w:beforeAutospacing="0" w:after="0" w:afterLines="0" w:afterAutospacing="0"/>
              <w:ind w:left="0" w:right="0"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设靠近开口处（或窗户）室内，室外某倍频带的声压级分别为LP</w:t>
            </w:r>
            <w:r>
              <w:rPr>
                <w:rFonts w:hint="default" w:ascii="Times New Roman" w:hAnsi="Times New Roman" w:eastAsia="宋体" w:cs="Times New Roman"/>
                <w:color w:val="auto"/>
                <w:sz w:val="24"/>
                <w:szCs w:val="24"/>
                <w:vertAlign w:val="subscript"/>
              </w:rPr>
              <w:t>1</w:t>
            </w:r>
            <w:r>
              <w:rPr>
                <w:rFonts w:hint="default" w:ascii="Times New Roman" w:hAnsi="Times New Roman" w:eastAsia="宋体" w:cs="Times New Roman"/>
                <w:color w:val="auto"/>
                <w:sz w:val="24"/>
                <w:szCs w:val="24"/>
              </w:rPr>
              <w:t>和LP</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。若声源所在室内声场为近似扩散声场，则室外倍频声压级可按下公式近似求出：</w:t>
            </w:r>
          </w:p>
          <w:p w14:paraId="107B9E72">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object>
                <v:shape id="_x0000_i1029" o:spt="75" type="#_x0000_t75" style="height:15.75pt;width:99.8pt;" o:ole="t" filled="f" o:preferrelative="t" stroked="f" coordsize="21600,21600">
                  <v:path/>
                  <v:fill on="f" focussize="0,0"/>
                  <v:stroke on="f" joinstyle="miter"/>
                  <v:imagedata r:id="rId36" o:title=""/>
                  <o:lock v:ext="edit" aspectratio="t"/>
                  <w10:wrap type="none"/>
                  <w10:anchorlock/>
                </v:shape>
                <o:OLEObject Type="Embed" ProgID="Equation.3" ShapeID="_x0000_i1029" DrawAspect="Content" ObjectID="_1468075729" r:id="rId35">
                  <o:LockedField>false</o:LockedField>
                </o:OLEObject>
              </w:object>
            </w:r>
            <w:r>
              <w:rPr>
                <w:rFonts w:hint="default" w:ascii="Times New Roman" w:hAnsi="Times New Roman" w:eastAsia="宋体"/>
                <w:color w:val="auto"/>
                <w:spacing w:val="0"/>
                <w:sz w:val="24"/>
                <w:szCs w:val="24"/>
              </w:rPr>
              <w:t>（6）</w:t>
            </w:r>
          </w:p>
          <w:p w14:paraId="473322B5">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式中：</w:t>
            </w:r>
          </w:p>
          <w:p w14:paraId="62B8D37C">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t>TL—隔墙或窗户倍频带的隔声量，dB。</w:t>
            </w:r>
          </w:p>
          <w:p w14:paraId="0321A990">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eastAsia" w:ascii="Times New Roman" w:hAnsi="Times New Roman" w:eastAsia="宋体" w:cs="宋体"/>
                <w:color w:val="auto"/>
                <w:spacing w:val="0"/>
                <w:sz w:val="24"/>
                <w:szCs w:val="24"/>
              </w:rPr>
              <w:t>③</w:t>
            </w:r>
            <w:r>
              <w:rPr>
                <w:rFonts w:hint="default" w:ascii="Times New Roman" w:hAnsi="Times New Roman" w:eastAsia="宋体"/>
                <w:color w:val="auto"/>
                <w:spacing w:val="0"/>
                <w:sz w:val="24"/>
                <w:szCs w:val="24"/>
              </w:rPr>
              <w:t>有限长线声源</w:t>
            </w:r>
          </w:p>
          <w:p w14:paraId="02161CC4">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default" w:ascii="Times New Roman" w:hAnsi="Times New Roman" w:eastAsia="宋体"/>
                <w:color w:val="auto"/>
                <w:spacing w:val="0"/>
                <w:sz w:val="24"/>
                <w:szCs w:val="24"/>
              </w:rPr>
              <w:drawing>
                <wp:inline distT="0" distB="0" distL="0" distR="0">
                  <wp:extent cx="2139950" cy="387350"/>
                  <wp:effectExtent l="0" t="0" r="12700" b="13335"/>
                  <wp:docPr id="10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35"/>
                          <pic:cNvPicPr>
                            <a:picLocks noChangeAspect="1" noChangeArrowheads="1"/>
                          </pic:cNvPicPr>
                        </pic:nvPicPr>
                        <pic:blipFill>
                          <a:blip r:embed="rId37" cstate="print"/>
                          <a:srcRect/>
                          <a:stretch>
                            <a:fillRect/>
                          </a:stretch>
                        </pic:blipFill>
                        <pic:spPr>
                          <a:xfrm>
                            <a:off x="0" y="0"/>
                            <a:ext cx="2139950" cy="387350"/>
                          </a:xfrm>
                          <a:prstGeom prst="rect">
                            <a:avLst/>
                          </a:prstGeom>
                          <a:noFill/>
                          <a:ln w="9525">
                            <a:noFill/>
                            <a:miter lim="800000"/>
                            <a:headEnd/>
                            <a:tailEnd/>
                          </a:ln>
                        </pic:spPr>
                      </pic:pic>
                    </a:graphicData>
                  </a:graphic>
                </wp:inline>
              </w:drawing>
            </w:r>
          </w:p>
          <w:p w14:paraId="6AF630CC">
            <w:pPr>
              <w:pStyle w:val="62"/>
              <w:keepNext w:val="0"/>
              <w:keepLines w:val="0"/>
              <w:pageBreakBefore w:val="0"/>
              <w:widowControl/>
              <w:suppressLineNumbers w:val="0"/>
              <w:kinsoku/>
              <w:overflowPunct/>
              <w:bidi w:val="0"/>
              <w:spacing w:before="0" w:beforeAutospacing="0" w:after="0" w:afterLines="0" w:afterAutospacing="0"/>
              <w:ind w:left="0" w:firstLine="480"/>
              <w:textAlignment w:val="auto"/>
              <w:rPr>
                <w:rFonts w:hint="default" w:ascii="Times New Roman" w:hAnsi="Times New Roman" w:eastAsia="宋体"/>
                <w:color w:val="auto"/>
                <w:spacing w:val="0"/>
                <w:sz w:val="24"/>
                <w:szCs w:val="24"/>
              </w:rPr>
            </w:pPr>
            <w:r>
              <w:rPr>
                <w:rFonts w:hint="eastAsia" w:ascii="Times New Roman" w:hAnsi="Times New Roman" w:eastAsia="宋体" w:cs="宋体"/>
                <w:color w:val="auto"/>
                <w:spacing w:val="0"/>
                <w:sz w:val="24"/>
                <w:szCs w:val="24"/>
              </w:rPr>
              <w:t>④</w:t>
            </w:r>
            <w:r>
              <w:rPr>
                <w:rFonts w:hint="default" w:ascii="Times New Roman" w:hAnsi="Times New Roman" w:eastAsia="宋体"/>
                <w:color w:val="auto"/>
                <w:spacing w:val="0"/>
                <w:sz w:val="24"/>
                <w:szCs w:val="24"/>
              </w:rPr>
              <w:t>面声源的几何发散衰减</w:t>
            </w:r>
          </w:p>
          <w:p w14:paraId="567B9630">
            <w:pPr>
              <w:keepNext w:val="0"/>
              <w:keepLines w:val="0"/>
              <w:pageBreakBefore w:val="0"/>
              <w:widowControl/>
              <w:suppressLineNumbers w:val="0"/>
              <w:kinsoku/>
              <w:overflowPunct/>
              <w:bidi w:val="0"/>
              <w:adjustRightInd w:val="0"/>
              <w:snapToGrid w:val="0"/>
              <w:spacing w:before="0" w:beforeAutospacing="0" w:after="0" w:afterLines="0" w:afterAutospacing="0"/>
              <w:ind w:left="0" w:right="0"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导则HJ/T2.4-2009垂直声源如下图所示（要求b&gt;a，图中虚线为实际衰减量）：</w:t>
            </w:r>
          </w:p>
          <w:p w14:paraId="4F1B5101">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20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drawing>
                <wp:inline distT="0" distB="0" distL="0" distR="0">
                  <wp:extent cx="3407410" cy="2628265"/>
                  <wp:effectExtent l="0" t="0" r="2540" b="635"/>
                  <wp:docPr id="101" name="图片 2" descr="HJ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 descr="HJ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3408521" cy="2629676"/>
                          </a:xfrm>
                          <a:prstGeom prst="rect">
                            <a:avLst/>
                          </a:prstGeom>
                          <a:noFill/>
                          <a:ln w="9525">
                            <a:noFill/>
                            <a:miter lim="800000"/>
                            <a:headEnd/>
                            <a:tailEnd/>
                          </a:ln>
                        </pic:spPr>
                      </pic:pic>
                    </a:graphicData>
                  </a:graphic>
                </wp:inline>
              </w:drawing>
            </w:r>
          </w:p>
          <w:p w14:paraId="6EB49E09">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要求的简化算法为：</w:t>
            </w:r>
          </w:p>
          <w:p w14:paraId="1B1B9ACB">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r&lt;a/π时，A</w:t>
            </w:r>
            <w:r>
              <w:rPr>
                <w:rFonts w:hint="default" w:ascii="Times New Roman" w:hAnsi="Times New Roman" w:eastAsia="宋体" w:cs="Times New Roman"/>
                <w:color w:val="auto"/>
                <w:sz w:val="24"/>
                <w:szCs w:val="24"/>
                <w:vertAlign w:val="subscript"/>
              </w:rPr>
              <w:t>div</w:t>
            </w:r>
            <w:r>
              <w:rPr>
                <w:rFonts w:hint="default" w:ascii="Times New Roman" w:hAnsi="Times New Roman" w:eastAsia="宋体" w:cs="Times New Roman"/>
                <w:color w:val="auto"/>
                <w:sz w:val="24"/>
                <w:szCs w:val="24"/>
              </w:rPr>
              <w:t>≈0；几乎不衰减</w:t>
            </w:r>
          </w:p>
          <w:p w14:paraId="7C1157A1">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a/π&lt;r&lt;b/π时，距离加倍时A</w:t>
            </w:r>
            <w:r>
              <w:rPr>
                <w:rFonts w:hint="default" w:ascii="Times New Roman" w:hAnsi="Times New Roman" w:eastAsia="宋体" w:cs="Times New Roman"/>
                <w:color w:val="auto"/>
                <w:sz w:val="24"/>
                <w:szCs w:val="24"/>
                <w:vertAlign w:val="subscript"/>
              </w:rPr>
              <w:t>div</w:t>
            </w:r>
            <w:r>
              <w:rPr>
                <w:rFonts w:hint="default" w:ascii="Times New Roman" w:hAnsi="Times New Roman" w:eastAsia="宋体" w:cs="Times New Roman"/>
                <w:color w:val="auto"/>
                <w:sz w:val="24"/>
                <w:szCs w:val="24"/>
              </w:rPr>
              <w:t>≈3；类似线声源（A</w:t>
            </w:r>
            <w:r>
              <w:rPr>
                <w:rFonts w:hint="default" w:ascii="Times New Roman" w:hAnsi="Times New Roman" w:eastAsia="宋体" w:cs="Times New Roman"/>
                <w:color w:val="auto"/>
                <w:sz w:val="24"/>
                <w:szCs w:val="24"/>
                <w:vertAlign w:val="subscript"/>
              </w:rPr>
              <w:t>div</w:t>
            </w:r>
            <w:r>
              <w:rPr>
                <w:rFonts w:hint="default" w:ascii="Times New Roman" w:hAnsi="Times New Roman" w:eastAsia="宋体" w:cs="Times New Roman"/>
                <w:color w:val="auto"/>
                <w:sz w:val="24"/>
                <w:szCs w:val="24"/>
              </w:rPr>
              <w:t>≈10lg（r/r</w:t>
            </w:r>
            <w:r>
              <w:rPr>
                <w:rFonts w:hint="default" w:ascii="Times New Roman" w:hAnsi="Times New Roman" w:eastAsia="宋体" w:cs="Times New Roman"/>
                <w:color w:val="auto"/>
                <w:sz w:val="24"/>
                <w:szCs w:val="24"/>
                <w:vertAlign w:val="subscript"/>
              </w:rPr>
              <w:t>0</w:t>
            </w:r>
            <w:r>
              <w:rPr>
                <w:rFonts w:hint="default" w:ascii="Times New Roman" w:hAnsi="Times New Roman" w:eastAsia="宋体" w:cs="Times New Roman"/>
                <w:color w:val="auto"/>
                <w:sz w:val="24"/>
                <w:szCs w:val="24"/>
              </w:rPr>
              <w:t>））</w:t>
            </w:r>
          </w:p>
          <w:p w14:paraId="7A7B48B3">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r&gt;b/π时，距离加倍时A</w:t>
            </w:r>
            <w:r>
              <w:rPr>
                <w:rFonts w:hint="default" w:ascii="Times New Roman" w:hAnsi="Times New Roman" w:eastAsia="宋体" w:cs="Times New Roman"/>
                <w:color w:val="auto"/>
                <w:sz w:val="24"/>
                <w:szCs w:val="24"/>
                <w:vertAlign w:val="subscript"/>
              </w:rPr>
              <w:t>div</w:t>
            </w:r>
            <w:r>
              <w:rPr>
                <w:rFonts w:hint="default" w:ascii="Times New Roman" w:hAnsi="Times New Roman" w:eastAsia="宋体" w:cs="Times New Roman"/>
                <w:color w:val="auto"/>
                <w:sz w:val="24"/>
                <w:szCs w:val="24"/>
              </w:rPr>
              <w:t>≈6；类似点声源（A</w:t>
            </w:r>
            <w:r>
              <w:rPr>
                <w:rFonts w:hint="default" w:ascii="Times New Roman" w:hAnsi="Times New Roman" w:eastAsia="宋体" w:cs="Times New Roman"/>
                <w:color w:val="auto"/>
                <w:sz w:val="24"/>
                <w:szCs w:val="24"/>
                <w:vertAlign w:val="subscript"/>
              </w:rPr>
              <w:t>div</w:t>
            </w:r>
            <w:r>
              <w:rPr>
                <w:rFonts w:hint="default" w:ascii="Times New Roman" w:hAnsi="Times New Roman" w:eastAsia="宋体" w:cs="Times New Roman"/>
                <w:color w:val="auto"/>
                <w:sz w:val="24"/>
                <w:szCs w:val="24"/>
              </w:rPr>
              <w:t>≈20lg（r/r</w:t>
            </w:r>
            <w:r>
              <w:rPr>
                <w:rFonts w:hint="default" w:ascii="Times New Roman" w:hAnsi="Times New Roman" w:eastAsia="宋体" w:cs="Times New Roman"/>
                <w:color w:val="auto"/>
                <w:sz w:val="24"/>
                <w:szCs w:val="24"/>
                <w:vertAlign w:val="subscript"/>
              </w:rPr>
              <w:t>0</w:t>
            </w:r>
            <w:r>
              <w:rPr>
                <w:rFonts w:hint="default" w:ascii="Times New Roman" w:hAnsi="Times New Roman" w:eastAsia="宋体" w:cs="Times New Roman"/>
                <w:color w:val="auto"/>
                <w:sz w:val="24"/>
                <w:szCs w:val="24"/>
              </w:rPr>
              <w:t>））</w:t>
            </w:r>
          </w:p>
          <w:p w14:paraId="1E9761B7">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r&lt;a/π时，A</w:t>
            </w:r>
            <w:r>
              <w:rPr>
                <w:rFonts w:hint="default" w:ascii="Times New Roman" w:hAnsi="Times New Roman" w:eastAsia="宋体" w:cs="Times New Roman"/>
                <w:color w:val="auto"/>
                <w:sz w:val="24"/>
                <w:szCs w:val="24"/>
                <w:vertAlign w:val="subscript"/>
              </w:rPr>
              <w:t>div</w:t>
            </w:r>
            <w:r>
              <w:rPr>
                <w:rFonts w:hint="default" w:ascii="Times New Roman" w:hAnsi="Times New Roman" w:eastAsia="宋体" w:cs="Times New Roman"/>
                <w:color w:val="auto"/>
                <w:sz w:val="24"/>
                <w:szCs w:val="24"/>
              </w:rPr>
              <w:t>≈0。</w:t>
            </w:r>
          </w:p>
          <w:p w14:paraId="369F9FE2">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eastAsia" w:ascii="Times New Roman" w:hAnsi="Times New Roman" w:eastAsia="宋体" w:cs="宋体"/>
                <w:color w:val="auto"/>
                <w:sz w:val="24"/>
                <w:szCs w:val="24"/>
              </w:rPr>
              <w:t>⑤</w:t>
            </w:r>
            <w:r>
              <w:rPr>
                <w:rFonts w:hint="default" w:ascii="Times New Roman" w:hAnsi="Times New Roman" w:eastAsia="宋体" w:cs="Times New Roman"/>
                <w:color w:val="auto"/>
                <w:sz w:val="24"/>
                <w:szCs w:val="24"/>
              </w:rPr>
              <w:t>噪声贡献值计算</w:t>
            </w:r>
          </w:p>
          <w:p w14:paraId="73CCF146">
            <w:pPr>
              <w:keepNext w:val="0"/>
              <w:keepLines w:val="0"/>
              <w:pageBreakBefore w:val="0"/>
              <w:suppressLineNumbers w:val="0"/>
              <w:kinsoku/>
              <w:overflowPunct/>
              <w:bidi w:val="0"/>
              <w:spacing w:before="0" w:beforeAutospacing="0" w:after="0" w:afterLines="0" w:afterAutospacing="0"/>
              <w:ind w:left="0" w:right="0"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设第i个室外声源在预测点产生的A声级为LAi，在T时间内该声源工作时间为ti；第j个等效室外声源在预测点产生的A声级为LAj，在T时间内该声源工作时间为tj；则拟建工程声源对预测点产生的贡献值为（Leqg）：</w:t>
            </w:r>
          </w:p>
          <w:p w14:paraId="1B2839A7">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34"/>
                <w:sz w:val="24"/>
                <w:szCs w:val="24"/>
              </w:rPr>
              <w:object>
                <v:shape id="_x0000_i1030" o:spt="75" type="#_x0000_t75" style="height:42pt;width:208.5pt;" o:ole="t" filled="f" o:preferrelative="t" stroked="f" coordsize="21600,21600">
                  <v:path/>
                  <v:fill on="f" focussize="0,0"/>
                  <v:stroke on="f" joinstyle="miter"/>
                  <v:imagedata r:id="rId40" o:title=""/>
                  <o:lock v:ext="edit" aspectratio="t"/>
                  <w10:wrap type="none"/>
                  <w10:anchorlock/>
                </v:shape>
                <o:OLEObject Type="Embed" ProgID="Equation.3" ShapeID="_x0000_i1030" DrawAspect="Content" ObjectID="_1468075730" r:id="rId39">
                  <o:LockedField>false</o:LockedField>
                </o:OLEObject>
              </w:object>
            </w:r>
          </w:p>
          <w:p w14:paraId="35D85ABE">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w:t>
            </w:r>
          </w:p>
          <w:p w14:paraId="2B95F5F6">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tj—在T时间内j声源工作时间，s；</w:t>
            </w:r>
          </w:p>
          <w:p w14:paraId="1E75A355">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ti—在T时间内i声源工作时间，s；</w:t>
            </w:r>
          </w:p>
          <w:p w14:paraId="56380EB0">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T—用于计算等效声级的时间，s；</w:t>
            </w:r>
          </w:p>
          <w:p w14:paraId="43CA0031">
            <w:pPr>
              <w:pStyle w:val="63"/>
              <w:keepNext w:val="0"/>
              <w:keepLines w:val="0"/>
              <w:pageBreakBefore w:val="0"/>
              <w:suppressLineNumbers w:val="0"/>
              <w:kinsoku/>
              <w:overflowPunct/>
              <w:bidi w:val="0"/>
              <w:adjustRightInd w:val="0"/>
              <w:snapToGrid w:val="0"/>
              <w:spacing w:before="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N—室外声源个数；</w:t>
            </w:r>
          </w:p>
          <w:p w14:paraId="3D63B6A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sz w:val="24"/>
                <w:szCs w:val="24"/>
              </w:rPr>
              <w:t>M—等效室外声源个数。</w:t>
            </w:r>
          </w:p>
          <w:p w14:paraId="5B04BE6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3.3</w:t>
            </w:r>
            <w:r>
              <w:rPr>
                <w:rFonts w:hint="default" w:ascii="Times New Roman" w:hAnsi="Times New Roman" w:eastAsia="宋体" w:cs="Times New Roman"/>
                <w:color w:val="auto"/>
                <w:kern w:val="0"/>
                <w:sz w:val="24"/>
                <w:szCs w:val="24"/>
                <w:lang w:val="en-US" w:eastAsia="zh-CN"/>
              </w:rPr>
              <w:t>预测结果</w:t>
            </w:r>
          </w:p>
          <w:p w14:paraId="446F325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采用《环境影响评价技术导则声环境》（HJ2.4-2021）中工业噪声预测模式。</w:t>
            </w:r>
            <w:r>
              <w:rPr>
                <w:rFonts w:hint="eastAsia" w:cs="Times New Roman"/>
                <w:color w:val="auto"/>
                <w:kern w:val="0"/>
                <w:sz w:val="24"/>
                <w:szCs w:val="24"/>
                <w:lang w:val="en-US" w:eastAsia="zh-CN"/>
              </w:rPr>
              <w:t xml:space="preserve">                                                                                                                   现有厂界噪声值引用内蒙古美力坚清蓝危废处置有限公司第一季度厂界噪声例行监测数据，本项目</w:t>
            </w:r>
            <w:r>
              <w:rPr>
                <w:rFonts w:hint="eastAsia" w:ascii="Times New Roman" w:hAnsi="Times New Roman" w:eastAsia="宋体" w:cs="Times New Roman"/>
                <w:color w:val="auto"/>
                <w:kern w:val="0"/>
                <w:sz w:val="24"/>
                <w:szCs w:val="24"/>
                <w:lang w:val="en-US" w:eastAsia="zh-CN"/>
              </w:rPr>
              <w:t>厂界噪声预测结果如下表：</w:t>
            </w:r>
          </w:p>
          <w:p w14:paraId="56CFCBA4">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zh-CN" w:eastAsia="zh-CN"/>
              </w:rPr>
            </w:pPr>
            <w:r>
              <w:rPr>
                <w:rFonts w:hint="eastAsia" w:ascii="Times New Roman" w:hAnsi="Times New Roman" w:eastAsia="宋体" w:cs="Times New Roman"/>
                <w:b/>
                <w:bCs/>
                <w:color w:val="auto"/>
                <w:sz w:val="24"/>
                <w:lang w:val="zh-CN" w:eastAsia="zh-CN"/>
              </w:rPr>
              <w:t>表</w:t>
            </w:r>
            <w:r>
              <w:rPr>
                <w:rFonts w:hint="eastAsia" w:ascii="Times New Roman" w:hAnsi="Times New Roman" w:eastAsia="宋体" w:cs="Times New Roman"/>
                <w:b/>
                <w:bCs/>
                <w:color w:val="auto"/>
                <w:sz w:val="24"/>
                <w:lang w:val="en-US" w:eastAsia="zh-CN"/>
              </w:rPr>
              <w:t>4-7</w:t>
            </w:r>
            <w:r>
              <w:rPr>
                <w:rFonts w:hint="eastAsia" w:ascii="Times New Roman" w:hAnsi="Times New Roman" w:eastAsia="宋体" w:cs="Times New Roman"/>
                <w:b/>
                <w:bCs/>
                <w:color w:val="auto"/>
                <w:sz w:val="24"/>
                <w:lang w:val="zh-CN" w:eastAsia="zh-CN"/>
              </w:rPr>
              <w:t>本项目噪声预测结果一览表dB（A）</w:t>
            </w:r>
          </w:p>
          <w:tbl>
            <w:tblPr>
              <w:tblStyle w:val="24"/>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5"/>
              <w:gridCol w:w="913"/>
              <w:gridCol w:w="913"/>
              <w:gridCol w:w="913"/>
              <w:gridCol w:w="916"/>
              <w:gridCol w:w="769"/>
              <w:gridCol w:w="769"/>
              <w:gridCol w:w="769"/>
              <w:gridCol w:w="769"/>
              <w:gridCol w:w="731"/>
            </w:tblGrid>
            <w:tr w14:paraId="5E958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jc w:val="center"/>
              </w:trPr>
              <w:tc>
                <w:tcPr>
                  <w:tcW w:w="619" w:type="pct"/>
                  <w:vMerge w:val="restart"/>
                  <w:tcBorders>
                    <w:tl2br w:val="nil"/>
                    <w:tr2bl w:val="nil"/>
                  </w:tcBorders>
                  <w:noWrap w:val="0"/>
                  <w:tcMar>
                    <w:left w:w="0" w:type="dxa"/>
                    <w:right w:w="0" w:type="dxa"/>
                  </w:tcMar>
                  <w:vAlign w:val="center"/>
                </w:tcPr>
                <w:p w14:paraId="23805959">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lang w:eastAsia="zh-CN"/>
                    </w:rPr>
                  </w:pPr>
                  <w:r>
                    <w:rPr>
                      <w:rFonts w:hint="eastAsia" w:ascii="Times New Roman" w:hAnsi="Times New Roman" w:eastAsia="宋体"/>
                      <w:color w:val="auto"/>
                      <w:sz w:val="21"/>
                      <w:szCs w:val="21"/>
                      <w:lang w:val="en-US" w:eastAsia="zh-CN"/>
                    </w:rPr>
                    <w:t>名称</w:t>
                  </w:r>
                </w:p>
              </w:tc>
              <w:tc>
                <w:tcPr>
                  <w:tcW w:w="2146" w:type="pct"/>
                  <w:gridSpan w:val="4"/>
                  <w:tcBorders>
                    <w:tl2br w:val="nil"/>
                    <w:tr2bl w:val="nil"/>
                  </w:tcBorders>
                  <w:noWrap w:val="0"/>
                  <w:tcMar>
                    <w:left w:w="0" w:type="dxa"/>
                    <w:right w:w="0" w:type="dxa"/>
                  </w:tcMar>
                  <w:vAlign w:val="center"/>
                </w:tcPr>
                <w:p w14:paraId="16EA0A16">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昼间</w:t>
                  </w:r>
                </w:p>
              </w:tc>
              <w:tc>
                <w:tcPr>
                  <w:tcW w:w="1805" w:type="pct"/>
                  <w:gridSpan w:val="4"/>
                  <w:tcBorders>
                    <w:tl2br w:val="nil"/>
                    <w:tr2bl w:val="nil"/>
                  </w:tcBorders>
                  <w:noWrap w:val="0"/>
                  <w:tcMar>
                    <w:left w:w="0" w:type="dxa"/>
                    <w:right w:w="0" w:type="dxa"/>
                  </w:tcMar>
                  <w:vAlign w:val="center"/>
                </w:tcPr>
                <w:p w14:paraId="15C2FC4E">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夜间</w:t>
                  </w:r>
                </w:p>
              </w:tc>
              <w:tc>
                <w:tcPr>
                  <w:tcW w:w="429" w:type="pct"/>
                  <w:vMerge w:val="restart"/>
                  <w:tcBorders>
                    <w:tl2br w:val="nil"/>
                    <w:tr2bl w:val="nil"/>
                  </w:tcBorders>
                  <w:noWrap w:val="0"/>
                  <w:tcMar>
                    <w:left w:w="0" w:type="dxa"/>
                    <w:right w:w="0" w:type="dxa"/>
                  </w:tcMar>
                  <w:vAlign w:val="center"/>
                </w:tcPr>
                <w:p w14:paraId="2F5A4DD3">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达标情况</w:t>
                  </w:r>
                </w:p>
              </w:tc>
            </w:tr>
            <w:tr w14:paraId="1C68B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jc w:val="center"/>
              </w:trPr>
              <w:tc>
                <w:tcPr>
                  <w:tcW w:w="619" w:type="pct"/>
                  <w:vMerge w:val="continue"/>
                  <w:tcBorders>
                    <w:tl2br w:val="nil"/>
                    <w:tr2bl w:val="nil"/>
                  </w:tcBorders>
                  <w:noWrap w:val="0"/>
                  <w:tcMar>
                    <w:left w:w="0" w:type="dxa"/>
                    <w:right w:w="0" w:type="dxa"/>
                  </w:tcMar>
                  <w:vAlign w:val="center"/>
                </w:tcPr>
                <w:p w14:paraId="239614DD">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p>
              </w:tc>
              <w:tc>
                <w:tcPr>
                  <w:tcW w:w="536" w:type="pct"/>
                  <w:tcBorders>
                    <w:tl2br w:val="nil"/>
                    <w:tr2bl w:val="nil"/>
                  </w:tcBorders>
                  <w:noWrap w:val="0"/>
                  <w:tcMar>
                    <w:left w:w="0" w:type="dxa"/>
                    <w:right w:w="0" w:type="dxa"/>
                  </w:tcMar>
                  <w:vAlign w:val="center"/>
                </w:tcPr>
                <w:p w14:paraId="598CBB54">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现有厂界噪声</w:t>
                  </w:r>
                </w:p>
              </w:tc>
              <w:tc>
                <w:tcPr>
                  <w:tcW w:w="536" w:type="pct"/>
                  <w:tcBorders>
                    <w:tl2br w:val="nil"/>
                    <w:tr2bl w:val="nil"/>
                  </w:tcBorders>
                  <w:noWrap w:val="0"/>
                  <w:tcMar>
                    <w:left w:w="0" w:type="dxa"/>
                    <w:right w:w="0" w:type="dxa"/>
                  </w:tcMar>
                  <w:vAlign w:val="center"/>
                </w:tcPr>
                <w:p w14:paraId="5DCB2454">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本项目贡献值</w:t>
                  </w:r>
                </w:p>
              </w:tc>
              <w:tc>
                <w:tcPr>
                  <w:tcW w:w="536" w:type="pct"/>
                  <w:tcBorders>
                    <w:tl2br w:val="nil"/>
                    <w:tr2bl w:val="nil"/>
                  </w:tcBorders>
                  <w:noWrap w:val="0"/>
                  <w:vAlign w:val="center"/>
                </w:tcPr>
                <w:p w14:paraId="2D27ED68">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预测值</w:t>
                  </w:r>
                </w:p>
              </w:tc>
              <w:tc>
                <w:tcPr>
                  <w:tcW w:w="537" w:type="pct"/>
                  <w:tcBorders>
                    <w:tl2br w:val="nil"/>
                    <w:tr2bl w:val="nil"/>
                  </w:tcBorders>
                  <w:noWrap w:val="0"/>
                  <w:vAlign w:val="center"/>
                </w:tcPr>
                <w:p w14:paraId="124CEE7D">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标准</w:t>
                  </w:r>
                </w:p>
              </w:tc>
              <w:tc>
                <w:tcPr>
                  <w:tcW w:w="451" w:type="pct"/>
                  <w:tcBorders>
                    <w:tl2br w:val="nil"/>
                    <w:tr2bl w:val="nil"/>
                  </w:tcBorders>
                  <w:noWrap w:val="0"/>
                  <w:tcMar>
                    <w:left w:w="0" w:type="dxa"/>
                    <w:right w:w="0" w:type="dxa"/>
                  </w:tcMar>
                  <w:vAlign w:val="center"/>
                </w:tcPr>
                <w:p w14:paraId="0A8608DE">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现有厂界噪声</w:t>
                  </w:r>
                </w:p>
              </w:tc>
              <w:tc>
                <w:tcPr>
                  <w:tcW w:w="451" w:type="pct"/>
                  <w:tcBorders>
                    <w:tl2br w:val="nil"/>
                    <w:tr2bl w:val="nil"/>
                  </w:tcBorders>
                  <w:noWrap w:val="0"/>
                  <w:tcMar>
                    <w:left w:w="0" w:type="dxa"/>
                    <w:right w:w="0" w:type="dxa"/>
                  </w:tcMar>
                  <w:vAlign w:val="center"/>
                </w:tcPr>
                <w:p w14:paraId="4A1774C5">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本项目贡献值</w:t>
                  </w:r>
                </w:p>
              </w:tc>
              <w:tc>
                <w:tcPr>
                  <w:tcW w:w="451" w:type="pct"/>
                  <w:tcBorders>
                    <w:tl2br w:val="nil"/>
                    <w:tr2bl w:val="nil"/>
                  </w:tcBorders>
                  <w:noWrap w:val="0"/>
                  <w:tcMar>
                    <w:left w:w="0" w:type="dxa"/>
                    <w:right w:w="0" w:type="dxa"/>
                  </w:tcMar>
                  <w:vAlign w:val="center"/>
                </w:tcPr>
                <w:p w14:paraId="6E93428A">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预测值</w:t>
                  </w:r>
                </w:p>
              </w:tc>
              <w:tc>
                <w:tcPr>
                  <w:tcW w:w="451" w:type="pct"/>
                  <w:tcBorders>
                    <w:tl2br w:val="nil"/>
                    <w:tr2bl w:val="nil"/>
                  </w:tcBorders>
                  <w:noWrap w:val="0"/>
                  <w:tcMar>
                    <w:left w:w="0" w:type="dxa"/>
                    <w:right w:w="0" w:type="dxa"/>
                  </w:tcMar>
                  <w:vAlign w:val="center"/>
                </w:tcPr>
                <w:p w14:paraId="09C8633A">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标准</w:t>
                  </w:r>
                </w:p>
              </w:tc>
              <w:tc>
                <w:tcPr>
                  <w:tcW w:w="429" w:type="pct"/>
                  <w:vMerge w:val="continue"/>
                  <w:tcBorders>
                    <w:tl2br w:val="nil"/>
                    <w:tr2bl w:val="nil"/>
                  </w:tcBorders>
                  <w:noWrap w:val="0"/>
                  <w:tcMar>
                    <w:left w:w="0" w:type="dxa"/>
                    <w:right w:w="0" w:type="dxa"/>
                  </w:tcMar>
                  <w:vAlign w:val="center"/>
                </w:tcPr>
                <w:p w14:paraId="7FDAB197">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p>
              </w:tc>
            </w:tr>
            <w:tr w14:paraId="54397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619" w:type="pct"/>
                  <w:tcBorders>
                    <w:tl2br w:val="nil"/>
                    <w:tr2bl w:val="nil"/>
                  </w:tcBorders>
                  <w:noWrap w:val="0"/>
                  <w:tcMar>
                    <w:left w:w="0" w:type="dxa"/>
                    <w:right w:w="0" w:type="dxa"/>
                  </w:tcMar>
                  <w:vAlign w:val="center"/>
                </w:tcPr>
                <w:p w14:paraId="01300336">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厂界东</w:t>
                  </w:r>
                </w:p>
              </w:tc>
              <w:tc>
                <w:tcPr>
                  <w:tcW w:w="536" w:type="pct"/>
                  <w:tcBorders>
                    <w:tl2br w:val="nil"/>
                    <w:tr2bl w:val="nil"/>
                  </w:tcBorders>
                  <w:noWrap w:val="0"/>
                  <w:tcMar>
                    <w:left w:w="0" w:type="dxa"/>
                    <w:right w:w="0" w:type="dxa"/>
                  </w:tcMar>
                  <w:vAlign w:val="center"/>
                </w:tcPr>
                <w:p w14:paraId="421EFF9D">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51.00</w:t>
                  </w:r>
                </w:p>
              </w:tc>
              <w:tc>
                <w:tcPr>
                  <w:tcW w:w="536" w:type="pct"/>
                  <w:tcBorders>
                    <w:tl2br w:val="nil"/>
                    <w:tr2bl w:val="nil"/>
                  </w:tcBorders>
                  <w:noWrap w:val="0"/>
                  <w:tcMar>
                    <w:left w:w="0" w:type="dxa"/>
                    <w:right w:w="0" w:type="dxa"/>
                  </w:tcMar>
                  <w:vAlign w:val="center"/>
                </w:tcPr>
                <w:p w14:paraId="5F4D5403">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43.00</w:t>
                  </w:r>
                </w:p>
              </w:tc>
              <w:tc>
                <w:tcPr>
                  <w:tcW w:w="536" w:type="pct"/>
                  <w:tcBorders>
                    <w:tl2br w:val="nil"/>
                    <w:tr2bl w:val="nil"/>
                  </w:tcBorders>
                  <w:noWrap w:val="0"/>
                  <w:vAlign w:val="center"/>
                </w:tcPr>
                <w:p w14:paraId="572A8AC8">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51.64</w:t>
                  </w:r>
                </w:p>
              </w:tc>
              <w:tc>
                <w:tcPr>
                  <w:tcW w:w="537" w:type="pct"/>
                  <w:tcBorders>
                    <w:tl2br w:val="nil"/>
                    <w:tr2bl w:val="nil"/>
                  </w:tcBorders>
                  <w:noWrap w:val="0"/>
                  <w:vAlign w:val="center"/>
                </w:tcPr>
                <w:p w14:paraId="7ADF6462">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65.00</w:t>
                  </w:r>
                </w:p>
              </w:tc>
              <w:tc>
                <w:tcPr>
                  <w:tcW w:w="451" w:type="pct"/>
                  <w:tcBorders>
                    <w:tl2br w:val="nil"/>
                    <w:tr2bl w:val="nil"/>
                  </w:tcBorders>
                  <w:noWrap w:val="0"/>
                  <w:tcMar>
                    <w:left w:w="0" w:type="dxa"/>
                    <w:right w:w="0" w:type="dxa"/>
                  </w:tcMar>
                  <w:vAlign w:val="center"/>
                </w:tcPr>
                <w:p w14:paraId="2A1E94EF">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43.00</w:t>
                  </w:r>
                </w:p>
              </w:tc>
              <w:tc>
                <w:tcPr>
                  <w:tcW w:w="451" w:type="pct"/>
                  <w:tcBorders>
                    <w:tl2br w:val="nil"/>
                    <w:tr2bl w:val="nil"/>
                  </w:tcBorders>
                  <w:noWrap w:val="0"/>
                  <w:tcMar>
                    <w:left w:w="0" w:type="dxa"/>
                    <w:right w:w="0" w:type="dxa"/>
                  </w:tcMar>
                  <w:vAlign w:val="center"/>
                </w:tcPr>
                <w:p w14:paraId="57A9EFF0">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43.00</w:t>
                  </w:r>
                </w:p>
              </w:tc>
              <w:tc>
                <w:tcPr>
                  <w:tcW w:w="451" w:type="pct"/>
                  <w:tcBorders>
                    <w:tl2br w:val="nil"/>
                    <w:tr2bl w:val="nil"/>
                  </w:tcBorders>
                  <w:noWrap w:val="0"/>
                  <w:tcMar>
                    <w:left w:w="0" w:type="dxa"/>
                    <w:right w:w="0" w:type="dxa"/>
                  </w:tcMar>
                  <w:vAlign w:val="center"/>
                </w:tcPr>
                <w:p w14:paraId="098F8EEC">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46.01</w:t>
                  </w:r>
                </w:p>
              </w:tc>
              <w:tc>
                <w:tcPr>
                  <w:tcW w:w="451" w:type="pct"/>
                  <w:tcBorders>
                    <w:tl2br w:val="nil"/>
                    <w:tr2bl w:val="nil"/>
                  </w:tcBorders>
                  <w:noWrap w:val="0"/>
                  <w:tcMar>
                    <w:left w:w="0" w:type="dxa"/>
                    <w:right w:w="0" w:type="dxa"/>
                  </w:tcMar>
                  <w:vAlign w:val="center"/>
                </w:tcPr>
                <w:p w14:paraId="4FC6EB9A">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55.00</w:t>
                  </w:r>
                </w:p>
              </w:tc>
              <w:tc>
                <w:tcPr>
                  <w:tcW w:w="429" w:type="pct"/>
                  <w:tcBorders>
                    <w:tl2br w:val="nil"/>
                    <w:tr2bl w:val="nil"/>
                  </w:tcBorders>
                  <w:noWrap w:val="0"/>
                  <w:tcMar>
                    <w:left w:w="0" w:type="dxa"/>
                    <w:right w:w="0" w:type="dxa"/>
                  </w:tcMar>
                  <w:vAlign w:val="center"/>
                </w:tcPr>
                <w:p w14:paraId="26FD654B">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达标</w:t>
                  </w:r>
                </w:p>
              </w:tc>
            </w:tr>
            <w:tr w14:paraId="6A657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619" w:type="pct"/>
                  <w:tcBorders>
                    <w:tl2br w:val="nil"/>
                    <w:tr2bl w:val="nil"/>
                  </w:tcBorders>
                  <w:noWrap w:val="0"/>
                  <w:tcMar>
                    <w:left w:w="0" w:type="dxa"/>
                    <w:right w:w="0" w:type="dxa"/>
                  </w:tcMar>
                  <w:vAlign w:val="center"/>
                </w:tcPr>
                <w:p w14:paraId="57368801">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厂界南</w:t>
                  </w:r>
                </w:p>
              </w:tc>
              <w:tc>
                <w:tcPr>
                  <w:tcW w:w="536" w:type="pct"/>
                  <w:tcBorders>
                    <w:tl2br w:val="nil"/>
                    <w:tr2bl w:val="nil"/>
                  </w:tcBorders>
                  <w:noWrap w:val="0"/>
                  <w:tcMar>
                    <w:left w:w="0" w:type="dxa"/>
                    <w:right w:w="0" w:type="dxa"/>
                  </w:tcMar>
                  <w:vAlign w:val="center"/>
                </w:tcPr>
                <w:p w14:paraId="53AD46F3">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51.00</w:t>
                  </w:r>
                </w:p>
              </w:tc>
              <w:tc>
                <w:tcPr>
                  <w:tcW w:w="536" w:type="pct"/>
                  <w:tcBorders>
                    <w:tl2br w:val="nil"/>
                    <w:tr2bl w:val="nil"/>
                  </w:tcBorders>
                  <w:noWrap w:val="0"/>
                  <w:tcMar>
                    <w:left w:w="0" w:type="dxa"/>
                    <w:right w:w="0" w:type="dxa"/>
                  </w:tcMar>
                  <w:vAlign w:val="center"/>
                </w:tcPr>
                <w:p w14:paraId="7406AA32">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40.43</w:t>
                  </w:r>
                </w:p>
              </w:tc>
              <w:tc>
                <w:tcPr>
                  <w:tcW w:w="536" w:type="pct"/>
                  <w:tcBorders>
                    <w:tl2br w:val="nil"/>
                    <w:tr2bl w:val="nil"/>
                  </w:tcBorders>
                  <w:noWrap w:val="0"/>
                  <w:vAlign w:val="center"/>
                </w:tcPr>
                <w:p w14:paraId="5E3D5B86">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51.37</w:t>
                  </w:r>
                </w:p>
              </w:tc>
              <w:tc>
                <w:tcPr>
                  <w:tcW w:w="537" w:type="pct"/>
                  <w:tcBorders>
                    <w:tl2br w:val="nil"/>
                    <w:tr2bl w:val="nil"/>
                  </w:tcBorders>
                  <w:noWrap w:val="0"/>
                  <w:vAlign w:val="center"/>
                </w:tcPr>
                <w:p w14:paraId="3B73BAA7">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65.00</w:t>
                  </w:r>
                </w:p>
              </w:tc>
              <w:tc>
                <w:tcPr>
                  <w:tcW w:w="451" w:type="pct"/>
                  <w:tcBorders>
                    <w:tl2br w:val="nil"/>
                    <w:tr2bl w:val="nil"/>
                  </w:tcBorders>
                  <w:noWrap w:val="0"/>
                  <w:tcMar>
                    <w:left w:w="0" w:type="dxa"/>
                    <w:right w:w="0" w:type="dxa"/>
                  </w:tcMar>
                  <w:vAlign w:val="center"/>
                </w:tcPr>
                <w:p w14:paraId="0B6409F9">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42.00</w:t>
                  </w:r>
                </w:p>
              </w:tc>
              <w:tc>
                <w:tcPr>
                  <w:tcW w:w="451" w:type="pct"/>
                  <w:tcBorders>
                    <w:tl2br w:val="nil"/>
                    <w:tr2bl w:val="nil"/>
                  </w:tcBorders>
                  <w:noWrap w:val="0"/>
                  <w:tcMar>
                    <w:left w:w="0" w:type="dxa"/>
                    <w:right w:w="0" w:type="dxa"/>
                  </w:tcMar>
                  <w:vAlign w:val="center"/>
                </w:tcPr>
                <w:p w14:paraId="265DC251">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40.43</w:t>
                  </w:r>
                </w:p>
              </w:tc>
              <w:tc>
                <w:tcPr>
                  <w:tcW w:w="451" w:type="pct"/>
                  <w:tcBorders>
                    <w:tl2br w:val="nil"/>
                    <w:tr2bl w:val="nil"/>
                  </w:tcBorders>
                  <w:noWrap w:val="0"/>
                  <w:tcMar>
                    <w:left w:w="0" w:type="dxa"/>
                    <w:right w:w="0" w:type="dxa"/>
                  </w:tcMar>
                  <w:vAlign w:val="center"/>
                </w:tcPr>
                <w:p w14:paraId="7D6687E9">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44.30</w:t>
                  </w:r>
                </w:p>
              </w:tc>
              <w:tc>
                <w:tcPr>
                  <w:tcW w:w="451" w:type="pct"/>
                  <w:tcBorders>
                    <w:tl2br w:val="nil"/>
                    <w:tr2bl w:val="nil"/>
                  </w:tcBorders>
                  <w:noWrap w:val="0"/>
                  <w:tcMar>
                    <w:left w:w="0" w:type="dxa"/>
                    <w:right w:w="0" w:type="dxa"/>
                  </w:tcMar>
                  <w:vAlign w:val="center"/>
                </w:tcPr>
                <w:p w14:paraId="0439C38B">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55.00</w:t>
                  </w:r>
                </w:p>
              </w:tc>
              <w:tc>
                <w:tcPr>
                  <w:tcW w:w="429" w:type="pct"/>
                  <w:tcBorders>
                    <w:tl2br w:val="nil"/>
                    <w:tr2bl w:val="nil"/>
                  </w:tcBorders>
                  <w:noWrap w:val="0"/>
                  <w:tcMar>
                    <w:left w:w="0" w:type="dxa"/>
                    <w:right w:w="0" w:type="dxa"/>
                  </w:tcMar>
                  <w:vAlign w:val="center"/>
                </w:tcPr>
                <w:p w14:paraId="04D8CB6F">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达标</w:t>
                  </w:r>
                </w:p>
              </w:tc>
            </w:tr>
            <w:tr w14:paraId="705C8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619" w:type="pct"/>
                  <w:tcBorders>
                    <w:tl2br w:val="nil"/>
                    <w:tr2bl w:val="nil"/>
                  </w:tcBorders>
                  <w:noWrap w:val="0"/>
                  <w:tcMar>
                    <w:left w:w="0" w:type="dxa"/>
                    <w:right w:w="0" w:type="dxa"/>
                  </w:tcMar>
                  <w:vAlign w:val="center"/>
                </w:tcPr>
                <w:p w14:paraId="5CFC18A9">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厂界西</w:t>
                  </w:r>
                </w:p>
              </w:tc>
              <w:tc>
                <w:tcPr>
                  <w:tcW w:w="536" w:type="pct"/>
                  <w:tcBorders>
                    <w:tl2br w:val="nil"/>
                    <w:tr2bl w:val="nil"/>
                  </w:tcBorders>
                  <w:noWrap w:val="0"/>
                  <w:tcMar>
                    <w:left w:w="0" w:type="dxa"/>
                    <w:right w:w="0" w:type="dxa"/>
                  </w:tcMar>
                  <w:vAlign w:val="center"/>
                </w:tcPr>
                <w:p w14:paraId="30EE03D8">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52.00</w:t>
                  </w:r>
                </w:p>
              </w:tc>
              <w:tc>
                <w:tcPr>
                  <w:tcW w:w="536" w:type="pct"/>
                  <w:tcBorders>
                    <w:tl2br w:val="nil"/>
                    <w:tr2bl w:val="nil"/>
                  </w:tcBorders>
                  <w:noWrap w:val="0"/>
                  <w:tcMar>
                    <w:left w:w="0" w:type="dxa"/>
                    <w:right w:w="0" w:type="dxa"/>
                  </w:tcMar>
                  <w:vAlign w:val="center"/>
                </w:tcPr>
                <w:p w14:paraId="4B5F7F07">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36.34</w:t>
                  </w:r>
                </w:p>
              </w:tc>
              <w:tc>
                <w:tcPr>
                  <w:tcW w:w="536" w:type="pct"/>
                  <w:tcBorders>
                    <w:tl2br w:val="nil"/>
                    <w:tr2bl w:val="nil"/>
                  </w:tcBorders>
                  <w:noWrap w:val="0"/>
                  <w:vAlign w:val="center"/>
                </w:tcPr>
                <w:p w14:paraId="5ACDC854">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52.12</w:t>
                  </w:r>
                </w:p>
              </w:tc>
              <w:tc>
                <w:tcPr>
                  <w:tcW w:w="537" w:type="pct"/>
                  <w:tcBorders>
                    <w:tl2br w:val="nil"/>
                    <w:tr2bl w:val="nil"/>
                  </w:tcBorders>
                  <w:noWrap w:val="0"/>
                  <w:vAlign w:val="center"/>
                </w:tcPr>
                <w:p w14:paraId="58335C48">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65.00</w:t>
                  </w:r>
                </w:p>
              </w:tc>
              <w:tc>
                <w:tcPr>
                  <w:tcW w:w="451" w:type="pct"/>
                  <w:tcBorders>
                    <w:tl2br w:val="nil"/>
                    <w:tr2bl w:val="nil"/>
                  </w:tcBorders>
                  <w:noWrap w:val="0"/>
                  <w:tcMar>
                    <w:left w:w="0" w:type="dxa"/>
                    <w:right w:w="0" w:type="dxa"/>
                  </w:tcMar>
                  <w:vAlign w:val="center"/>
                </w:tcPr>
                <w:p w14:paraId="3B545734">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43.00</w:t>
                  </w:r>
                </w:p>
              </w:tc>
              <w:tc>
                <w:tcPr>
                  <w:tcW w:w="451" w:type="pct"/>
                  <w:tcBorders>
                    <w:tl2br w:val="nil"/>
                    <w:tr2bl w:val="nil"/>
                  </w:tcBorders>
                  <w:noWrap w:val="0"/>
                  <w:tcMar>
                    <w:left w:w="0" w:type="dxa"/>
                    <w:right w:w="0" w:type="dxa"/>
                  </w:tcMar>
                  <w:vAlign w:val="center"/>
                </w:tcPr>
                <w:p w14:paraId="34AB71A0">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36.34</w:t>
                  </w:r>
                </w:p>
              </w:tc>
              <w:tc>
                <w:tcPr>
                  <w:tcW w:w="451" w:type="pct"/>
                  <w:tcBorders>
                    <w:tl2br w:val="nil"/>
                    <w:tr2bl w:val="nil"/>
                  </w:tcBorders>
                  <w:noWrap w:val="0"/>
                  <w:tcMar>
                    <w:left w:w="0" w:type="dxa"/>
                    <w:right w:w="0" w:type="dxa"/>
                  </w:tcMar>
                  <w:vAlign w:val="center"/>
                </w:tcPr>
                <w:p w14:paraId="0915126F">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43.85</w:t>
                  </w:r>
                </w:p>
              </w:tc>
              <w:tc>
                <w:tcPr>
                  <w:tcW w:w="451" w:type="pct"/>
                  <w:tcBorders>
                    <w:tl2br w:val="nil"/>
                    <w:tr2bl w:val="nil"/>
                  </w:tcBorders>
                  <w:noWrap w:val="0"/>
                  <w:tcMar>
                    <w:left w:w="0" w:type="dxa"/>
                    <w:right w:w="0" w:type="dxa"/>
                  </w:tcMar>
                  <w:vAlign w:val="center"/>
                </w:tcPr>
                <w:p w14:paraId="56AA37B7">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55.00</w:t>
                  </w:r>
                </w:p>
              </w:tc>
              <w:tc>
                <w:tcPr>
                  <w:tcW w:w="429" w:type="pct"/>
                  <w:tcBorders>
                    <w:tl2br w:val="nil"/>
                    <w:tr2bl w:val="nil"/>
                  </w:tcBorders>
                  <w:noWrap w:val="0"/>
                  <w:tcMar>
                    <w:left w:w="0" w:type="dxa"/>
                    <w:right w:w="0" w:type="dxa"/>
                  </w:tcMar>
                  <w:vAlign w:val="center"/>
                </w:tcPr>
                <w:p w14:paraId="0F017DE4">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达标</w:t>
                  </w:r>
                </w:p>
              </w:tc>
            </w:tr>
            <w:tr w14:paraId="52C12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jc w:val="center"/>
              </w:trPr>
              <w:tc>
                <w:tcPr>
                  <w:tcW w:w="619" w:type="pct"/>
                  <w:tcBorders>
                    <w:tl2br w:val="nil"/>
                    <w:tr2bl w:val="nil"/>
                  </w:tcBorders>
                  <w:noWrap w:val="0"/>
                  <w:tcMar>
                    <w:left w:w="0" w:type="dxa"/>
                    <w:right w:w="0" w:type="dxa"/>
                  </w:tcMar>
                  <w:vAlign w:val="center"/>
                </w:tcPr>
                <w:p w14:paraId="7D867150">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厂界北</w:t>
                  </w:r>
                </w:p>
              </w:tc>
              <w:tc>
                <w:tcPr>
                  <w:tcW w:w="536" w:type="pct"/>
                  <w:tcBorders>
                    <w:tl2br w:val="nil"/>
                    <w:tr2bl w:val="nil"/>
                  </w:tcBorders>
                  <w:noWrap w:val="0"/>
                  <w:tcMar>
                    <w:left w:w="0" w:type="dxa"/>
                    <w:right w:w="0" w:type="dxa"/>
                  </w:tcMar>
                  <w:vAlign w:val="center"/>
                </w:tcPr>
                <w:p w14:paraId="4E25B364">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54.00</w:t>
                  </w:r>
                </w:p>
              </w:tc>
              <w:tc>
                <w:tcPr>
                  <w:tcW w:w="536" w:type="pct"/>
                  <w:tcBorders>
                    <w:tl2br w:val="nil"/>
                    <w:tr2bl w:val="nil"/>
                  </w:tcBorders>
                  <w:noWrap w:val="0"/>
                  <w:tcMar>
                    <w:left w:w="0" w:type="dxa"/>
                    <w:right w:w="0" w:type="dxa"/>
                  </w:tcMar>
                  <w:vAlign w:val="center"/>
                </w:tcPr>
                <w:p w14:paraId="0A338748">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54.14</w:t>
                  </w:r>
                </w:p>
              </w:tc>
              <w:tc>
                <w:tcPr>
                  <w:tcW w:w="536" w:type="pct"/>
                  <w:tcBorders>
                    <w:tl2br w:val="nil"/>
                    <w:tr2bl w:val="nil"/>
                  </w:tcBorders>
                  <w:noWrap w:val="0"/>
                  <w:vAlign w:val="center"/>
                </w:tcPr>
                <w:p w14:paraId="2EF1F9DD">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default" w:ascii="Times New Roman" w:hAnsi="Times New Roman" w:eastAsia="宋体"/>
                      <w:color w:val="auto"/>
                      <w:sz w:val="21"/>
                      <w:szCs w:val="21"/>
                    </w:rPr>
                  </w:pPr>
                  <w:r>
                    <w:rPr>
                      <w:rFonts w:hint="eastAsia" w:ascii="Times New Roman" w:hAnsi="Times New Roman" w:eastAsia="宋体"/>
                      <w:color w:val="auto"/>
                      <w:sz w:val="21"/>
                      <w:szCs w:val="21"/>
                    </w:rPr>
                    <w:t>57.08</w:t>
                  </w:r>
                </w:p>
              </w:tc>
              <w:tc>
                <w:tcPr>
                  <w:tcW w:w="537" w:type="pct"/>
                  <w:tcBorders>
                    <w:tl2br w:val="nil"/>
                    <w:tr2bl w:val="nil"/>
                  </w:tcBorders>
                  <w:noWrap w:val="0"/>
                  <w:vAlign w:val="center"/>
                </w:tcPr>
                <w:p w14:paraId="5B52BE12">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65.00</w:t>
                  </w:r>
                </w:p>
              </w:tc>
              <w:tc>
                <w:tcPr>
                  <w:tcW w:w="451" w:type="pct"/>
                  <w:tcBorders>
                    <w:tl2br w:val="nil"/>
                    <w:tr2bl w:val="nil"/>
                  </w:tcBorders>
                  <w:noWrap w:val="0"/>
                  <w:tcMar>
                    <w:left w:w="0" w:type="dxa"/>
                    <w:right w:w="0" w:type="dxa"/>
                  </w:tcMar>
                  <w:vAlign w:val="center"/>
                </w:tcPr>
                <w:p w14:paraId="43D14B16">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46.00</w:t>
                  </w:r>
                </w:p>
              </w:tc>
              <w:tc>
                <w:tcPr>
                  <w:tcW w:w="451" w:type="pct"/>
                  <w:tcBorders>
                    <w:tl2br w:val="nil"/>
                    <w:tr2bl w:val="nil"/>
                  </w:tcBorders>
                  <w:noWrap w:val="0"/>
                  <w:tcMar>
                    <w:left w:w="0" w:type="dxa"/>
                    <w:right w:w="0" w:type="dxa"/>
                  </w:tcMar>
                  <w:vAlign w:val="center"/>
                </w:tcPr>
                <w:p w14:paraId="4762B336">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54.14</w:t>
                  </w:r>
                </w:p>
              </w:tc>
              <w:tc>
                <w:tcPr>
                  <w:tcW w:w="451" w:type="pct"/>
                  <w:tcBorders>
                    <w:tl2br w:val="nil"/>
                    <w:tr2bl w:val="nil"/>
                  </w:tcBorders>
                  <w:noWrap w:val="0"/>
                  <w:tcMar>
                    <w:left w:w="0" w:type="dxa"/>
                    <w:right w:w="0" w:type="dxa"/>
                  </w:tcMar>
                  <w:vAlign w:val="center"/>
                </w:tcPr>
                <w:p w14:paraId="2B278121">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54.76</w:t>
                  </w:r>
                </w:p>
              </w:tc>
              <w:tc>
                <w:tcPr>
                  <w:tcW w:w="451" w:type="pct"/>
                  <w:tcBorders>
                    <w:tl2br w:val="nil"/>
                    <w:tr2bl w:val="nil"/>
                  </w:tcBorders>
                  <w:noWrap w:val="0"/>
                  <w:tcMar>
                    <w:left w:w="0" w:type="dxa"/>
                    <w:right w:w="0" w:type="dxa"/>
                  </w:tcMar>
                  <w:vAlign w:val="center"/>
                </w:tcPr>
                <w:p w14:paraId="27CD6920">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55.00</w:t>
                  </w:r>
                </w:p>
              </w:tc>
              <w:tc>
                <w:tcPr>
                  <w:tcW w:w="429" w:type="pct"/>
                  <w:tcBorders>
                    <w:tl2br w:val="nil"/>
                    <w:tr2bl w:val="nil"/>
                  </w:tcBorders>
                  <w:noWrap w:val="0"/>
                  <w:tcMar>
                    <w:left w:w="0" w:type="dxa"/>
                    <w:right w:w="0" w:type="dxa"/>
                  </w:tcMar>
                  <w:vAlign w:val="center"/>
                </w:tcPr>
                <w:p w14:paraId="5F1721C1">
                  <w:pPr>
                    <w:keepNext w:val="0"/>
                    <w:keepLines w:val="0"/>
                    <w:pageBreakBefore w:val="0"/>
                    <w:suppressLineNumbers w:val="0"/>
                    <w:kinsoku/>
                    <w:overflowPunct/>
                    <w:bidi w:val="0"/>
                    <w:adjustRightInd w:val="0"/>
                    <w:snapToGrid w:val="0"/>
                    <w:spacing w:before="0" w:beforeAutospacing="0" w:after="0" w:afterLines="0" w:afterAutospacing="0" w:line="300" w:lineRule="exact"/>
                    <w:ind w:left="0" w:right="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达标</w:t>
                  </w:r>
                </w:p>
              </w:tc>
            </w:tr>
          </w:tbl>
          <w:p w14:paraId="4FB0BDB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根据预测结果，本项目噪声经车间屏蔽</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距离衰减后，能够满足《工业企业厂界环境噪声排放标准》（GB12348-2008）中3类标准，对周围声环境影响较小。</w:t>
            </w:r>
          </w:p>
          <w:p w14:paraId="54A4152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3.4防治措施</w:t>
            </w:r>
          </w:p>
          <w:p w14:paraId="29A3D79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针对以上噪声源情况，采取以下控制措施：</w:t>
            </w:r>
          </w:p>
          <w:p w14:paraId="47C018D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①在设备选型时尽量选择噪声低的设备，在生产运转时必须定期对其进行检查，保证设备正常运转；</w:t>
            </w:r>
          </w:p>
          <w:p w14:paraId="085FF0D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②加强设备养护管理，以防止设备故障形成的非正常生产噪声，同时确保环保措施发挥最佳有效的功能；加强职工环保意识教育，提倡文明生产，防止人为噪声；</w:t>
            </w:r>
          </w:p>
          <w:p w14:paraId="71AC6A1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采取以上措施后，项目设备产生的噪声对周边环境影响较小</w:t>
            </w:r>
            <w:r>
              <w:rPr>
                <w:rFonts w:hint="eastAsia" w:ascii="Times New Roman" w:hAnsi="Times New Roman" w:eastAsia="宋体" w:cs="Times New Roman"/>
                <w:color w:val="auto"/>
                <w:kern w:val="0"/>
                <w:szCs w:val="21"/>
                <w:lang w:val="en-US" w:eastAsia="zh-CN"/>
              </w:rPr>
              <w:t>，厂界50米范围内没有声环境保护目标，环境影响可接受。</w:t>
            </w:r>
          </w:p>
          <w:p w14:paraId="0719C99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3.5</w:t>
            </w:r>
            <w:r>
              <w:rPr>
                <w:rFonts w:hint="default" w:ascii="Times New Roman" w:hAnsi="Times New Roman" w:eastAsia="宋体" w:cs="Times New Roman"/>
                <w:color w:val="auto"/>
                <w:kern w:val="0"/>
                <w:szCs w:val="21"/>
                <w:lang w:val="en-US" w:eastAsia="zh-CN"/>
              </w:rPr>
              <w:t>监测要求</w:t>
            </w:r>
          </w:p>
          <w:p w14:paraId="0C8CF10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color w:val="auto"/>
                <w:sz w:val="24"/>
                <w:lang w:bidi="ar"/>
              </w:rPr>
            </w:pPr>
            <w:r>
              <w:rPr>
                <w:rFonts w:hint="default" w:ascii="Times New Roman" w:hAnsi="Times New Roman" w:eastAsia="宋体" w:cs="Times New Roman"/>
                <w:color w:val="auto"/>
                <w:kern w:val="0"/>
                <w:szCs w:val="21"/>
                <w:lang w:val="en-US" w:eastAsia="zh-CN"/>
              </w:rPr>
              <w:t>厂界噪声监测《排污单位自行监测技术指南总则》</w:t>
            </w:r>
            <w:r>
              <w:rPr>
                <w:rFonts w:hint="eastAsia" w:cs="Times New Roman"/>
                <w:color w:val="auto"/>
                <w:kern w:val="0"/>
                <w:szCs w:val="21"/>
                <w:lang w:val="en-US" w:eastAsia="zh-CN"/>
              </w:rPr>
              <w:t>中</w:t>
            </w:r>
            <w:r>
              <w:rPr>
                <w:rFonts w:hint="eastAsia" w:ascii="Times New Roman" w:hAnsi="Times New Roman" w:eastAsia="宋体" w:cs="Times New Roman"/>
                <w:color w:val="auto"/>
                <w:kern w:val="0"/>
                <w:szCs w:val="21"/>
                <w:lang w:val="en-US" w:eastAsia="zh-CN"/>
              </w:rPr>
              <w:t>相关要求</w:t>
            </w:r>
            <w:r>
              <w:rPr>
                <w:rFonts w:hint="default" w:ascii="Times New Roman" w:hAnsi="Times New Roman" w:eastAsia="宋体" w:cs="Times New Roman"/>
                <w:color w:val="auto"/>
                <w:kern w:val="0"/>
                <w:szCs w:val="21"/>
                <w:lang w:val="en-US" w:eastAsia="zh-CN"/>
              </w:rPr>
              <w:t>，本项目</w:t>
            </w:r>
            <w:r>
              <w:rPr>
                <w:rFonts w:hint="eastAsia" w:ascii="Times New Roman" w:hAnsi="Times New Roman" w:eastAsia="宋体" w:cs="Times New Roman"/>
                <w:color w:val="auto"/>
                <w:kern w:val="0"/>
                <w:szCs w:val="21"/>
                <w:lang w:val="en-US" w:eastAsia="zh-CN"/>
              </w:rPr>
              <w:t>噪声监测</w:t>
            </w:r>
            <w:r>
              <w:rPr>
                <w:rFonts w:hint="default" w:ascii="Times New Roman" w:hAnsi="Times New Roman" w:eastAsia="宋体" w:cs="Times New Roman"/>
                <w:color w:val="auto"/>
                <w:kern w:val="0"/>
                <w:szCs w:val="21"/>
                <w:lang w:val="en-US" w:eastAsia="zh-CN"/>
              </w:rPr>
              <w:t>计划详见下表。</w:t>
            </w:r>
          </w:p>
          <w:p w14:paraId="73FE4BF3">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eastAsia" w:ascii="Times New Roman" w:hAnsi="Times New Roman" w:eastAsia="宋体" w:cs="Times New Roman"/>
                <w:b/>
                <w:bCs/>
                <w:color w:val="auto"/>
                <w:sz w:val="24"/>
                <w:lang w:val="zh-CN" w:eastAsia="zh-CN"/>
              </w:rPr>
            </w:pPr>
            <w:r>
              <w:rPr>
                <w:rFonts w:hint="eastAsia" w:ascii="Times New Roman" w:hAnsi="Times New Roman" w:eastAsia="宋体" w:cs="Times New Roman"/>
                <w:b/>
                <w:bCs/>
                <w:color w:val="auto"/>
                <w:sz w:val="24"/>
                <w:lang w:val="zh-CN" w:eastAsia="zh-CN"/>
              </w:rPr>
              <w:t>表</w:t>
            </w:r>
            <w:r>
              <w:rPr>
                <w:rFonts w:hint="eastAsia" w:ascii="Times New Roman" w:hAnsi="Times New Roman" w:eastAsia="宋体" w:cs="Times New Roman"/>
                <w:b/>
                <w:bCs/>
                <w:color w:val="auto"/>
                <w:sz w:val="24"/>
                <w:lang w:val="en-US" w:eastAsia="zh-CN"/>
              </w:rPr>
              <w:t>4</w:t>
            </w:r>
            <w:r>
              <w:rPr>
                <w:rFonts w:hint="eastAsia" w:ascii="Times New Roman" w:hAnsi="Times New Roman" w:eastAsia="宋体" w:cs="Times New Roman"/>
                <w:b/>
                <w:bCs/>
                <w:color w:val="auto"/>
                <w:sz w:val="24"/>
                <w:lang w:val="zh-CN" w:eastAsia="zh-CN"/>
              </w:rPr>
              <w:t>-</w:t>
            </w:r>
            <w:r>
              <w:rPr>
                <w:rFonts w:hint="eastAsia" w:ascii="Times New Roman" w:hAnsi="Times New Roman" w:eastAsia="宋体" w:cs="Times New Roman"/>
                <w:b/>
                <w:bCs/>
                <w:color w:val="auto"/>
                <w:sz w:val="24"/>
                <w:lang w:val="en-US" w:eastAsia="zh-CN"/>
              </w:rPr>
              <w:t>8</w:t>
            </w:r>
            <w:r>
              <w:rPr>
                <w:rFonts w:hint="eastAsia" w:ascii="Times New Roman" w:hAnsi="Times New Roman" w:eastAsia="宋体" w:cs="Times New Roman"/>
                <w:b/>
                <w:bCs/>
                <w:color w:val="auto"/>
                <w:sz w:val="24"/>
                <w:lang w:val="zh-CN" w:eastAsia="zh-CN"/>
              </w:rPr>
              <w:t>厂界噪声监测点位监测频次、执行标准及限值</w:t>
            </w:r>
          </w:p>
          <w:tbl>
            <w:tblPr>
              <w:tblStyle w:val="2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4"/>
              <w:gridCol w:w="817"/>
              <w:gridCol w:w="1231"/>
              <w:gridCol w:w="1174"/>
              <w:gridCol w:w="2337"/>
              <w:gridCol w:w="1716"/>
              <w:gridCol w:w="709"/>
            </w:tblGrid>
            <w:tr w14:paraId="65B5E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4E1E854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序号</w:t>
                  </w:r>
                </w:p>
              </w:tc>
              <w:tc>
                <w:tcPr>
                  <w:tcW w:w="479" w:type="pct"/>
                  <w:tcBorders>
                    <w:tl2br w:val="nil"/>
                    <w:tr2bl w:val="nil"/>
                  </w:tcBorders>
                  <w:noWrap w:val="0"/>
                  <w:vAlign w:val="center"/>
                </w:tcPr>
                <w:p w14:paraId="5BEE0CC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监测</w:t>
                  </w:r>
                </w:p>
                <w:p w14:paraId="2F58DFA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点位</w:t>
                  </w:r>
                </w:p>
              </w:tc>
              <w:tc>
                <w:tcPr>
                  <w:tcW w:w="721" w:type="pct"/>
                  <w:tcBorders>
                    <w:tl2br w:val="nil"/>
                    <w:tr2bl w:val="nil"/>
                  </w:tcBorders>
                  <w:noWrap w:val="0"/>
                  <w:vAlign w:val="center"/>
                </w:tcPr>
                <w:p w14:paraId="0A6CAD6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监测</w:t>
                  </w:r>
                </w:p>
                <w:p w14:paraId="0819678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指标</w:t>
                  </w:r>
                </w:p>
              </w:tc>
              <w:tc>
                <w:tcPr>
                  <w:tcW w:w="688" w:type="pct"/>
                  <w:tcBorders>
                    <w:tl2br w:val="nil"/>
                    <w:tr2bl w:val="nil"/>
                  </w:tcBorders>
                  <w:noWrap w:val="0"/>
                  <w:vAlign w:val="center"/>
                </w:tcPr>
                <w:p w14:paraId="08444B1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监测</w:t>
                  </w:r>
                </w:p>
                <w:p w14:paraId="439F40B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频次</w:t>
                  </w:r>
                </w:p>
              </w:tc>
              <w:tc>
                <w:tcPr>
                  <w:tcW w:w="1369" w:type="pct"/>
                  <w:tcBorders>
                    <w:tl2br w:val="nil"/>
                    <w:tr2bl w:val="nil"/>
                  </w:tcBorders>
                  <w:noWrap w:val="0"/>
                  <w:vAlign w:val="center"/>
                </w:tcPr>
                <w:p w14:paraId="4688DEF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执行标准</w:t>
                  </w:r>
                </w:p>
              </w:tc>
              <w:tc>
                <w:tcPr>
                  <w:tcW w:w="1006" w:type="pct"/>
                  <w:tcBorders>
                    <w:tl2br w:val="nil"/>
                    <w:tr2bl w:val="nil"/>
                  </w:tcBorders>
                  <w:noWrap w:val="0"/>
                  <w:vAlign w:val="center"/>
                </w:tcPr>
                <w:p w14:paraId="42DE7F8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标准限值</w:t>
                  </w:r>
                </w:p>
              </w:tc>
              <w:tc>
                <w:tcPr>
                  <w:tcW w:w="415" w:type="pct"/>
                  <w:tcBorders>
                    <w:tl2br w:val="nil"/>
                    <w:tr2bl w:val="nil"/>
                  </w:tcBorders>
                  <w:noWrap w:val="0"/>
                  <w:vAlign w:val="center"/>
                </w:tcPr>
                <w:p w14:paraId="2CD969B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监测方式</w:t>
                  </w:r>
                </w:p>
              </w:tc>
            </w:tr>
            <w:tr w14:paraId="6795E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5508F06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c>
                <w:tcPr>
                  <w:tcW w:w="479" w:type="pct"/>
                  <w:tcBorders>
                    <w:tl2br w:val="nil"/>
                    <w:tr2bl w:val="nil"/>
                  </w:tcBorders>
                  <w:noWrap w:val="0"/>
                  <w:vAlign w:val="center"/>
                </w:tcPr>
                <w:p w14:paraId="66BBA67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厂界四周</w:t>
                  </w:r>
                </w:p>
              </w:tc>
              <w:tc>
                <w:tcPr>
                  <w:tcW w:w="721" w:type="pct"/>
                  <w:tcBorders>
                    <w:tl2br w:val="nil"/>
                    <w:tr2bl w:val="nil"/>
                  </w:tcBorders>
                  <w:noWrap w:val="0"/>
                  <w:vAlign w:val="center"/>
                </w:tcPr>
                <w:p w14:paraId="1E815F0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等效连续A声级</w:t>
                  </w:r>
                </w:p>
              </w:tc>
              <w:tc>
                <w:tcPr>
                  <w:tcW w:w="688" w:type="pct"/>
                  <w:tcBorders>
                    <w:tl2br w:val="nil"/>
                    <w:tr2bl w:val="nil"/>
                  </w:tcBorders>
                  <w:noWrap w:val="0"/>
                  <w:vAlign w:val="center"/>
                </w:tcPr>
                <w:p w14:paraId="419D390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1次/季度</w:t>
                  </w:r>
                </w:p>
              </w:tc>
              <w:tc>
                <w:tcPr>
                  <w:tcW w:w="1369" w:type="pct"/>
                  <w:tcBorders>
                    <w:tl2br w:val="nil"/>
                    <w:tr2bl w:val="nil"/>
                  </w:tcBorders>
                  <w:noWrap w:val="0"/>
                  <w:vAlign w:val="center"/>
                </w:tcPr>
                <w:p w14:paraId="364CCB1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《工业排污单位厂界环境噪声排放标准》（GB12348-2008）3类</w:t>
                  </w:r>
                </w:p>
              </w:tc>
              <w:tc>
                <w:tcPr>
                  <w:tcW w:w="1006" w:type="pct"/>
                  <w:tcBorders>
                    <w:tl2br w:val="nil"/>
                    <w:tr2bl w:val="nil"/>
                  </w:tcBorders>
                  <w:noWrap w:val="0"/>
                  <w:vAlign w:val="center"/>
                </w:tcPr>
                <w:p w14:paraId="31D2E27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昼间65dB（A）</w:t>
                  </w:r>
                </w:p>
                <w:p w14:paraId="2E242A6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夜间55dB（A）</w:t>
                  </w:r>
                </w:p>
              </w:tc>
              <w:tc>
                <w:tcPr>
                  <w:tcW w:w="415" w:type="pct"/>
                  <w:tcBorders>
                    <w:tl2br w:val="nil"/>
                    <w:tr2bl w:val="nil"/>
                  </w:tcBorders>
                  <w:noWrap w:val="0"/>
                  <w:vAlign w:val="center"/>
                </w:tcPr>
                <w:p w14:paraId="6FEA624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手工监测</w:t>
                  </w:r>
                </w:p>
              </w:tc>
            </w:tr>
          </w:tbl>
          <w:p w14:paraId="2C6E3B0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4、固体废物</w:t>
            </w:r>
          </w:p>
          <w:p w14:paraId="5C3203D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4.1固废污染源强分析</w:t>
            </w:r>
          </w:p>
          <w:p w14:paraId="78139FA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w:t>
            </w:r>
            <w:r>
              <w:rPr>
                <w:rFonts w:hint="default" w:ascii="Times New Roman" w:hAnsi="Times New Roman" w:eastAsia="宋体" w:cs="Times New Roman"/>
                <w:color w:val="auto"/>
                <w:kern w:val="0"/>
                <w:szCs w:val="21"/>
                <w:lang w:val="en-US" w:eastAsia="zh-CN"/>
              </w:rPr>
              <w:t>项目的固体废物主要为塑料生产废料、钢材切割废料、除尘器收集粉尘</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废机油、废润滑油</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废活性炭</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废模具清</w:t>
            </w:r>
            <w:r>
              <w:rPr>
                <w:rFonts w:hint="default" w:ascii="Times New Roman" w:hAnsi="Times New Roman" w:eastAsia="宋体" w:cs="Times New Roman"/>
                <w:color w:val="auto"/>
                <w:kern w:val="0"/>
                <w:sz w:val="24"/>
                <w:szCs w:val="21"/>
                <w:lang w:val="en-US" w:eastAsia="zh-CN"/>
              </w:rPr>
              <w:t>洗</w:t>
            </w:r>
            <w:r>
              <w:rPr>
                <w:rFonts w:hint="eastAsia" w:ascii="Times New Roman" w:hAnsi="Times New Roman" w:eastAsia="宋体" w:cs="Times New Roman"/>
                <w:color w:val="auto"/>
                <w:kern w:val="0"/>
                <w:sz w:val="24"/>
                <w:szCs w:val="21"/>
                <w:lang w:val="en-US" w:eastAsia="zh-CN"/>
              </w:rPr>
              <w:t>液、</w:t>
            </w:r>
            <w:r>
              <w:rPr>
                <w:rFonts w:ascii="Times New Roman" w:hAnsi="Times New Roman" w:eastAsia="宋体" w:cs="宋体"/>
                <w:color w:val="auto"/>
                <w:sz w:val="24"/>
                <w:szCs w:val="24"/>
              </w:rPr>
              <w:t>UV光催化废灯管</w:t>
            </w:r>
            <w:r>
              <w:rPr>
                <w:rFonts w:hint="default" w:ascii="Times New Roman" w:hAnsi="Times New Roman" w:eastAsia="宋体" w:cs="Times New Roman"/>
                <w:color w:val="auto"/>
                <w:kern w:val="0"/>
                <w:sz w:val="24"/>
                <w:szCs w:val="21"/>
                <w:lang w:val="en-US" w:eastAsia="zh-CN"/>
              </w:rPr>
              <w:t>。</w:t>
            </w:r>
          </w:p>
          <w:p w14:paraId="473A802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（1）塑料生产废料</w:t>
            </w:r>
          </w:p>
          <w:p w14:paraId="506526C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塑料生产废料来源于吹塑成型过程</w:t>
            </w:r>
            <w:r>
              <w:rPr>
                <w:rFonts w:hint="eastAsia" w:ascii="Times New Roman" w:hAnsi="Times New Roman" w:eastAsia="宋体" w:cs="Times New Roman"/>
                <w:color w:val="auto"/>
                <w:kern w:val="0"/>
                <w:szCs w:val="21"/>
                <w:lang w:val="en-US" w:eastAsia="zh-CN"/>
              </w:rPr>
              <w:t>，主要是</w:t>
            </w:r>
            <w:r>
              <w:rPr>
                <w:rFonts w:hint="default" w:ascii="Times New Roman" w:hAnsi="Times New Roman" w:eastAsia="宋体" w:cs="Times New Roman"/>
                <w:color w:val="auto"/>
                <w:kern w:val="0"/>
                <w:szCs w:val="21"/>
                <w:lang w:val="en-US" w:eastAsia="zh-CN"/>
              </w:rPr>
              <w:t>模具合模线、桶口、底部等处被切除的多余塑料</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因工艺不稳定、缺陷（如气泡、焊接不牢、壁厚不均）产生的废桶</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设备启动、调试或更换颜色时产生的不合格品</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属于一般固废，类比同类企业生产经验，吹塑过程的良品率通常在92%</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废料率</w:t>
            </w:r>
            <w:r>
              <w:rPr>
                <w:rFonts w:hint="eastAsia" w:ascii="Times New Roman" w:hAnsi="Times New Roman" w:eastAsia="宋体" w:cs="Times New Roman"/>
                <w:color w:val="auto"/>
                <w:kern w:val="0"/>
                <w:szCs w:val="21"/>
                <w:lang w:val="en-US" w:eastAsia="zh-CN"/>
              </w:rPr>
              <w:t>在</w:t>
            </w:r>
            <w:r>
              <w:rPr>
                <w:rFonts w:hint="default" w:ascii="Times New Roman" w:hAnsi="Times New Roman" w:eastAsia="宋体" w:cs="Times New Roman"/>
                <w:color w:val="auto"/>
                <w:kern w:val="0"/>
                <w:szCs w:val="21"/>
                <w:lang w:val="en-US" w:eastAsia="zh-CN"/>
              </w:rPr>
              <w:t>8%</w:t>
            </w:r>
            <w:r>
              <w:rPr>
                <w:rFonts w:hint="eastAsia" w:ascii="Times New Roman" w:hAnsi="Times New Roman" w:eastAsia="宋体" w:cs="Times New Roman"/>
                <w:color w:val="auto"/>
                <w:kern w:val="0"/>
                <w:szCs w:val="21"/>
                <w:lang w:val="en-US" w:eastAsia="zh-CN"/>
              </w:rPr>
              <w:t>，项目</w:t>
            </w:r>
            <w:r>
              <w:rPr>
                <w:rFonts w:hint="default" w:ascii="Times New Roman" w:hAnsi="Times New Roman" w:eastAsia="宋体" w:cs="Times New Roman"/>
                <w:color w:val="auto"/>
                <w:kern w:val="0"/>
                <w:szCs w:val="21"/>
                <w:lang w:val="en-US" w:eastAsia="zh-CN"/>
              </w:rPr>
              <w:t>塑料原料总消耗</w:t>
            </w:r>
            <w:r>
              <w:rPr>
                <w:rFonts w:hint="eastAsia" w:ascii="Times New Roman" w:hAnsi="Times New Roman" w:eastAsia="宋体" w:cs="Times New Roman"/>
                <w:color w:val="auto"/>
                <w:kern w:val="0"/>
                <w:szCs w:val="21"/>
                <w:lang w:val="en-US" w:eastAsia="zh-CN"/>
              </w:rPr>
              <w:t>3400</w:t>
            </w:r>
            <w:r>
              <w:rPr>
                <w:rFonts w:hint="default" w:ascii="Times New Roman" w:hAnsi="Times New Roman" w:eastAsia="宋体" w:cs="Times New Roman"/>
                <w:color w:val="auto"/>
                <w:kern w:val="0"/>
                <w:szCs w:val="21"/>
                <w:lang w:val="en-US" w:eastAsia="zh-CN"/>
              </w:rPr>
              <w:t>吨/年</w:t>
            </w:r>
            <w:r>
              <w:rPr>
                <w:rFonts w:hint="eastAsia" w:ascii="Times New Roman" w:hAnsi="Times New Roman" w:eastAsia="宋体" w:cs="Times New Roman"/>
                <w:color w:val="auto"/>
                <w:kern w:val="0"/>
                <w:szCs w:val="21"/>
                <w:lang w:val="en-US" w:eastAsia="zh-CN"/>
              </w:rPr>
              <w:t>，则</w:t>
            </w:r>
            <w:r>
              <w:rPr>
                <w:rFonts w:hint="default" w:ascii="Times New Roman" w:hAnsi="Times New Roman" w:eastAsia="宋体" w:cs="Times New Roman"/>
                <w:color w:val="auto"/>
                <w:kern w:val="0"/>
                <w:szCs w:val="21"/>
                <w:lang w:val="en-US" w:eastAsia="zh-CN"/>
              </w:rPr>
              <w:t>塑料废料产生量</w:t>
            </w:r>
            <w:r>
              <w:rPr>
                <w:rFonts w:hint="eastAsia" w:ascii="Times New Roman" w:hAnsi="Times New Roman" w:eastAsia="宋体" w:cs="Times New Roman"/>
                <w:color w:val="auto"/>
                <w:kern w:val="0"/>
                <w:szCs w:val="21"/>
                <w:lang w:val="en-US" w:eastAsia="zh-CN"/>
              </w:rPr>
              <w:t>为272t/a。该废料内部回收利用</w:t>
            </w:r>
            <w:r>
              <w:rPr>
                <w:rFonts w:hint="default" w:ascii="Times New Roman" w:hAnsi="Times New Roman" w:eastAsia="宋体" w:cs="Times New Roman"/>
                <w:color w:val="auto"/>
                <w:kern w:val="0"/>
                <w:szCs w:val="21"/>
                <w:lang w:val="en-US" w:eastAsia="zh-CN"/>
              </w:rPr>
              <w:t>。</w:t>
            </w:r>
          </w:p>
          <w:p w14:paraId="6E9B856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（2）钢材切割废料</w:t>
            </w:r>
          </w:p>
          <w:p w14:paraId="36DE211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来源于IBC金属框架的加工过程</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钢管切割下料产生的管头、废料段</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属于一般固废</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项目钢材总消耗</w:t>
            </w:r>
            <w:r>
              <w:rPr>
                <w:rFonts w:hint="eastAsia" w:ascii="Times New Roman" w:hAnsi="Times New Roman" w:eastAsia="宋体" w:cs="Times New Roman"/>
                <w:color w:val="auto"/>
                <w:kern w:val="0"/>
                <w:szCs w:val="21"/>
                <w:lang w:val="en-US" w:eastAsia="zh-CN"/>
              </w:rPr>
              <w:t>4000t/a，</w:t>
            </w:r>
            <w:r>
              <w:rPr>
                <w:rFonts w:hint="default" w:ascii="Times New Roman" w:hAnsi="Times New Roman" w:eastAsia="宋体" w:cs="Times New Roman"/>
                <w:color w:val="auto"/>
                <w:kern w:val="0"/>
                <w:szCs w:val="21"/>
                <w:lang w:val="en-US" w:eastAsia="zh-CN"/>
              </w:rPr>
              <w:t>钢材利用率达92%</w:t>
            </w:r>
            <w:r>
              <w:rPr>
                <w:rFonts w:hint="eastAsia" w:ascii="Times New Roman" w:hAnsi="Times New Roman" w:eastAsia="宋体" w:cs="Times New Roman"/>
                <w:color w:val="auto"/>
                <w:kern w:val="0"/>
                <w:szCs w:val="21"/>
                <w:lang w:val="en-US" w:eastAsia="zh-CN"/>
              </w:rPr>
              <w:t>，则</w:t>
            </w:r>
            <w:r>
              <w:rPr>
                <w:rFonts w:hint="default" w:ascii="Times New Roman" w:hAnsi="Times New Roman" w:eastAsia="宋体" w:cs="Times New Roman"/>
                <w:color w:val="auto"/>
                <w:kern w:val="0"/>
                <w:szCs w:val="21"/>
                <w:lang w:val="en-US" w:eastAsia="zh-CN"/>
              </w:rPr>
              <w:t>钢材废料产生量</w:t>
            </w:r>
            <w:r>
              <w:rPr>
                <w:rFonts w:hint="eastAsia" w:ascii="Times New Roman" w:hAnsi="Times New Roman" w:eastAsia="宋体" w:cs="Times New Roman"/>
                <w:color w:val="auto"/>
                <w:kern w:val="0"/>
                <w:szCs w:val="21"/>
                <w:lang w:val="en-US" w:eastAsia="zh-CN"/>
              </w:rPr>
              <w:t>为320t/a，该类废料收集后</w:t>
            </w:r>
            <w:r>
              <w:rPr>
                <w:rFonts w:hint="eastAsia" w:cs="Times New Roman"/>
                <w:color w:val="auto"/>
                <w:kern w:val="0"/>
                <w:szCs w:val="21"/>
                <w:lang w:val="en-US" w:eastAsia="zh-CN"/>
              </w:rPr>
              <w:t>外售综合利用</w:t>
            </w:r>
            <w:r>
              <w:rPr>
                <w:rFonts w:hint="default" w:ascii="Times New Roman" w:hAnsi="Times New Roman" w:eastAsia="宋体" w:cs="Times New Roman"/>
                <w:color w:val="auto"/>
                <w:kern w:val="0"/>
                <w:szCs w:val="21"/>
                <w:lang w:val="en-US" w:eastAsia="zh-CN"/>
              </w:rPr>
              <w:t>。</w:t>
            </w:r>
          </w:p>
          <w:p w14:paraId="6CDA6A1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3</w:t>
            </w:r>
            <w:r>
              <w:rPr>
                <w:rFonts w:hint="default" w:ascii="Times New Roman" w:hAnsi="Times New Roman" w:eastAsia="宋体" w:cs="Times New Roman"/>
                <w:color w:val="auto"/>
                <w:kern w:val="0"/>
                <w:szCs w:val="21"/>
                <w:lang w:val="en-US" w:eastAsia="zh-CN"/>
              </w:rPr>
              <w:t>）除尘器收集粉尘</w:t>
            </w:r>
          </w:p>
          <w:p w14:paraId="421423F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来源于</w:t>
            </w:r>
            <w:r>
              <w:rPr>
                <w:rFonts w:hint="default" w:ascii="Times New Roman" w:hAnsi="Times New Roman" w:eastAsia="宋体" w:cs="Times New Roman"/>
                <w:color w:val="auto"/>
                <w:kern w:val="0"/>
                <w:szCs w:val="21"/>
                <w:lang w:val="en-US" w:eastAsia="zh-CN"/>
              </w:rPr>
              <w:t>金属框架焊接、打磨时产生的金属氧化物粉尘</w:t>
            </w:r>
            <w:r>
              <w:rPr>
                <w:rFonts w:hint="eastAsia" w:ascii="Times New Roman" w:hAnsi="Times New Roman" w:eastAsia="宋体" w:cs="Times New Roman"/>
                <w:color w:val="auto"/>
                <w:kern w:val="0"/>
                <w:szCs w:val="21"/>
                <w:lang w:val="en-US" w:eastAsia="zh-CN"/>
              </w:rPr>
              <w:t>，以及</w:t>
            </w:r>
            <w:r>
              <w:rPr>
                <w:rFonts w:hint="default" w:ascii="Times New Roman" w:hAnsi="Times New Roman" w:eastAsia="宋体" w:cs="Times New Roman"/>
                <w:color w:val="auto"/>
                <w:kern w:val="0"/>
                <w:szCs w:val="21"/>
                <w:lang w:val="en-US" w:eastAsia="zh-CN"/>
              </w:rPr>
              <w:t>塑料修边料破碎或桶体打磨时产生的微量塑料粉尘</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属于一般固废</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产生量约</w:t>
            </w:r>
            <w:r>
              <w:rPr>
                <w:rFonts w:hint="eastAsia" w:ascii="Times New Roman" w:hAnsi="Times New Roman" w:eastAsia="宋体" w:cs="Times New Roman"/>
                <w:color w:val="auto"/>
                <w:kern w:val="0"/>
                <w:szCs w:val="21"/>
                <w:lang w:val="en-US" w:eastAsia="zh-CN"/>
              </w:rPr>
              <w:t>18</w:t>
            </w:r>
            <w:r>
              <w:rPr>
                <w:rFonts w:hint="default" w:ascii="Times New Roman" w:hAnsi="Times New Roman" w:eastAsia="宋体" w:cs="Times New Roman"/>
                <w:color w:val="auto"/>
                <w:kern w:val="0"/>
                <w:szCs w:val="21"/>
                <w:lang w:val="en-US" w:eastAsia="zh-CN"/>
              </w:rPr>
              <w:t>t/a，与钢材废料一并</w:t>
            </w:r>
            <w:r>
              <w:rPr>
                <w:rFonts w:hint="eastAsia" w:cs="Times New Roman"/>
                <w:color w:val="auto"/>
                <w:kern w:val="0"/>
                <w:szCs w:val="21"/>
                <w:lang w:val="en-US" w:eastAsia="zh-CN"/>
              </w:rPr>
              <w:t>外售综合利用</w:t>
            </w:r>
            <w:r>
              <w:rPr>
                <w:rFonts w:hint="default" w:ascii="Times New Roman" w:hAnsi="Times New Roman" w:eastAsia="宋体" w:cs="Times New Roman"/>
                <w:color w:val="auto"/>
                <w:kern w:val="0"/>
                <w:szCs w:val="21"/>
                <w:lang w:val="en-US" w:eastAsia="zh-CN"/>
              </w:rPr>
              <w:t>。</w:t>
            </w:r>
          </w:p>
          <w:p w14:paraId="1AE2589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r>
              <w:rPr>
                <w:rFonts w:hint="eastAsia" w:ascii="Times New Roman" w:hAnsi="Times New Roman" w:eastAsia="宋体" w:cs="Times New Roman"/>
                <w:color w:val="auto"/>
                <w:kern w:val="0"/>
                <w:szCs w:val="21"/>
                <w:lang w:val="en-US" w:eastAsia="zh-CN"/>
              </w:rPr>
              <w:t>4</w:t>
            </w:r>
            <w:r>
              <w:rPr>
                <w:rFonts w:hint="default" w:ascii="Times New Roman" w:hAnsi="Times New Roman" w:eastAsia="宋体" w:cs="Times New Roman"/>
                <w:color w:val="auto"/>
                <w:kern w:val="0"/>
                <w:szCs w:val="21"/>
                <w:lang w:val="en-US" w:eastAsia="zh-CN"/>
              </w:rPr>
              <w:t>）废机油、废润滑油</w:t>
            </w:r>
          </w:p>
          <w:p w14:paraId="1AD3BC4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来源于</w:t>
            </w:r>
            <w:r>
              <w:rPr>
                <w:rFonts w:hint="default" w:ascii="Times New Roman" w:hAnsi="Times New Roman" w:eastAsia="宋体" w:cs="Times New Roman"/>
                <w:color w:val="auto"/>
                <w:kern w:val="0"/>
                <w:szCs w:val="21"/>
                <w:lang w:val="en-US" w:eastAsia="zh-CN"/>
              </w:rPr>
              <w:t>吹塑机、液压系统、空压机、行车等设备的日常维护、更换</w:t>
            </w: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设备数量多，但单次换油量不大</w:t>
            </w:r>
            <w:r>
              <w:rPr>
                <w:rFonts w:hint="eastAsia" w:ascii="Times New Roman" w:hAnsi="Times New Roman" w:eastAsia="宋体" w:cs="Times New Roman"/>
                <w:color w:val="auto"/>
                <w:kern w:val="0"/>
                <w:szCs w:val="21"/>
                <w:lang w:val="en-US" w:eastAsia="zh-CN"/>
              </w:rPr>
              <w:t>，</w:t>
            </w:r>
            <w:r>
              <w:rPr>
                <w:rFonts w:hint="eastAsia" w:cs="Times New Roman"/>
                <w:color w:val="auto"/>
                <w:kern w:val="0"/>
                <w:szCs w:val="21"/>
                <w:lang w:val="en-US" w:eastAsia="zh-CN"/>
              </w:rPr>
              <w:t>约</w:t>
            </w:r>
            <w:r>
              <w:rPr>
                <w:rFonts w:hint="eastAsia" w:ascii="Times New Roman" w:hAnsi="Times New Roman" w:eastAsia="宋体" w:cs="Times New Roman"/>
                <w:color w:val="auto"/>
                <w:kern w:val="0"/>
                <w:szCs w:val="21"/>
                <w:lang w:val="en-US" w:eastAsia="zh-CN"/>
              </w:rPr>
              <w:t>3t/a，属于《国家危险废物名录》（2025版）中的HW08</w:t>
            </w:r>
            <w:r>
              <w:rPr>
                <w:rFonts w:hint="default" w:ascii="Times New Roman" w:hAnsi="Times New Roman" w:eastAsia="宋体" w:cs="Times New Roman"/>
                <w:color w:val="auto"/>
                <w:kern w:val="0"/>
                <w:szCs w:val="21"/>
                <w:lang w:val="en-US" w:eastAsia="zh-CN"/>
              </w:rPr>
              <w:t>废矿物油与含矿物油废物</w:t>
            </w:r>
            <w:r>
              <w:rPr>
                <w:rFonts w:hint="eastAsia" w:ascii="Times New Roman" w:hAnsi="Times New Roman" w:eastAsia="宋体" w:cs="Times New Roman"/>
                <w:color w:val="auto"/>
                <w:kern w:val="0"/>
                <w:szCs w:val="21"/>
                <w:lang w:val="en-US" w:eastAsia="zh-CN"/>
              </w:rPr>
              <w:t>，废物代码</w:t>
            </w:r>
            <w:r>
              <w:rPr>
                <w:rFonts w:hint="default" w:ascii="Times New Roman" w:hAnsi="Times New Roman" w:eastAsia="宋体" w:cs="Times New Roman"/>
                <w:color w:val="auto"/>
                <w:kern w:val="0"/>
                <w:szCs w:val="21"/>
                <w:lang w:val="en-US" w:eastAsia="zh-CN"/>
              </w:rPr>
              <w:t>900-217-08</w:t>
            </w:r>
            <w:r>
              <w:rPr>
                <w:rFonts w:hint="eastAsia" w:ascii="Times New Roman" w:hAnsi="Times New Roman" w:eastAsia="宋体" w:cs="Times New Roman"/>
                <w:color w:val="auto"/>
                <w:kern w:val="0"/>
                <w:szCs w:val="21"/>
                <w:lang w:val="en-US" w:eastAsia="zh-CN"/>
              </w:rPr>
              <w:t>，</w:t>
            </w:r>
            <w:r>
              <w:rPr>
                <w:rFonts w:hint="eastAsia" w:ascii="Times New Roman" w:hAnsi="Times New Roman" w:eastAsia="宋体"/>
                <w:color w:val="auto"/>
                <w:szCs w:val="21"/>
              </w:rPr>
              <w:t>经收集后</w:t>
            </w:r>
            <w:r>
              <w:rPr>
                <w:rFonts w:hint="eastAsia" w:ascii="Times New Roman" w:hAnsi="Times New Roman" w:eastAsia="宋体"/>
                <w:color w:val="auto"/>
                <w:szCs w:val="21"/>
                <w:lang w:val="en-US" w:eastAsia="zh-CN"/>
              </w:rPr>
              <w:t>暂存于</w:t>
            </w:r>
            <w:r>
              <w:rPr>
                <w:rFonts w:hint="eastAsia"/>
                <w:color w:val="auto"/>
                <w:szCs w:val="21"/>
                <w:lang w:val="en-US" w:eastAsia="zh-CN"/>
              </w:rPr>
              <w:t>厂内现有</w:t>
            </w:r>
            <w:r>
              <w:rPr>
                <w:rFonts w:hint="eastAsia" w:ascii="Times New Roman" w:hAnsi="Times New Roman" w:eastAsia="宋体"/>
                <w:color w:val="auto"/>
                <w:szCs w:val="21"/>
                <w:lang w:val="en-US" w:eastAsia="zh-CN"/>
              </w:rPr>
              <w:t>危废库，</w:t>
            </w:r>
            <w:r>
              <w:rPr>
                <w:rFonts w:hint="eastAsia"/>
                <w:color w:val="auto"/>
                <w:szCs w:val="21"/>
                <w:lang w:val="en-US" w:eastAsia="zh-CN"/>
              </w:rPr>
              <w:t>属于本公司许可处置危废范围，直接由</w:t>
            </w:r>
            <w:r>
              <w:rPr>
                <w:rFonts w:hint="eastAsia" w:cs="Times New Roman"/>
                <w:color w:val="auto"/>
                <w:kern w:val="0"/>
                <w:szCs w:val="21"/>
                <w:lang w:val="en-US" w:eastAsia="zh-CN"/>
              </w:rPr>
              <w:t>本</w:t>
            </w:r>
            <w:r>
              <w:rPr>
                <w:rFonts w:hint="eastAsia" w:ascii="Times New Roman" w:hAnsi="Times New Roman" w:eastAsia="宋体" w:cs="Times New Roman"/>
                <w:color w:val="auto"/>
                <w:kern w:val="0"/>
                <w:szCs w:val="21"/>
                <w:lang w:val="en-US" w:eastAsia="zh-CN"/>
              </w:rPr>
              <w:t>公司处置。</w:t>
            </w:r>
          </w:p>
          <w:p w14:paraId="064DB7C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w:t>
            </w:r>
            <w:r>
              <w:rPr>
                <w:rFonts w:hint="default" w:ascii="Times New Roman" w:hAnsi="Times New Roman" w:eastAsia="宋体" w:cs="Times New Roman"/>
                <w:color w:val="auto"/>
                <w:kern w:val="0"/>
                <w:szCs w:val="21"/>
                <w:lang w:val="en-US" w:eastAsia="zh-CN"/>
              </w:rPr>
              <w:t>废活性炭</w:t>
            </w:r>
          </w:p>
          <w:p w14:paraId="7F9625E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本项目产生非甲烷总烃废气产生量为0.</w:t>
            </w:r>
            <w:r>
              <w:rPr>
                <w:rFonts w:hint="eastAsia" w:cs="Times New Roman"/>
                <w:color w:val="auto"/>
                <w:kern w:val="0"/>
                <w:szCs w:val="21"/>
                <w:lang w:val="en-US" w:eastAsia="zh-CN"/>
              </w:rPr>
              <w:t>596</w:t>
            </w:r>
            <w:r>
              <w:rPr>
                <w:rFonts w:hint="eastAsia" w:ascii="Times New Roman" w:hAnsi="Times New Roman" w:eastAsia="宋体" w:cs="Times New Roman"/>
                <w:color w:val="auto"/>
                <w:kern w:val="0"/>
                <w:szCs w:val="21"/>
                <w:lang w:val="en-US" w:eastAsia="zh-CN"/>
              </w:rPr>
              <w:t>t/a，采用“集气罩</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kern w:val="0"/>
                <w:szCs w:val="21"/>
                <w:lang w:val="en-US" w:eastAsia="zh-CN"/>
              </w:rPr>
              <w:t>活性炭吸附装置”工艺治理，装置单级装填活性炭2.58t，整套合计装填活性炭5.16t；按活性炭有机饱和吸附容量15%核算，正常连续生产工况下理论更换周期12个月，考虑废气浓度波动及安全余量，实际管控更换周期为9个月，活性炭使用至吸附饱和前整体更换。根据核算，本项目配备两套活性炭吸附装置，废活性炭产生量为10.32t/a，属于《国家危险废物名录》（2025版）中的HW49其他废物，废物代码900-039-49，</w:t>
            </w:r>
            <w:r>
              <w:rPr>
                <w:rFonts w:hint="eastAsia" w:ascii="Times New Roman" w:hAnsi="Times New Roman" w:eastAsia="宋体"/>
                <w:color w:val="auto"/>
                <w:szCs w:val="21"/>
              </w:rPr>
              <w:t>收集后</w:t>
            </w:r>
            <w:r>
              <w:rPr>
                <w:rFonts w:hint="eastAsia" w:ascii="Times New Roman" w:hAnsi="Times New Roman" w:eastAsia="宋体"/>
                <w:color w:val="auto"/>
                <w:szCs w:val="21"/>
                <w:lang w:val="en-US" w:eastAsia="zh-CN"/>
              </w:rPr>
              <w:t>暂存于</w:t>
            </w:r>
            <w:r>
              <w:rPr>
                <w:rFonts w:hint="eastAsia"/>
                <w:color w:val="auto"/>
                <w:szCs w:val="21"/>
                <w:lang w:val="en-US" w:eastAsia="zh-CN"/>
              </w:rPr>
              <w:t>厂内现有</w:t>
            </w:r>
            <w:r>
              <w:rPr>
                <w:rFonts w:hint="eastAsia" w:ascii="Times New Roman" w:hAnsi="Times New Roman" w:eastAsia="宋体"/>
                <w:color w:val="auto"/>
                <w:szCs w:val="21"/>
                <w:lang w:val="en-US" w:eastAsia="zh-CN"/>
              </w:rPr>
              <w:t>危废库，</w:t>
            </w:r>
            <w:r>
              <w:rPr>
                <w:rFonts w:hint="eastAsia"/>
                <w:color w:val="auto"/>
                <w:szCs w:val="21"/>
                <w:lang w:val="en-US" w:eastAsia="zh-CN"/>
              </w:rPr>
              <w:t>属于本公司许可处置危废范围，直接由</w:t>
            </w:r>
            <w:r>
              <w:rPr>
                <w:rFonts w:hint="eastAsia" w:cs="Times New Roman"/>
                <w:color w:val="auto"/>
                <w:kern w:val="0"/>
                <w:szCs w:val="21"/>
                <w:lang w:val="en-US" w:eastAsia="zh-CN"/>
              </w:rPr>
              <w:t>本</w:t>
            </w:r>
            <w:r>
              <w:rPr>
                <w:rFonts w:hint="eastAsia" w:ascii="Times New Roman" w:hAnsi="Times New Roman" w:eastAsia="宋体" w:cs="Times New Roman"/>
                <w:color w:val="auto"/>
                <w:kern w:val="0"/>
                <w:szCs w:val="21"/>
                <w:lang w:val="en-US" w:eastAsia="zh-CN"/>
              </w:rPr>
              <w:t>公司处置。</w:t>
            </w:r>
            <w:r>
              <w:rPr>
                <w:rFonts w:hint="eastAsia" w:cs="Times New Roman"/>
                <w:color w:val="auto"/>
                <w:kern w:val="0"/>
                <w:szCs w:val="21"/>
                <w:lang w:val="en-US" w:eastAsia="zh-CN"/>
              </w:rPr>
              <w:t>本处置资质见附件。</w:t>
            </w:r>
          </w:p>
          <w:p w14:paraId="61D45C3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（6）</w:t>
            </w:r>
            <w:r>
              <w:rPr>
                <w:rFonts w:hint="default" w:ascii="Times New Roman" w:hAnsi="Times New Roman" w:eastAsia="宋体" w:cs="Times New Roman"/>
                <w:color w:val="auto"/>
                <w:kern w:val="0"/>
                <w:szCs w:val="21"/>
                <w:lang w:val="en-US" w:eastAsia="zh-CN"/>
              </w:rPr>
              <w:t>废模具清洗</w:t>
            </w:r>
            <w:r>
              <w:rPr>
                <w:rFonts w:hint="eastAsia" w:cs="Times New Roman"/>
                <w:color w:val="auto"/>
                <w:kern w:val="0"/>
                <w:szCs w:val="21"/>
                <w:lang w:val="en-US" w:eastAsia="zh-CN"/>
              </w:rPr>
              <w:t>液</w:t>
            </w:r>
          </w:p>
          <w:p w14:paraId="4CC9D3E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来源</w:t>
            </w:r>
            <w:r>
              <w:rPr>
                <w:rFonts w:hint="eastAsia" w:ascii="Times New Roman" w:hAnsi="Times New Roman" w:eastAsia="宋体" w:cs="Times New Roman"/>
                <w:color w:val="auto"/>
                <w:kern w:val="0"/>
                <w:szCs w:val="21"/>
                <w:lang w:val="en-US" w:eastAsia="zh-CN"/>
              </w:rPr>
              <w:t>于</w:t>
            </w:r>
            <w:r>
              <w:rPr>
                <w:rFonts w:hint="default" w:ascii="Times New Roman" w:hAnsi="Times New Roman" w:eastAsia="宋体" w:cs="Times New Roman"/>
                <w:color w:val="auto"/>
                <w:kern w:val="0"/>
                <w:szCs w:val="21"/>
                <w:lang w:val="en-US" w:eastAsia="zh-CN"/>
              </w:rPr>
              <w:t>定期清洗吹塑模具以去除积炭、油污产生的废清洗液</w:t>
            </w:r>
            <w:r>
              <w:rPr>
                <w:rFonts w:hint="eastAsia" w:ascii="Times New Roman" w:hAnsi="Times New Roman" w:eastAsia="宋体" w:cs="Times New Roman"/>
                <w:color w:val="auto"/>
                <w:kern w:val="0"/>
                <w:szCs w:val="21"/>
                <w:lang w:val="en-US" w:eastAsia="zh-CN"/>
              </w:rPr>
              <w:t>，根据厂家提供，产生量为1t/a，属于《国家危险废物名录》（2025版）中的HW06</w:t>
            </w:r>
            <w:r>
              <w:rPr>
                <w:rFonts w:hint="default" w:ascii="Times New Roman" w:hAnsi="Times New Roman" w:eastAsia="宋体" w:cs="Times New Roman"/>
                <w:color w:val="auto"/>
                <w:kern w:val="0"/>
                <w:szCs w:val="21"/>
                <w:lang w:val="en-US" w:eastAsia="zh-CN"/>
              </w:rPr>
              <w:t>废有机溶剂与含有机溶剂废物</w:t>
            </w:r>
            <w:r>
              <w:rPr>
                <w:rFonts w:hint="eastAsia" w:ascii="Times New Roman" w:hAnsi="Times New Roman" w:eastAsia="宋体" w:cs="Times New Roman"/>
                <w:color w:val="auto"/>
                <w:kern w:val="0"/>
                <w:szCs w:val="21"/>
                <w:lang w:val="en-US" w:eastAsia="zh-CN"/>
              </w:rPr>
              <w:t>，废物代码</w:t>
            </w:r>
            <w:r>
              <w:rPr>
                <w:rFonts w:hint="default" w:ascii="Times New Roman" w:hAnsi="Times New Roman" w:eastAsia="宋体" w:cs="Times New Roman"/>
                <w:color w:val="auto"/>
                <w:kern w:val="0"/>
                <w:szCs w:val="21"/>
                <w:lang w:val="en-US" w:eastAsia="zh-CN"/>
              </w:rPr>
              <w:t>900-402-06</w:t>
            </w:r>
            <w:r>
              <w:rPr>
                <w:rFonts w:hint="eastAsia" w:ascii="Times New Roman" w:hAnsi="Times New Roman" w:eastAsia="宋体" w:cs="Times New Roman"/>
                <w:color w:val="auto"/>
                <w:kern w:val="0"/>
                <w:szCs w:val="21"/>
                <w:lang w:val="en-US" w:eastAsia="zh-CN"/>
              </w:rPr>
              <w:t>，</w:t>
            </w:r>
            <w:r>
              <w:rPr>
                <w:rFonts w:hint="eastAsia" w:ascii="Times New Roman" w:hAnsi="Times New Roman" w:eastAsia="宋体"/>
                <w:color w:val="auto"/>
                <w:szCs w:val="21"/>
              </w:rPr>
              <w:t>收集后</w:t>
            </w:r>
            <w:r>
              <w:rPr>
                <w:rFonts w:hint="eastAsia" w:ascii="Times New Roman" w:hAnsi="Times New Roman" w:eastAsia="宋体"/>
                <w:color w:val="auto"/>
                <w:szCs w:val="21"/>
                <w:lang w:val="en-US" w:eastAsia="zh-CN"/>
              </w:rPr>
              <w:t>暂存于</w:t>
            </w:r>
            <w:r>
              <w:rPr>
                <w:rFonts w:hint="eastAsia"/>
                <w:color w:val="auto"/>
                <w:szCs w:val="21"/>
                <w:lang w:val="en-US" w:eastAsia="zh-CN"/>
              </w:rPr>
              <w:t>厂内现有</w:t>
            </w:r>
            <w:r>
              <w:rPr>
                <w:rFonts w:hint="eastAsia" w:ascii="Times New Roman" w:hAnsi="Times New Roman" w:eastAsia="宋体"/>
                <w:color w:val="auto"/>
                <w:szCs w:val="21"/>
                <w:lang w:val="en-US" w:eastAsia="zh-CN"/>
              </w:rPr>
              <w:t>危废库，</w:t>
            </w:r>
            <w:r>
              <w:rPr>
                <w:rFonts w:hint="eastAsia"/>
                <w:color w:val="auto"/>
                <w:szCs w:val="21"/>
                <w:lang w:val="en-US" w:eastAsia="zh-CN"/>
              </w:rPr>
              <w:t>属于本公司许可处置危废范围，直接由</w:t>
            </w:r>
            <w:r>
              <w:rPr>
                <w:rFonts w:hint="eastAsia" w:cs="Times New Roman"/>
                <w:color w:val="auto"/>
                <w:kern w:val="0"/>
                <w:szCs w:val="21"/>
                <w:lang w:val="en-US" w:eastAsia="zh-CN"/>
              </w:rPr>
              <w:t>本</w:t>
            </w:r>
            <w:r>
              <w:rPr>
                <w:rFonts w:hint="eastAsia" w:ascii="Times New Roman" w:hAnsi="Times New Roman" w:eastAsia="宋体" w:cs="Times New Roman"/>
                <w:color w:val="auto"/>
                <w:kern w:val="0"/>
                <w:szCs w:val="21"/>
                <w:lang w:val="en-US" w:eastAsia="zh-CN"/>
              </w:rPr>
              <w:t>公司处置。</w:t>
            </w:r>
          </w:p>
          <w:p w14:paraId="0441B6D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（7）</w:t>
            </w:r>
            <w:r>
              <w:rPr>
                <w:rFonts w:hint="default" w:ascii="Times New Roman" w:hAnsi="Times New Roman" w:eastAsia="宋体" w:cs="Times New Roman"/>
                <w:color w:val="auto"/>
                <w:kern w:val="0"/>
                <w:szCs w:val="21"/>
                <w:lang w:val="en-US" w:eastAsia="zh-CN"/>
              </w:rPr>
              <w:t>UV光催化废灯管</w:t>
            </w:r>
          </w:p>
          <w:p w14:paraId="253AF37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项目废气处理设置光催化单元，使用UV灯管，灯管到达使用寿命后更换产生废UV灯管，废UV灯管产生量约0.009t/a，属于危险废物，HW29含汞废物，废物代码900-023-29，废气处理设施更换拆卸后，使用专用硬质密闭容器单独收集，暂存于厂区现有危废暂存库；本企业具备HW29类危险废物处置资质，产生的废UV灯管依托厂区现有危废处置能力自行处置。</w:t>
            </w:r>
          </w:p>
          <w:p w14:paraId="4840A71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r>
              <w:rPr>
                <w:rFonts w:hint="eastAsia" w:cs="Times New Roman"/>
                <w:color w:val="auto"/>
                <w:kern w:val="0"/>
                <w:szCs w:val="21"/>
                <w:lang w:val="en-US" w:eastAsia="zh-CN"/>
              </w:rPr>
              <w:t>8</w:t>
            </w:r>
            <w:r>
              <w:rPr>
                <w:rFonts w:hint="default" w:ascii="Times New Roman" w:hAnsi="Times New Roman" w:eastAsia="宋体" w:cs="Times New Roman"/>
                <w:color w:val="auto"/>
                <w:kern w:val="0"/>
                <w:szCs w:val="21"/>
                <w:lang w:val="en-US" w:eastAsia="zh-CN"/>
              </w:rPr>
              <w:t>）生活垃圾</w:t>
            </w:r>
          </w:p>
          <w:p w14:paraId="2C25E96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本</w:t>
            </w:r>
            <w:r>
              <w:rPr>
                <w:rFonts w:hint="default" w:ascii="Times New Roman" w:hAnsi="Times New Roman" w:eastAsia="宋体" w:cs="Times New Roman"/>
                <w:color w:val="auto"/>
                <w:kern w:val="0"/>
                <w:szCs w:val="21"/>
                <w:lang w:val="en-US" w:eastAsia="zh-CN"/>
              </w:rPr>
              <w:t>项目新增职工定员</w:t>
            </w:r>
            <w:r>
              <w:rPr>
                <w:rFonts w:hint="eastAsia" w:ascii="Times New Roman" w:hAnsi="Times New Roman" w:eastAsia="宋体" w:cs="Times New Roman"/>
                <w:color w:val="auto"/>
                <w:kern w:val="0"/>
                <w:szCs w:val="21"/>
                <w:lang w:val="en-US" w:eastAsia="zh-CN"/>
              </w:rPr>
              <w:t>2</w:t>
            </w:r>
            <w:r>
              <w:rPr>
                <w:rFonts w:hint="default" w:ascii="Times New Roman" w:hAnsi="Times New Roman" w:eastAsia="宋体" w:cs="Times New Roman"/>
                <w:color w:val="auto"/>
                <w:kern w:val="0"/>
                <w:szCs w:val="21"/>
                <w:lang w:val="en-US" w:eastAsia="zh-CN"/>
              </w:rPr>
              <w:t>0人，参照《第二次全国污染源普查城镇生活源产排污系数手册》，职工生活垃圾产生量以0.5kg/d计算，年工作300天，则生活垃圾产生量约为</w:t>
            </w:r>
            <w:r>
              <w:rPr>
                <w:rFonts w:hint="eastAsia" w:ascii="Times New Roman" w:hAnsi="Times New Roman" w:eastAsia="宋体" w:cs="Times New Roman"/>
                <w:color w:val="auto"/>
                <w:kern w:val="0"/>
                <w:szCs w:val="21"/>
                <w:lang w:val="en-US" w:eastAsia="zh-CN"/>
              </w:rPr>
              <w:t>3</w:t>
            </w:r>
            <w:r>
              <w:rPr>
                <w:rFonts w:hint="default" w:ascii="Times New Roman" w:hAnsi="Times New Roman" w:eastAsia="宋体" w:cs="Times New Roman"/>
                <w:color w:val="auto"/>
                <w:kern w:val="0"/>
                <w:szCs w:val="21"/>
                <w:lang w:val="en-US" w:eastAsia="zh-CN"/>
              </w:rPr>
              <w:t>t/a；产生的生活垃圾由环卫部门处理，日产日清。</w:t>
            </w:r>
          </w:p>
          <w:p w14:paraId="5A9605E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4.2固废处置措施</w:t>
            </w:r>
          </w:p>
          <w:p w14:paraId="7DA1804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项目营运期固体废物处置措施汇总表见表4-</w:t>
            </w:r>
            <w:r>
              <w:rPr>
                <w:rFonts w:hint="eastAsia" w:ascii="Times New Roman" w:hAnsi="Times New Roman" w:eastAsia="宋体" w:cs="Times New Roman"/>
                <w:color w:val="auto"/>
                <w:kern w:val="0"/>
                <w:szCs w:val="21"/>
                <w:lang w:val="en-US" w:eastAsia="zh-CN"/>
              </w:rPr>
              <w:t>9</w:t>
            </w:r>
            <w:r>
              <w:rPr>
                <w:rFonts w:hint="default" w:ascii="Times New Roman" w:hAnsi="Times New Roman" w:eastAsia="宋体" w:cs="Times New Roman"/>
                <w:color w:val="auto"/>
                <w:kern w:val="0"/>
                <w:szCs w:val="21"/>
                <w:lang w:val="en-US" w:eastAsia="zh-CN"/>
              </w:rPr>
              <w:t>。</w:t>
            </w:r>
          </w:p>
          <w:p w14:paraId="01115AB0">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zh-CN" w:eastAsia="zh-CN"/>
              </w:rPr>
            </w:pPr>
            <w:r>
              <w:rPr>
                <w:rFonts w:hint="default" w:ascii="Times New Roman" w:hAnsi="Times New Roman" w:eastAsia="宋体" w:cs="Times New Roman"/>
                <w:b/>
                <w:bCs/>
                <w:color w:val="auto"/>
                <w:sz w:val="24"/>
                <w:lang w:val="zh-CN" w:eastAsia="zh-CN"/>
              </w:rPr>
              <w:t>表4-</w:t>
            </w:r>
            <w:r>
              <w:rPr>
                <w:rFonts w:hint="eastAsia" w:ascii="Times New Roman" w:hAnsi="Times New Roman" w:eastAsia="宋体" w:cs="Times New Roman"/>
                <w:b/>
                <w:bCs/>
                <w:color w:val="auto"/>
                <w:sz w:val="24"/>
                <w:lang w:val="en-US" w:eastAsia="zh-CN"/>
              </w:rPr>
              <w:t>9</w:t>
            </w:r>
            <w:r>
              <w:rPr>
                <w:rFonts w:hint="default" w:ascii="Times New Roman" w:hAnsi="Times New Roman" w:eastAsia="宋体" w:cs="Times New Roman"/>
                <w:b/>
                <w:bCs/>
                <w:color w:val="auto"/>
                <w:sz w:val="24"/>
                <w:lang w:val="zh-CN" w:eastAsia="zh-CN"/>
              </w:rPr>
              <w:t>项目固体废物处置情况表</w:t>
            </w:r>
          </w:p>
          <w:tbl>
            <w:tblPr>
              <w:tblStyle w:val="24"/>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65"/>
              <w:gridCol w:w="1173"/>
              <w:gridCol w:w="663"/>
              <w:gridCol w:w="808"/>
              <w:gridCol w:w="724"/>
              <w:gridCol w:w="1002"/>
              <w:gridCol w:w="808"/>
              <w:gridCol w:w="921"/>
              <w:gridCol w:w="1016"/>
              <w:gridCol w:w="1040"/>
            </w:tblGrid>
            <w:tr w14:paraId="360CB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14" w:type="pct"/>
                  <w:noWrap w:val="0"/>
                  <w:vAlign w:val="center"/>
                </w:tcPr>
                <w:p w14:paraId="08CF71E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序号</w:t>
                  </w:r>
                </w:p>
              </w:tc>
              <w:tc>
                <w:tcPr>
                  <w:tcW w:w="688" w:type="pct"/>
                  <w:noWrap w:val="0"/>
                  <w:vAlign w:val="center"/>
                </w:tcPr>
                <w:p w14:paraId="371A435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固体废物名称</w:t>
                  </w:r>
                </w:p>
              </w:tc>
              <w:tc>
                <w:tcPr>
                  <w:tcW w:w="389" w:type="pct"/>
                  <w:noWrap w:val="0"/>
                  <w:vAlign w:val="center"/>
                </w:tcPr>
                <w:p w14:paraId="65FC432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属性</w:t>
                  </w:r>
                </w:p>
              </w:tc>
              <w:tc>
                <w:tcPr>
                  <w:tcW w:w="474" w:type="pct"/>
                  <w:noWrap w:val="0"/>
                  <w:vAlign w:val="center"/>
                </w:tcPr>
                <w:p w14:paraId="3153102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产生</w:t>
                  </w:r>
                </w:p>
                <w:p w14:paraId="0D5F8E0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工序</w:t>
                  </w:r>
                </w:p>
              </w:tc>
              <w:tc>
                <w:tcPr>
                  <w:tcW w:w="424" w:type="pct"/>
                  <w:noWrap w:val="0"/>
                  <w:vAlign w:val="center"/>
                </w:tcPr>
                <w:p w14:paraId="6AB0241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形态</w:t>
                  </w:r>
                </w:p>
              </w:tc>
              <w:tc>
                <w:tcPr>
                  <w:tcW w:w="588" w:type="pct"/>
                  <w:noWrap w:val="0"/>
                  <w:vAlign w:val="center"/>
                </w:tcPr>
                <w:p w14:paraId="7DAC479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主要</w:t>
                  </w:r>
                </w:p>
                <w:p w14:paraId="5A8C6AF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成分</w:t>
                  </w:r>
                </w:p>
              </w:tc>
              <w:tc>
                <w:tcPr>
                  <w:tcW w:w="474" w:type="pct"/>
                  <w:noWrap w:val="0"/>
                  <w:vAlign w:val="center"/>
                </w:tcPr>
                <w:p w14:paraId="6B6AC4D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废物</w:t>
                  </w:r>
                </w:p>
                <w:p w14:paraId="6D1878C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类别</w:t>
                  </w:r>
                </w:p>
              </w:tc>
              <w:tc>
                <w:tcPr>
                  <w:tcW w:w="540" w:type="pct"/>
                  <w:noWrap w:val="0"/>
                  <w:vAlign w:val="center"/>
                </w:tcPr>
                <w:p w14:paraId="254E5DE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废物</w:t>
                  </w:r>
                </w:p>
                <w:p w14:paraId="13AC424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代码</w:t>
                  </w:r>
                </w:p>
              </w:tc>
              <w:tc>
                <w:tcPr>
                  <w:tcW w:w="596" w:type="pct"/>
                  <w:noWrap w:val="0"/>
                  <w:vAlign w:val="center"/>
                </w:tcPr>
                <w:p w14:paraId="3438AB8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产生量（t/a）</w:t>
                  </w:r>
                </w:p>
              </w:tc>
              <w:tc>
                <w:tcPr>
                  <w:tcW w:w="610" w:type="pct"/>
                  <w:noWrap w:val="0"/>
                  <w:vAlign w:val="center"/>
                </w:tcPr>
                <w:p w14:paraId="06F83FE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利用处置方式</w:t>
                  </w:r>
                </w:p>
              </w:tc>
            </w:tr>
            <w:tr w14:paraId="225C2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214" w:type="pct"/>
                  <w:noWrap w:val="0"/>
                  <w:vAlign w:val="center"/>
                </w:tcPr>
                <w:p w14:paraId="64E30DC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1</w:t>
                  </w:r>
                </w:p>
              </w:tc>
              <w:tc>
                <w:tcPr>
                  <w:tcW w:w="688" w:type="pct"/>
                  <w:noWrap w:val="0"/>
                  <w:vAlign w:val="center"/>
                </w:tcPr>
                <w:p w14:paraId="54DFC45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塑料生产废料</w:t>
                  </w:r>
                </w:p>
              </w:tc>
              <w:tc>
                <w:tcPr>
                  <w:tcW w:w="389" w:type="pct"/>
                  <w:noWrap w:val="0"/>
                  <w:vAlign w:val="center"/>
                </w:tcPr>
                <w:p w14:paraId="77EE55E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一般固废</w:t>
                  </w:r>
                </w:p>
              </w:tc>
              <w:tc>
                <w:tcPr>
                  <w:tcW w:w="474" w:type="pct"/>
                  <w:noWrap w:val="0"/>
                  <w:vAlign w:val="center"/>
                </w:tcPr>
                <w:p w14:paraId="1937E81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吹塑成型</w:t>
                  </w:r>
                </w:p>
              </w:tc>
              <w:tc>
                <w:tcPr>
                  <w:tcW w:w="424" w:type="pct"/>
                  <w:noWrap w:val="0"/>
                  <w:vAlign w:val="center"/>
                </w:tcPr>
                <w:p w14:paraId="6A60EB0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固态</w:t>
                  </w:r>
                </w:p>
              </w:tc>
              <w:tc>
                <w:tcPr>
                  <w:tcW w:w="588" w:type="pct"/>
                  <w:noWrap w:val="0"/>
                  <w:vAlign w:val="center"/>
                </w:tcPr>
                <w:p w14:paraId="487BD61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塑料</w:t>
                  </w:r>
                  <w:r>
                    <w:rPr>
                      <w:rFonts w:hint="eastAsia" w:ascii="Times New Roman" w:hAnsi="Times New Roman" w:eastAsia="宋体"/>
                      <w:color w:val="auto"/>
                      <w:sz w:val="21"/>
                      <w:szCs w:val="21"/>
                      <w:lang w:val="en-US" w:eastAsia="zh-CN"/>
                    </w:rPr>
                    <w:t>、废桶</w:t>
                  </w:r>
                </w:p>
              </w:tc>
              <w:tc>
                <w:tcPr>
                  <w:tcW w:w="474" w:type="pct"/>
                  <w:noWrap w:val="0"/>
                  <w:vAlign w:val="center"/>
                </w:tcPr>
                <w:p w14:paraId="2EE3565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w:t>
                  </w:r>
                </w:p>
              </w:tc>
              <w:tc>
                <w:tcPr>
                  <w:tcW w:w="540" w:type="pct"/>
                  <w:noWrap w:val="0"/>
                  <w:vAlign w:val="center"/>
                </w:tcPr>
                <w:p w14:paraId="5196FF4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w:t>
                  </w:r>
                </w:p>
              </w:tc>
              <w:tc>
                <w:tcPr>
                  <w:tcW w:w="596" w:type="pct"/>
                  <w:noWrap w:val="0"/>
                  <w:vAlign w:val="center"/>
                </w:tcPr>
                <w:p w14:paraId="52AD917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272</w:t>
                  </w:r>
                </w:p>
              </w:tc>
              <w:tc>
                <w:tcPr>
                  <w:tcW w:w="610" w:type="pct"/>
                  <w:noWrap w:val="0"/>
                  <w:vAlign w:val="center"/>
                </w:tcPr>
                <w:p w14:paraId="04395F2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内部回收利用</w:t>
                  </w:r>
                </w:p>
              </w:tc>
            </w:tr>
            <w:tr w14:paraId="0B82F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214" w:type="pct"/>
                  <w:noWrap w:val="0"/>
                  <w:vAlign w:val="center"/>
                </w:tcPr>
                <w:p w14:paraId="47CA09F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2</w:t>
                  </w:r>
                </w:p>
              </w:tc>
              <w:tc>
                <w:tcPr>
                  <w:tcW w:w="688" w:type="pct"/>
                  <w:noWrap w:val="0"/>
                  <w:vAlign w:val="center"/>
                </w:tcPr>
                <w:p w14:paraId="50A19C5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钢材切割废料</w:t>
                  </w:r>
                </w:p>
              </w:tc>
              <w:tc>
                <w:tcPr>
                  <w:tcW w:w="389" w:type="pct"/>
                  <w:noWrap w:val="0"/>
                  <w:vAlign w:val="center"/>
                </w:tcPr>
                <w:p w14:paraId="0FC4546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一般固废</w:t>
                  </w:r>
                </w:p>
              </w:tc>
              <w:tc>
                <w:tcPr>
                  <w:tcW w:w="474" w:type="pct"/>
                  <w:noWrap w:val="0"/>
                  <w:vAlign w:val="center"/>
                </w:tcPr>
                <w:p w14:paraId="4AC994F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IBC金属框架的加工</w:t>
                  </w:r>
                </w:p>
              </w:tc>
              <w:tc>
                <w:tcPr>
                  <w:tcW w:w="424" w:type="pct"/>
                  <w:noWrap w:val="0"/>
                  <w:vAlign w:val="center"/>
                </w:tcPr>
                <w:p w14:paraId="50B998C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固态</w:t>
                  </w:r>
                </w:p>
              </w:tc>
              <w:tc>
                <w:tcPr>
                  <w:tcW w:w="588" w:type="pct"/>
                  <w:noWrap w:val="0"/>
                  <w:vAlign w:val="center"/>
                </w:tcPr>
                <w:p w14:paraId="0400D44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管头、废料段</w:t>
                  </w:r>
                </w:p>
              </w:tc>
              <w:tc>
                <w:tcPr>
                  <w:tcW w:w="474" w:type="pct"/>
                  <w:noWrap w:val="0"/>
                  <w:vAlign w:val="center"/>
                </w:tcPr>
                <w:p w14:paraId="7624BEE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w:t>
                  </w:r>
                </w:p>
              </w:tc>
              <w:tc>
                <w:tcPr>
                  <w:tcW w:w="540" w:type="pct"/>
                  <w:noWrap w:val="0"/>
                  <w:vAlign w:val="center"/>
                </w:tcPr>
                <w:p w14:paraId="2449475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w:t>
                  </w:r>
                </w:p>
              </w:tc>
              <w:tc>
                <w:tcPr>
                  <w:tcW w:w="596" w:type="pct"/>
                  <w:noWrap w:val="0"/>
                  <w:vAlign w:val="center"/>
                </w:tcPr>
                <w:p w14:paraId="575D745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320</w:t>
                  </w:r>
                </w:p>
              </w:tc>
              <w:tc>
                <w:tcPr>
                  <w:tcW w:w="610" w:type="pct"/>
                  <w:noWrap w:val="0"/>
                  <w:vAlign w:val="center"/>
                </w:tcPr>
                <w:p w14:paraId="765180E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外售综合利用</w:t>
                  </w:r>
                </w:p>
              </w:tc>
            </w:tr>
            <w:tr w14:paraId="501B5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14" w:type="pct"/>
                  <w:noWrap w:val="0"/>
                  <w:vAlign w:val="center"/>
                </w:tcPr>
                <w:p w14:paraId="0F9099A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w:t>
                  </w:r>
                </w:p>
              </w:tc>
              <w:tc>
                <w:tcPr>
                  <w:tcW w:w="688" w:type="pct"/>
                  <w:noWrap w:val="0"/>
                  <w:vAlign w:val="center"/>
                </w:tcPr>
                <w:p w14:paraId="1C23328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除尘器收集粉尘</w:t>
                  </w:r>
                </w:p>
              </w:tc>
              <w:tc>
                <w:tcPr>
                  <w:tcW w:w="389" w:type="pct"/>
                  <w:noWrap w:val="0"/>
                  <w:vAlign w:val="center"/>
                </w:tcPr>
                <w:p w14:paraId="28788F0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一般固废</w:t>
                  </w:r>
                </w:p>
              </w:tc>
              <w:tc>
                <w:tcPr>
                  <w:tcW w:w="474" w:type="pct"/>
                  <w:noWrap w:val="0"/>
                  <w:vAlign w:val="center"/>
                </w:tcPr>
                <w:p w14:paraId="2CF92E8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废气处理</w:t>
                  </w:r>
                </w:p>
              </w:tc>
              <w:tc>
                <w:tcPr>
                  <w:tcW w:w="424" w:type="pct"/>
                  <w:noWrap w:val="0"/>
                  <w:vAlign w:val="center"/>
                </w:tcPr>
                <w:p w14:paraId="574A660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固态</w:t>
                  </w:r>
                </w:p>
              </w:tc>
              <w:tc>
                <w:tcPr>
                  <w:tcW w:w="588" w:type="pct"/>
                  <w:noWrap w:val="0"/>
                  <w:vAlign w:val="center"/>
                </w:tcPr>
                <w:p w14:paraId="2B5BF9D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焊接、</w:t>
                  </w:r>
                  <w:r>
                    <w:rPr>
                      <w:rFonts w:hint="default" w:ascii="Times New Roman" w:hAnsi="Times New Roman" w:eastAsia="宋体"/>
                      <w:color w:val="auto"/>
                      <w:sz w:val="21"/>
                      <w:szCs w:val="21"/>
                      <w:lang w:val="en-US" w:eastAsia="zh-CN"/>
                    </w:rPr>
                    <w:t>塑料粉尘</w:t>
                  </w:r>
                </w:p>
              </w:tc>
              <w:tc>
                <w:tcPr>
                  <w:tcW w:w="474" w:type="pct"/>
                  <w:noWrap w:val="0"/>
                  <w:vAlign w:val="center"/>
                </w:tcPr>
                <w:p w14:paraId="79BA09F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540" w:type="pct"/>
                  <w:noWrap w:val="0"/>
                  <w:vAlign w:val="center"/>
                </w:tcPr>
                <w:p w14:paraId="0FBB94B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596" w:type="pct"/>
                  <w:noWrap w:val="0"/>
                  <w:vAlign w:val="center"/>
                </w:tcPr>
                <w:p w14:paraId="077BC65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18</w:t>
                  </w:r>
                </w:p>
              </w:tc>
              <w:tc>
                <w:tcPr>
                  <w:tcW w:w="610" w:type="pct"/>
                  <w:noWrap w:val="0"/>
                  <w:vAlign w:val="center"/>
                </w:tcPr>
                <w:p w14:paraId="4C260BB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外售综合利用</w:t>
                  </w:r>
                </w:p>
              </w:tc>
            </w:tr>
            <w:tr w14:paraId="2157A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14" w:type="pct"/>
                  <w:noWrap w:val="0"/>
                  <w:vAlign w:val="center"/>
                </w:tcPr>
                <w:p w14:paraId="6B3B966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w:t>
                  </w:r>
                </w:p>
              </w:tc>
              <w:tc>
                <w:tcPr>
                  <w:tcW w:w="688" w:type="pct"/>
                  <w:noWrap w:val="0"/>
                  <w:vAlign w:val="center"/>
                </w:tcPr>
                <w:p w14:paraId="74606B7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废机油、废润滑油</w:t>
                  </w:r>
                </w:p>
              </w:tc>
              <w:tc>
                <w:tcPr>
                  <w:tcW w:w="389" w:type="pct"/>
                  <w:noWrap w:val="0"/>
                  <w:vAlign w:val="center"/>
                </w:tcPr>
                <w:p w14:paraId="780634A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危险废物</w:t>
                  </w:r>
                </w:p>
              </w:tc>
              <w:tc>
                <w:tcPr>
                  <w:tcW w:w="474" w:type="pct"/>
                  <w:noWrap w:val="0"/>
                  <w:vAlign w:val="center"/>
                </w:tcPr>
                <w:p w14:paraId="149A581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设备的日常维护</w:t>
                  </w:r>
                </w:p>
              </w:tc>
              <w:tc>
                <w:tcPr>
                  <w:tcW w:w="424" w:type="pct"/>
                  <w:noWrap w:val="0"/>
                  <w:vAlign w:val="center"/>
                </w:tcPr>
                <w:p w14:paraId="5AF91C1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液</w:t>
                  </w:r>
                  <w:r>
                    <w:rPr>
                      <w:rFonts w:hint="default" w:ascii="Times New Roman" w:hAnsi="Times New Roman" w:eastAsia="宋体"/>
                      <w:color w:val="auto"/>
                      <w:sz w:val="21"/>
                      <w:szCs w:val="21"/>
                      <w:lang w:val="en-US" w:eastAsia="zh-CN"/>
                    </w:rPr>
                    <w:t>态</w:t>
                  </w:r>
                </w:p>
              </w:tc>
              <w:tc>
                <w:tcPr>
                  <w:tcW w:w="588" w:type="pct"/>
                  <w:noWrap w:val="0"/>
                  <w:vAlign w:val="center"/>
                </w:tcPr>
                <w:p w14:paraId="004869E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润滑油</w:t>
                  </w:r>
                </w:p>
              </w:tc>
              <w:tc>
                <w:tcPr>
                  <w:tcW w:w="474" w:type="pct"/>
                  <w:noWrap w:val="0"/>
                  <w:vAlign w:val="center"/>
                </w:tcPr>
                <w:p w14:paraId="3433628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HW08</w:t>
                  </w:r>
                </w:p>
              </w:tc>
              <w:tc>
                <w:tcPr>
                  <w:tcW w:w="540" w:type="pct"/>
                  <w:noWrap w:val="0"/>
                  <w:vAlign w:val="center"/>
                </w:tcPr>
                <w:p w14:paraId="3BAFDD3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900-217-08</w:t>
                  </w:r>
                </w:p>
              </w:tc>
              <w:tc>
                <w:tcPr>
                  <w:tcW w:w="596" w:type="pct"/>
                  <w:noWrap w:val="0"/>
                  <w:vAlign w:val="center"/>
                </w:tcPr>
                <w:p w14:paraId="74C9AD7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w:t>
                  </w:r>
                </w:p>
              </w:tc>
              <w:tc>
                <w:tcPr>
                  <w:tcW w:w="610" w:type="pct"/>
                  <w:noWrap w:val="0"/>
                  <w:vAlign w:val="center"/>
                </w:tcPr>
                <w:p w14:paraId="153F2B1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本公司处置</w:t>
                  </w:r>
                </w:p>
              </w:tc>
            </w:tr>
            <w:tr w14:paraId="07705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14" w:type="pct"/>
                  <w:noWrap w:val="0"/>
                  <w:vAlign w:val="center"/>
                </w:tcPr>
                <w:p w14:paraId="34238EA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w:t>
                  </w:r>
                </w:p>
              </w:tc>
              <w:tc>
                <w:tcPr>
                  <w:tcW w:w="688" w:type="pct"/>
                  <w:noWrap w:val="0"/>
                  <w:vAlign w:val="center"/>
                </w:tcPr>
                <w:p w14:paraId="56DC53A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废活性炭</w:t>
                  </w:r>
                </w:p>
              </w:tc>
              <w:tc>
                <w:tcPr>
                  <w:tcW w:w="389" w:type="pct"/>
                  <w:noWrap w:val="0"/>
                  <w:vAlign w:val="center"/>
                </w:tcPr>
                <w:p w14:paraId="055C28E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危险废物</w:t>
                  </w:r>
                </w:p>
              </w:tc>
              <w:tc>
                <w:tcPr>
                  <w:tcW w:w="474" w:type="pct"/>
                  <w:shd w:val="clear" w:color="auto" w:fill="auto"/>
                  <w:noWrap w:val="0"/>
                  <w:vAlign w:val="center"/>
                </w:tcPr>
                <w:p w14:paraId="789EDCC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废气处理</w:t>
                  </w:r>
                </w:p>
              </w:tc>
              <w:tc>
                <w:tcPr>
                  <w:tcW w:w="424" w:type="pct"/>
                  <w:noWrap w:val="0"/>
                  <w:vAlign w:val="center"/>
                </w:tcPr>
                <w:p w14:paraId="6D10BDA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固态</w:t>
                  </w:r>
                </w:p>
              </w:tc>
              <w:tc>
                <w:tcPr>
                  <w:tcW w:w="588" w:type="pct"/>
                  <w:noWrap w:val="0"/>
                  <w:vAlign w:val="center"/>
                </w:tcPr>
                <w:p w14:paraId="618CE21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活性炭挥发性有机物</w:t>
                  </w:r>
                </w:p>
              </w:tc>
              <w:tc>
                <w:tcPr>
                  <w:tcW w:w="474" w:type="pct"/>
                  <w:noWrap w:val="0"/>
                  <w:vAlign w:val="center"/>
                </w:tcPr>
                <w:p w14:paraId="457E315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HW49</w:t>
                  </w:r>
                </w:p>
              </w:tc>
              <w:tc>
                <w:tcPr>
                  <w:tcW w:w="540" w:type="pct"/>
                  <w:noWrap w:val="0"/>
                  <w:vAlign w:val="center"/>
                </w:tcPr>
                <w:p w14:paraId="5AF1B15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900-039-49</w:t>
                  </w:r>
                </w:p>
              </w:tc>
              <w:tc>
                <w:tcPr>
                  <w:tcW w:w="596" w:type="pct"/>
                  <w:noWrap w:val="0"/>
                  <w:vAlign w:val="center"/>
                </w:tcPr>
                <w:p w14:paraId="63D80E7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10.32</w:t>
                  </w:r>
                </w:p>
              </w:tc>
              <w:tc>
                <w:tcPr>
                  <w:tcW w:w="610" w:type="pct"/>
                  <w:noWrap w:val="0"/>
                  <w:vAlign w:val="center"/>
                </w:tcPr>
                <w:p w14:paraId="1A20475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本公司处置</w:t>
                  </w:r>
                </w:p>
              </w:tc>
            </w:tr>
            <w:tr w14:paraId="0BBCA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14" w:type="pct"/>
                  <w:noWrap w:val="0"/>
                  <w:vAlign w:val="center"/>
                </w:tcPr>
                <w:p w14:paraId="199804C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bookmarkStart w:id="6" w:name="_Toc181420931"/>
                  <w:r>
                    <w:rPr>
                      <w:rFonts w:hint="eastAsia" w:ascii="Times New Roman" w:hAnsi="Times New Roman" w:eastAsia="宋体"/>
                      <w:color w:val="auto"/>
                      <w:sz w:val="21"/>
                      <w:szCs w:val="21"/>
                      <w:lang w:val="en-US" w:eastAsia="zh-CN"/>
                    </w:rPr>
                    <w:t>6</w:t>
                  </w:r>
                </w:p>
              </w:tc>
              <w:tc>
                <w:tcPr>
                  <w:tcW w:w="688" w:type="pct"/>
                  <w:noWrap w:val="0"/>
                  <w:vAlign w:val="center"/>
                </w:tcPr>
                <w:p w14:paraId="602F593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废模具清洗</w:t>
                  </w:r>
                  <w:r>
                    <w:rPr>
                      <w:rFonts w:hint="eastAsia"/>
                      <w:color w:val="auto"/>
                      <w:sz w:val="21"/>
                      <w:szCs w:val="21"/>
                      <w:lang w:val="en-US" w:eastAsia="zh-CN"/>
                    </w:rPr>
                    <w:t>液</w:t>
                  </w:r>
                </w:p>
              </w:tc>
              <w:tc>
                <w:tcPr>
                  <w:tcW w:w="389" w:type="pct"/>
                  <w:noWrap w:val="0"/>
                  <w:vAlign w:val="center"/>
                </w:tcPr>
                <w:p w14:paraId="6E8CDA1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危险废物</w:t>
                  </w:r>
                </w:p>
              </w:tc>
              <w:tc>
                <w:tcPr>
                  <w:tcW w:w="474" w:type="pct"/>
                  <w:noWrap w:val="0"/>
                  <w:vAlign w:val="center"/>
                </w:tcPr>
                <w:p w14:paraId="0352870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定期清洗吹塑模具</w:t>
                  </w:r>
                </w:p>
              </w:tc>
              <w:tc>
                <w:tcPr>
                  <w:tcW w:w="424" w:type="pct"/>
                  <w:noWrap w:val="0"/>
                  <w:vAlign w:val="center"/>
                </w:tcPr>
                <w:p w14:paraId="3C29442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液</w:t>
                  </w:r>
                  <w:r>
                    <w:rPr>
                      <w:rFonts w:hint="default" w:ascii="Times New Roman" w:hAnsi="Times New Roman" w:eastAsia="宋体"/>
                      <w:color w:val="auto"/>
                      <w:sz w:val="21"/>
                      <w:szCs w:val="21"/>
                      <w:lang w:val="en-US" w:eastAsia="zh-CN"/>
                    </w:rPr>
                    <w:t>态</w:t>
                  </w:r>
                </w:p>
              </w:tc>
              <w:tc>
                <w:tcPr>
                  <w:tcW w:w="588" w:type="pct"/>
                  <w:noWrap w:val="0"/>
                  <w:vAlign w:val="center"/>
                </w:tcPr>
                <w:p w14:paraId="1448846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废清洗液</w:t>
                  </w:r>
                </w:p>
              </w:tc>
              <w:tc>
                <w:tcPr>
                  <w:tcW w:w="474" w:type="pct"/>
                  <w:noWrap w:val="0"/>
                  <w:vAlign w:val="center"/>
                </w:tcPr>
                <w:p w14:paraId="616E51C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HW06</w:t>
                  </w:r>
                </w:p>
              </w:tc>
              <w:tc>
                <w:tcPr>
                  <w:tcW w:w="540" w:type="pct"/>
                  <w:noWrap w:val="0"/>
                  <w:vAlign w:val="center"/>
                </w:tcPr>
                <w:p w14:paraId="63D6ACF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900-402-06</w:t>
                  </w:r>
                </w:p>
              </w:tc>
              <w:tc>
                <w:tcPr>
                  <w:tcW w:w="596" w:type="pct"/>
                  <w:noWrap w:val="0"/>
                  <w:vAlign w:val="center"/>
                </w:tcPr>
                <w:p w14:paraId="2CE3AE4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c>
                <w:tcPr>
                  <w:tcW w:w="610" w:type="pct"/>
                  <w:noWrap w:val="0"/>
                  <w:vAlign w:val="center"/>
                </w:tcPr>
                <w:p w14:paraId="0F831F2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本公司处置</w:t>
                  </w:r>
                </w:p>
              </w:tc>
            </w:tr>
            <w:tr w14:paraId="620C9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14" w:type="pct"/>
                  <w:noWrap w:val="0"/>
                  <w:vAlign w:val="center"/>
                </w:tcPr>
                <w:p w14:paraId="626E209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7</w:t>
                  </w:r>
                </w:p>
              </w:tc>
              <w:tc>
                <w:tcPr>
                  <w:tcW w:w="688" w:type="pct"/>
                  <w:noWrap w:val="0"/>
                  <w:vAlign w:val="center"/>
                </w:tcPr>
                <w:p w14:paraId="6A9CE85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UV光催化废灯管</w:t>
                  </w:r>
                </w:p>
              </w:tc>
              <w:tc>
                <w:tcPr>
                  <w:tcW w:w="389" w:type="pct"/>
                  <w:noWrap w:val="0"/>
                  <w:vAlign w:val="center"/>
                </w:tcPr>
                <w:p w14:paraId="4379831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危险废物</w:t>
                  </w:r>
                </w:p>
              </w:tc>
              <w:tc>
                <w:tcPr>
                  <w:tcW w:w="474" w:type="pct"/>
                  <w:noWrap w:val="0"/>
                  <w:vAlign w:val="center"/>
                </w:tcPr>
                <w:p w14:paraId="4E81440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废气处理</w:t>
                  </w:r>
                </w:p>
              </w:tc>
              <w:tc>
                <w:tcPr>
                  <w:tcW w:w="424" w:type="pct"/>
                  <w:noWrap w:val="0"/>
                  <w:vAlign w:val="center"/>
                </w:tcPr>
                <w:p w14:paraId="567CFD3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w:t>
                  </w:r>
                </w:p>
              </w:tc>
              <w:tc>
                <w:tcPr>
                  <w:tcW w:w="588" w:type="pct"/>
                  <w:shd w:val="clear" w:color="auto" w:fill="auto"/>
                  <w:noWrap w:val="0"/>
                  <w:vAlign w:val="center"/>
                </w:tcPr>
                <w:p w14:paraId="3542452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UV光催化废灯管</w:t>
                  </w:r>
                </w:p>
              </w:tc>
              <w:tc>
                <w:tcPr>
                  <w:tcW w:w="474" w:type="pct"/>
                  <w:noWrap w:val="0"/>
                  <w:vAlign w:val="center"/>
                </w:tcPr>
                <w:p w14:paraId="782AF3B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HW29</w:t>
                  </w:r>
                </w:p>
              </w:tc>
              <w:tc>
                <w:tcPr>
                  <w:tcW w:w="540" w:type="pct"/>
                  <w:noWrap w:val="0"/>
                  <w:vAlign w:val="center"/>
                </w:tcPr>
                <w:p w14:paraId="2147FB2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900-023-29</w:t>
                  </w:r>
                </w:p>
              </w:tc>
              <w:tc>
                <w:tcPr>
                  <w:tcW w:w="596" w:type="pct"/>
                  <w:noWrap w:val="0"/>
                  <w:vAlign w:val="center"/>
                </w:tcPr>
                <w:p w14:paraId="27A0068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0.009</w:t>
                  </w:r>
                </w:p>
              </w:tc>
              <w:tc>
                <w:tcPr>
                  <w:tcW w:w="610" w:type="pct"/>
                  <w:noWrap w:val="0"/>
                  <w:vAlign w:val="center"/>
                </w:tcPr>
                <w:p w14:paraId="6DF19B1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本公司处置</w:t>
                  </w:r>
                </w:p>
              </w:tc>
            </w:tr>
            <w:tr w14:paraId="37A04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14" w:type="pct"/>
                  <w:shd w:val="clear"/>
                  <w:noWrap w:val="0"/>
                  <w:vAlign w:val="center"/>
                </w:tcPr>
                <w:p w14:paraId="5D8506D8">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8</w:t>
                  </w:r>
                </w:p>
              </w:tc>
              <w:tc>
                <w:tcPr>
                  <w:tcW w:w="688" w:type="pct"/>
                  <w:shd w:val="clear"/>
                  <w:noWrap w:val="0"/>
                  <w:vAlign w:val="center"/>
                </w:tcPr>
                <w:p w14:paraId="34504C20">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eastAsia="zh-CN"/>
                    </w:rPr>
                    <w:t>生活垃圾</w:t>
                  </w:r>
                </w:p>
              </w:tc>
              <w:tc>
                <w:tcPr>
                  <w:tcW w:w="389" w:type="pct"/>
                  <w:shd w:val="clear"/>
                  <w:noWrap w:val="0"/>
                  <w:vAlign w:val="center"/>
                </w:tcPr>
                <w:p w14:paraId="4700FE82">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生活垃圾</w:t>
                  </w:r>
                </w:p>
              </w:tc>
              <w:tc>
                <w:tcPr>
                  <w:tcW w:w="474" w:type="pct"/>
                  <w:shd w:val="clear"/>
                  <w:noWrap w:val="0"/>
                  <w:vAlign w:val="center"/>
                </w:tcPr>
                <w:p w14:paraId="39A91967">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eastAsia="zh-CN"/>
                    </w:rPr>
                    <w:t>职工生活</w:t>
                  </w:r>
                </w:p>
              </w:tc>
              <w:tc>
                <w:tcPr>
                  <w:tcW w:w="424" w:type="pct"/>
                  <w:shd w:val="clear"/>
                  <w:noWrap w:val="0"/>
                  <w:vAlign w:val="center"/>
                </w:tcPr>
                <w:p w14:paraId="17CD7B8E">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eastAsia="zh-CN"/>
                    </w:rPr>
                    <w:t>固态</w:t>
                  </w:r>
                </w:p>
              </w:tc>
              <w:tc>
                <w:tcPr>
                  <w:tcW w:w="588" w:type="pct"/>
                  <w:shd w:val="clear" w:color="auto" w:fill="auto"/>
                  <w:noWrap w:val="0"/>
                  <w:vAlign w:val="center"/>
                </w:tcPr>
                <w:p w14:paraId="74DD0C47">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eastAsia="zh-CN"/>
                    </w:rPr>
                    <w:t>生活垃圾</w:t>
                  </w:r>
                </w:p>
              </w:tc>
              <w:tc>
                <w:tcPr>
                  <w:tcW w:w="474" w:type="pct"/>
                  <w:shd w:val="clear"/>
                  <w:noWrap w:val="0"/>
                  <w:vAlign w:val="center"/>
                </w:tcPr>
                <w:p w14:paraId="5E3D18F0">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eastAsia="zh-CN"/>
                    </w:rPr>
                    <w:t>/</w:t>
                  </w:r>
                </w:p>
              </w:tc>
              <w:tc>
                <w:tcPr>
                  <w:tcW w:w="540" w:type="pct"/>
                  <w:shd w:val="clear"/>
                  <w:noWrap w:val="0"/>
                  <w:vAlign w:val="center"/>
                </w:tcPr>
                <w:p w14:paraId="6A05B1A0">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eastAsia="zh-CN"/>
                    </w:rPr>
                    <w:t>/</w:t>
                  </w:r>
                </w:p>
              </w:tc>
              <w:tc>
                <w:tcPr>
                  <w:tcW w:w="596" w:type="pct"/>
                  <w:shd w:val="clear"/>
                  <w:noWrap w:val="0"/>
                  <w:vAlign w:val="center"/>
                </w:tcPr>
                <w:p w14:paraId="003C303B">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3</w:t>
                  </w:r>
                </w:p>
              </w:tc>
              <w:tc>
                <w:tcPr>
                  <w:tcW w:w="610" w:type="pct"/>
                  <w:shd w:val="clear"/>
                  <w:noWrap w:val="0"/>
                  <w:vAlign w:val="center"/>
                </w:tcPr>
                <w:p w14:paraId="38B7BCB6">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eastAsia="zh-CN"/>
                    </w:rPr>
                    <w:t>委托环卫部门定期清运</w:t>
                  </w:r>
                </w:p>
              </w:tc>
            </w:tr>
          </w:tbl>
          <w:p w14:paraId="30A2B58B">
            <w:pPr>
              <w:keepNext w:val="0"/>
              <w:keepLines w:val="0"/>
              <w:pageBreakBefore w:val="0"/>
              <w:suppressLineNumbers w:val="0"/>
              <w:kinsoku/>
              <w:wordWrap/>
              <w:overflowPunct/>
              <w:bidi w:val="0"/>
              <w:spacing w:before="0" w:beforeAutospacing="0" w:after="0" w:afterLines="0" w:afterAutospacing="0" w:line="276" w:lineRule="auto"/>
              <w:ind w:left="0" w:right="0" w:firstLine="480" w:firstLineChars="200"/>
              <w:textAlignment w:val="auto"/>
              <w:rPr>
                <w:rFonts w:hint="default" w:ascii="Times New Roman" w:hAnsi="Times New Roman" w:eastAsia="宋体"/>
                <w:bCs/>
                <w:color w:val="auto"/>
                <w:szCs w:val="21"/>
              </w:rPr>
            </w:pPr>
          </w:p>
          <w:p w14:paraId="60581EC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4.3固体废物影响分析</w:t>
            </w:r>
            <w:bookmarkEnd w:id="6"/>
          </w:p>
          <w:p w14:paraId="75E7C3E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（1）建设项目一般工业固废暂存场所分析</w:t>
            </w:r>
          </w:p>
          <w:p w14:paraId="4B0AF81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项目根据《一般工业固体废物贮存、处置场污染控制标准》（GB18599-20</w:t>
            </w:r>
            <w:r>
              <w:rPr>
                <w:rFonts w:hint="eastAsia" w:ascii="Times New Roman" w:hAnsi="Times New Roman" w:eastAsia="宋体" w:cs="Times New Roman"/>
                <w:color w:val="auto"/>
                <w:szCs w:val="21"/>
                <w:lang w:val="en-US" w:eastAsia="zh-CN"/>
              </w:rPr>
              <w:t>13</w:t>
            </w:r>
            <w:r>
              <w:rPr>
                <w:rFonts w:hint="default" w:ascii="Times New Roman" w:hAnsi="Times New Roman" w:eastAsia="宋体" w:cs="Times New Roman"/>
                <w:color w:val="auto"/>
                <w:szCs w:val="21"/>
                <w:lang w:val="en-US" w:eastAsia="zh-CN"/>
              </w:rPr>
              <w:t>）及其修改单，项目设有生活垃圾收集点，生活垃圾、化粪池污泥由环卫部门统一清运，日产日清。</w:t>
            </w:r>
          </w:p>
          <w:p w14:paraId="42408A8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厂区内一般固废临时贮存应注意以下几点：</w:t>
            </w:r>
          </w:p>
          <w:p w14:paraId="51BA4EF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①</w:t>
            </w:r>
            <w:r>
              <w:rPr>
                <w:rFonts w:hint="default" w:ascii="Times New Roman" w:hAnsi="Times New Roman" w:eastAsia="宋体" w:cs="Times New Roman"/>
                <w:color w:val="auto"/>
                <w:szCs w:val="21"/>
                <w:lang w:val="en-US" w:eastAsia="zh-CN"/>
              </w:rPr>
              <w:t>对固体废物实行从产生、收集、运输、贮存直至最终处理实行全过程管理，加强固体废物运输过程的事故风险防范，按照有关法律、法规的要求，对固体废弃物全过程管理应报当地环保行政主管部门等批准。</w:t>
            </w:r>
          </w:p>
          <w:p w14:paraId="7DB6AAB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②</w:t>
            </w:r>
            <w:r>
              <w:rPr>
                <w:rFonts w:hint="default" w:ascii="Times New Roman" w:hAnsi="Times New Roman" w:eastAsia="宋体" w:cs="Times New Roman"/>
                <w:color w:val="auto"/>
                <w:szCs w:val="21"/>
                <w:lang w:val="en-US" w:eastAsia="zh-CN"/>
              </w:rPr>
              <w:t>加强固体废物规范化管理，固体废物分类定点堆放。</w:t>
            </w:r>
          </w:p>
          <w:p w14:paraId="0563917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③</w:t>
            </w:r>
            <w:r>
              <w:rPr>
                <w:rFonts w:hint="default" w:ascii="Times New Roman" w:hAnsi="Times New Roman" w:eastAsia="宋体" w:cs="Times New Roman"/>
                <w:color w:val="auto"/>
                <w:szCs w:val="21"/>
                <w:lang w:val="en-US" w:eastAsia="zh-CN"/>
              </w:rPr>
              <w:t>生活垃圾及时清运，避免产生二次污染。</w:t>
            </w:r>
          </w:p>
          <w:p w14:paraId="2F6D4F7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（2）建设项目危险固废影响分析</w:t>
            </w:r>
          </w:p>
          <w:p w14:paraId="19C4E6E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①</w:t>
            </w:r>
            <w:r>
              <w:rPr>
                <w:rFonts w:hint="default" w:ascii="Times New Roman" w:hAnsi="Times New Roman" w:eastAsia="宋体" w:cs="Times New Roman"/>
                <w:color w:val="auto"/>
                <w:szCs w:val="21"/>
                <w:lang w:val="en-US" w:eastAsia="zh-CN"/>
              </w:rPr>
              <w:t>危废暂存</w:t>
            </w:r>
            <w:r>
              <w:rPr>
                <w:rFonts w:hint="eastAsia" w:ascii="Times New Roman" w:hAnsi="Times New Roman" w:eastAsia="宋体" w:cs="Times New Roman"/>
                <w:color w:val="auto"/>
                <w:szCs w:val="21"/>
                <w:lang w:val="en-US" w:eastAsia="zh-CN"/>
              </w:rPr>
              <w:t>库</w:t>
            </w:r>
            <w:r>
              <w:rPr>
                <w:rFonts w:hint="default" w:ascii="Times New Roman" w:hAnsi="Times New Roman" w:eastAsia="宋体" w:cs="Times New Roman"/>
                <w:color w:val="auto"/>
                <w:szCs w:val="21"/>
                <w:lang w:val="en-US" w:eastAsia="zh-CN"/>
              </w:rPr>
              <w:t>建设情况</w:t>
            </w:r>
          </w:p>
          <w:p w14:paraId="02270D1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厂区内现有危废暂存间建设均</w:t>
            </w:r>
            <w:r>
              <w:rPr>
                <w:rFonts w:hint="default" w:ascii="Times New Roman" w:hAnsi="Times New Roman" w:eastAsia="宋体" w:cs="Times New Roman"/>
                <w:color w:val="auto"/>
                <w:szCs w:val="21"/>
                <w:lang w:val="en-US" w:eastAsia="zh-CN"/>
              </w:rPr>
              <w:t>根据《危险废物贮存污染控制标准》（GB18597-20</w:t>
            </w:r>
            <w:r>
              <w:rPr>
                <w:rFonts w:hint="eastAsia" w:cs="Times New Roman"/>
                <w:color w:val="auto"/>
                <w:szCs w:val="21"/>
                <w:lang w:val="en-US" w:eastAsia="zh-CN"/>
              </w:rPr>
              <w:t>23</w:t>
            </w:r>
            <w:r>
              <w:rPr>
                <w:rFonts w:hint="default" w:ascii="Times New Roman" w:hAnsi="Times New Roman" w:eastAsia="宋体" w:cs="Times New Roman"/>
                <w:color w:val="auto"/>
                <w:szCs w:val="21"/>
                <w:lang w:val="en-US" w:eastAsia="zh-CN"/>
              </w:rPr>
              <w:t>），项目危废暂存间</w:t>
            </w:r>
            <w:r>
              <w:rPr>
                <w:rFonts w:hint="eastAsia" w:ascii="Times New Roman" w:hAnsi="Times New Roman" w:eastAsia="宋体" w:cs="Times New Roman"/>
                <w:color w:val="auto"/>
                <w:szCs w:val="21"/>
                <w:lang w:val="en-US" w:eastAsia="zh-CN"/>
              </w:rPr>
              <w:t>应</w:t>
            </w:r>
            <w:r>
              <w:rPr>
                <w:rFonts w:hint="default" w:ascii="Times New Roman" w:hAnsi="Times New Roman" w:eastAsia="宋体" w:cs="Times New Roman"/>
                <w:color w:val="auto"/>
                <w:szCs w:val="21"/>
                <w:lang w:val="en-US" w:eastAsia="zh-CN"/>
              </w:rPr>
              <w:t>设置“四防”（防风、防雨、防晒、防渗漏），危废</w:t>
            </w:r>
            <w:r>
              <w:rPr>
                <w:rFonts w:hint="eastAsia" w:ascii="Times New Roman" w:hAnsi="Times New Roman" w:eastAsia="宋体" w:cs="Times New Roman"/>
                <w:color w:val="auto"/>
                <w:szCs w:val="21"/>
                <w:lang w:val="en-US" w:eastAsia="zh-CN"/>
              </w:rPr>
              <w:t>应</w:t>
            </w:r>
            <w:r>
              <w:rPr>
                <w:rFonts w:hint="default" w:ascii="Times New Roman" w:hAnsi="Times New Roman" w:eastAsia="宋体" w:cs="Times New Roman"/>
                <w:color w:val="auto"/>
                <w:szCs w:val="21"/>
                <w:lang w:val="en-US" w:eastAsia="zh-CN"/>
              </w:rPr>
              <w:t>采用具有防腐、防渗功能密闭桶收集堆放于暂存库，库区地面做防渗，渗透系数小于10</w:t>
            </w:r>
            <w:r>
              <w:rPr>
                <w:rFonts w:hint="default" w:ascii="Times New Roman" w:hAnsi="Times New Roman" w:eastAsia="宋体" w:cs="Times New Roman"/>
                <w:color w:val="auto"/>
                <w:szCs w:val="21"/>
                <w:vertAlign w:val="superscript"/>
                <w:lang w:val="en-US" w:eastAsia="zh-CN"/>
              </w:rPr>
              <w:t>-10</w:t>
            </w:r>
            <w:r>
              <w:rPr>
                <w:rFonts w:hint="default" w:ascii="Times New Roman" w:hAnsi="Times New Roman" w:eastAsia="宋体" w:cs="Times New Roman"/>
                <w:color w:val="auto"/>
                <w:szCs w:val="21"/>
                <w:lang w:val="en-US" w:eastAsia="zh-CN"/>
              </w:rPr>
              <w:t>cm/s，库区设置相应的警示标识。本项目</w:t>
            </w:r>
            <w:r>
              <w:rPr>
                <w:rFonts w:hint="eastAsia" w:ascii="Times New Roman" w:hAnsi="Times New Roman" w:eastAsia="宋体" w:cs="Times New Roman"/>
                <w:color w:val="auto"/>
                <w:szCs w:val="21"/>
                <w:lang w:val="en-US" w:eastAsia="zh-CN"/>
              </w:rPr>
              <w:t>依托现有危废暂存库，危废暂存库防渗结构为（从下自上）：素土夯实</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Cs w:val="21"/>
                <w:lang w:val="en-US" w:eastAsia="zh-CN"/>
              </w:rPr>
              <w:t>200mm</w:t>
            </w:r>
            <w:r>
              <w:rPr>
                <w:rFonts w:hint="eastAsia" w:ascii="Times New Roman" w:hAnsi="Times New Roman" w:eastAsia="宋体" w:cs="Times New Roman"/>
                <w:color w:val="auto"/>
                <w:szCs w:val="21"/>
                <w:lang w:val="en-US" w:eastAsia="zh-CN"/>
              </w:rPr>
              <w:t>压实粉质黏土</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Cs w:val="21"/>
                <w:lang w:val="en-US" w:eastAsia="zh-CN"/>
              </w:rPr>
              <w:t>600g/</w:t>
            </w:r>
            <w:r>
              <w:rPr>
                <w:rFonts w:hint="eastAsia" w:ascii="Times New Roman" w:hAnsi="Times New Roman" w:eastAsia="宋体" w:cs="Times New Roman"/>
                <w:color w:val="auto"/>
                <w:szCs w:val="21"/>
                <w:lang w:val="en-US" w:eastAsia="zh-CN"/>
              </w:rPr>
              <w:t>m</w:t>
            </w:r>
            <w:r>
              <w:rPr>
                <w:rFonts w:hint="eastAsia" w:ascii="Times New Roman" w:hAnsi="Times New Roman" w:eastAsia="宋体" w:cs="Times New Roman"/>
                <w:color w:val="auto"/>
                <w:szCs w:val="21"/>
                <w:vertAlign w:val="superscript"/>
                <w:lang w:val="en-US" w:eastAsia="zh-CN"/>
              </w:rPr>
              <w:t>2</w:t>
            </w:r>
            <w:r>
              <w:rPr>
                <w:rFonts w:hint="eastAsia" w:ascii="Times New Roman" w:hAnsi="Times New Roman" w:eastAsia="宋体" w:cs="Times New Roman"/>
                <w:color w:val="auto"/>
                <w:szCs w:val="21"/>
                <w:lang w:val="en-US" w:eastAsia="zh-CN"/>
              </w:rPr>
              <w:t>长丝无纺土工布</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Cs w:val="21"/>
                <w:lang w:val="en-US" w:eastAsia="zh-CN"/>
              </w:rPr>
              <w:t>2mm</w:t>
            </w:r>
            <w:r>
              <w:rPr>
                <w:rFonts w:hint="eastAsia" w:ascii="Times New Roman" w:hAnsi="Times New Roman" w:eastAsia="宋体" w:cs="Times New Roman"/>
                <w:color w:val="auto"/>
                <w:szCs w:val="21"/>
                <w:lang w:val="en-US" w:eastAsia="zh-CN"/>
              </w:rPr>
              <w:t>厚</w:t>
            </w:r>
            <w:r>
              <w:rPr>
                <w:rFonts w:hint="default" w:ascii="Times New Roman" w:hAnsi="Times New Roman" w:eastAsia="宋体" w:cs="Times New Roman"/>
                <w:color w:val="auto"/>
                <w:szCs w:val="21"/>
                <w:lang w:val="en-US" w:eastAsia="zh-CN"/>
              </w:rPr>
              <w:t>HDPE</w:t>
            </w:r>
            <w:r>
              <w:rPr>
                <w:rFonts w:hint="eastAsia" w:ascii="Times New Roman" w:hAnsi="Times New Roman" w:eastAsia="宋体" w:cs="Times New Roman"/>
                <w:color w:val="auto"/>
                <w:szCs w:val="21"/>
                <w:lang w:val="en-US" w:eastAsia="zh-CN"/>
              </w:rPr>
              <w:t>土工膜</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Cs w:val="21"/>
                <w:lang w:val="en-US" w:eastAsia="zh-CN"/>
              </w:rPr>
              <w:t>600g/</w:t>
            </w:r>
            <w:r>
              <w:rPr>
                <w:rFonts w:hint="eastAsia" w:ascii="Times New Roman" w:hAnsi="Times New Roman" w:eastAsia="宋体" w:cs="Times New Roman"/>
                <w:color w:val="auto"/>
                <w:szCs w:val="21"/>
                <w:lang w:val="en-US" w:eastAsia="zh-CN"/>
              </w:rPr>
              <w:t>m</w:t>
            </w:r>
            <w:r>
              <w:rPr>
                <w:rFonts w:hint="eastAsia" w:ascii="Times New Roman" w:hAnsi="Times New Roman" w:eastAsia="宋体" w:cs="Times New Roman"/>
                <w:color w:val="auto"/>
                <w:szCs w:val="21"/>
                <w:vertAlign w:val="superscript"/>
                <w:lang w:val="en-US" w:eastAsia="zh-CN"/>
              </w:rPr>
              <w:t>2</w:t>
            </w:r>
            <w:r>
              <w:rPr>
                <w:rFonts w:hint="eastAsia" w:ascii="Times New Roman" w:hAnsi="Times New Roman" w:eastAsia="宋体" w:cs="Times New Roman"/>
                <w:color w:val="auto"/>
                <w:szCs w:val="21"/>
                <w:lang w:val="en-US" w:eastAsia="zh-CN"/>
              </w:rPr>
              <w:t>长丝无纺土工布</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Cs w:val="21"/>
                <w:lang w:val="en-US" w:eastAsia="zh-CN"/>
              </w:rPr>
              <w:t>300mm</w:t>
            </w:r>
            <w:r>
              <w:rPr>
                <w:rFonts w:hint="eastAsia" w:ascii="Times New Roman" w:hAnsi="Times New Roman" w:eastAsia="宋体" w:cs="Times New Roman"/>
                <w:color w:val="auto"/>
                <w:szCs w:val="21"/>
                <w:lang w:val="en-US" w:eastAsia="zh-CN"/>
              </w:rPr>
              <w:t>砂垫层</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Cs w:val="21"/>
                <w:lang w:val="en-US" w:eastAsia="zh-CN"/>
              </w:rPr>
              <w:t>150mmC30</w:t>
            </w:r>
            <w:r>
              <w:rPr>
                <w:rFonts w:hint="eastAsia" w:ascii="Times New Roman" w:hAnsi="Times New Roman" w:eastAsia="宋体" w:cs="Times New Roman"/>
                <w:color w:val="auto"/>
                <w:szCs w:val="21"/>
                <w:lang w:val="en-US" w:eastAsia="zh-CN"/>
              </w:rPr>
              <w:t>混凝土</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szCs w:val="21"/>
                <w:lang w:val="en-US" w:eastAsia="zh-CN"/>
              </w:rPr>
              <w:t>环氧稀胶泥一道</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Cs w:val="21"/>
                <w:lang w:val="en-US" w:eastAsia="zh-CN"/>
              </w:rPr>
              <w:t>4-5mm</w:t>
            </w:r>
            <w:r>
              <w:rPr>
                <w:rFonts w:hint="eastAsia" w:ascii="Times New Roman" w:hAnsi="Times New Roman" w:eastAsia="宋体" w:cs="Times New Roman"/>
                <w:color w:val="auto"/>
                <w:szCs w:val="21"/>
                <w:lang w:val="en-US" w:eastAsia="zh-CN"/>
              </w:rPr>
              <w:t>自流平环氧砂浆。</w:t>
            </w:r>
            <w:r>
              <w:rPr>
                <w:rFonts w:hint="default" w:ascii="Times New Roman" w:hAnsi="Times New Roman" w:eastAsia="宋体" w:cs="Times New Roman"/>
                <w:color w:val="auto"/>
                <w:szCs w:val="21"/>
                <w:lang w:val="en-US" w:eastAsia="zh-CN"/>
              </w:rPr>
              <w:t>本项目危险废物贮存场所相关情况见表4-1</w:t>
            </w:r>
            <w:r>
              <w:rPr>
                <w:rFonts w:hint="eastAsia" w:ascii="Times New Roman" w:hAnsi="Times New Roman" w:eastAsia="宋体" w:cs="Times New Roman"/>
                <w:color w:val="auto"/>
                <w:szCs w:val="21"/>
                <w:lang w:val="en-US" w:eastAsia="zh-CN"/>
              </w:rPr>
              <w:t>0</w:t>
            </w:r>
            <w:r>
              <w:rPr>
                <w:rFonts w:hint="default" w:ascii="Times New Roman" w:hAnsi="Times New Roman" w:eastAsia="宋体" w:cs="Times New Roman"/>
                <w:color w:val="auto"/>
                <w:szCs w:val="21"/>
                <w:lang w:val="en-US" w:eastAsia="zh-CN"/>
              </w:rPr>
              <w:t>。</w:t>
            </w:r>
          </w:p>
          <w:p w14:paraId="6D5B6FAD">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zh-CN" w:eastAsia="zh-CN"/>
              </w:rPr>
            </w:pPr>
            <w:r>
              <w:rPr>
                <w:rFonts w:hint="default" w:ascii="Times New Roman" w:hAnsi="Times New Roman" w:eastAsia="宋体" w:cs="Times New Roman"/>
                <w:b/>
                <w:bCs/>
                <w:color w:val="auto"/>
                <w:sz w:val="24"/>
                <w:lang w:val="zh-CN" w:eastAsia="zh-CN"/>
              </w:rPr>
              <w:t>表4-1</w:t>
            </w:r>
            <w:r>
              <w:rPr>
                <w:rFonts w:hint="eastAsia" w:ascii="Times New Roman" w:hAnsi="Times New Roman" w:eastAsia="宋体" w:cs="Times New Roman"/>
                <w:b/>
                <w:bCs/>
                <w:color w:val="auto"/>
                <w:sz w:val="24"/>
                <w:lang w:val="en-US" w:eastAsia="zh-CN"/>
              </w:rPr>
              <w:t>0</w:t>
            </w:r>
            <w:r>
              <w:rPr>
                <w:rFonts w:hint="default" w:ascii="Times New Roman" w:hAnsi="Times New Roman" w:eastAsia="宋体" w:cs="Times New Roman"/>
                <w:b/>
                <w:bCs/>
                <w:color w:val="auto"/>
                <w:sz w:val="24"/>
                <w:lang w:val="zh-CN" w:eastAsia="zh-CN"/>
              </w:rPr>
              <w:t>本项目危险废物暂存场所情况一览表</w:t>
            </w:r>
          </w:p>
          <w:tbl>
            <w:tblPr>
              <w:tblStyle w:val="24"/>
              <w:tblW w:w="491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1"/>
              <w:gridCol w:w="1159"/>
              <w:gridCol w:w="1265"/>
              <w:gridCol w:w="963"/>
              <w:gridCol w:w="1407"/>
              <w:gridCol w:w="1267"/>
              <w:gridCol w:w="821"/>
              <w:gridCol w:w="831"/>
            </w:tblGrid>
            <w:tr w14:paraId="18CAF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00" w:type="pct"/>
                  <w:noWrap w:val="0"/>
                  <w:vAlign w:val="center"/>
                </w:tcPr>
                <w:p w14:paraId="20E514E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序号</w:t>
                  </w:r>
                </w:p>
              </w:tc>
              <w:tc>
                <w:tcPr>
                  <w:tcW w:w="691" w:type="pct"/>
                  <w:noWrap w:val="0"/>
                  <w:vAlign w:val="center"/>
                </w:tcPr>
                <w:p w14:paraId="04CA662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贮存场所名称</w:t>
                  </w:r>
                </w:p>
              </w:tc>
              <w:tc>
                <w:tcPr>
                  <w:tcW w:w="754" w:type="pct"/>
                  <w:noWrap w:val="0"/>
                  <w:vAlign w:val="center"/>
                </w:tcPr>
                <w:p w14:paraId="68CB516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危险废物名称</w:t>
                  </w:r>
                </w:p>
              </w:tc>
              <w:tc>
                <w:tcPr>
                  <w:tcW w:w="574" w:type="pct"/>
                  <w:noWrap w:val="0"/>
                  <w:vAlign w:val="center"/>
                </w:tcPr>
                <w:p w14:paraId="71274C8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危险废物类别</w:t>
                  </w:r>
                </w:p>
              </w:tc>
              <w:tc>
                <w:tcPr>
                  <w:tcW w:w="839" w:type="pct"/>
                  <w:noWrap w:val="0"/>
                  <w:vAlign w:val="center"/>
                </w:tcPr>
                <w:p w14:paraId="21544CB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危险废物代码</w:t>
                  </w:r>
                </w:p>
              </w:tc>
              <w:tc>
                <w:tcPr>
                  <w:tcW w:w="755" w:type="pct"/>
                  <w:noWrap w:val="0"/>
                  <w:vAlign w:val="center"/>
                </w:tcPr>
                <w:p w14:paraId="30EAC97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贮存</w:t>
                  </w:r>
                </w:p>
                <w:p w14:paraId="39CDF2B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方式</w:t>
                  </w:r>
                </w:p>
              </w:tc>
              <w:tc>
                <w:tcPr>
                  <w:tcW w:w="489" w:type="pct"/>
                  <w:noWrap w:val="0"/>
                  <w:vAlign w:val="center"/>
                </w:tcPr>
                <w:p w14:paraId="588757C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贮存能力</w:t>
                  </w:r>
                </w:p>
              </w:tc>
              <w:tc>
                <w:tcPr>
                  <w:tcW w:w="495" w:type="pct"/>
                  <w:noWrap w:val="0"/>
                  <w:vAlign w:val="center"/>
                </w:tcPr>
                <w:p w14:paraId="27AA8DF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贮存</w:t>
                  </w:r>
                </w:p>
                <w:p w14:paraId="327F6AD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周期</w:t>
                  </w:r>
                </w:p>
              </w:tc>
            </w:tr>
            <w:tr w14:paraId="740A7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00" w:type="pct"/>
                  <w:noWrap w:val="0"/>
                  <w:vAlign w:val="center"/>
                </w:tcPr>
                <w:p w14:paraId="69DA50D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1</w:t>
                  </w:r>
                </w:p>
              </w:tc>
              <w:tc>
                <w:tcPr>
                  <w:tcW w:w="691" w:type="pct"/>
                  <w:vMerge w:val="restart"/>
                  <w:noWrap w:val="0"/>
                  <w:vAlign w:val="center"/>
                </w:tcPr>
                <w:p w14:paraId="6A7D837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危废</w:t>
                  </w:r>
                </w:p>
                <w:p w14:paraId="644DC38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暂存</w:t>
                  </w:r>
                  <w:r>
                    <w:rPr>
                      <w:rFonts w:hint="eastAsia" w:ascii="Times New Roman" w:hAnsi="Times New Roman" w:eastAsia="宋体"/>
                      <w:color w:val="auto"/>
                      <w:sz w:val="21"/>
                      <w:szCs w:val="21"/>
                      <w:lang w:val="en-US" w:eastAsia="zh-CN"/>
                    </w:rPr>
                    <w:t>库</w:t>
                  </w:r>
                </w:p>
              </w:tc>
              <w:tc>
                <w:tcPr>
                  <w:tcW w:w="754" w:type="pct"/>
                  <w:noWrap w:val="0"/>
                  <w:vAlign w:val="center"/>
                </w:tcPr>
                <w:p w14:paraId="63B2ADE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废活性炭</w:t>
                  </w:r>
                </w:p>
              </w:tc>
              <w:tc>
                <w:tcPr>
                  <w:tcW w:w="574" w:type="pct"/>
                  <w:noWrap w:val="0"/>
                  <w:vAlign w:val="center"/>
                </w:tcPr>
                <w:p w14:paraId="1600B29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HW49</w:t>
                  </w:r>
                </w:p>
              </w:tc>
              <w:tc>
                <w:tcPr>
                  <w:tcW w:w="839" w:type="pct"/>
                  <w:noWrap w:val="0"/>
                  <w:vAlign w:val="center"/>
                </w:tcPr>
                <w:p w14:paraId="0189930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900-039-49</w:t>
                  </w:r>
                </w:p>
              </w:tc>
              <w:tc>
                <w:tcPr>
                  <w:tcW w:w="755" w:type="pct"/>
                  <w:noWrap w:val="0"/>
                  <w:vAlign w:val="center"/>
                </w:tcPr>
                <w:p w14:paraId="159887A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密封</w:t>
                  </w:r>
                </w:p>
              </w:tc>
              <w:tc>
                <w:tcPr>
                  <w:tcW w:w="489" w:type="pct"/>
                  <w:vMerge w:val="restart"/>
                  <w:noWrap w:val="0"/>
                  <w:vAlign w:val="center"/>
                </w:tcPr>
                <w:p w14:paraId="0B2FE45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10t</w:t>
                  </w:r>
                </w:p>
              </w:tc>
              <w:tc>
                <w:tcPr>
                  <w:tcW w:w="495" w:type="pct"/>
                  <w:vMerge w:val="restart"/>
                  <w:noWrap w:val="0"/>
                  <w:vAlign w:val="center"/>
                </w:tcPr>
                <w:p w14:paraId="4FB7BED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每半年清理一次</w:t>
                  </w:r>
                </w:p>
              </w:tc>
            </w:tr>
            <w:tr w14:paraId="35584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00" w:type="pct"/>
                  <w:noWrap w:val="0"/>
                  <w:vAlign w:val="center"/>
                </w:tcPr>
                <w:p w14:paraId="752438B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w:t>
                  </w:r>
                </w:p>
              </w:tc>
              <w:tc>
                <w:tcPr>
                  <w:tcW w:w="691" w:type="pct"/>
                  <w:vMerge w:val="continue"/>
                  <w:tcBorders/>
                  <w:noWrap w:val="0"/>
                  <w:vAlign w:val="center"/>
                </w:tcPr>
                <w:p w14:paraId="22ABD8B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754" w:type="pct"/>
                  <w:noWrap w:val="0"/>
                  <w:vAlign w:val="center"/>
                </w:tcPr>
                <w:p w14:paraId="301ACF3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废机油、废润滑油</w:t>
                  </w:r>
                </w:p>
              </w:tc>
              <w:tc>
                <w:tcPr>
                  <w:tcW w:w="574" w:type="pct"/>
                  <w:noWrap w:val="0"/>
                  <w:vAlign w:val="center"/>
                </w:tcPr>
                <w:p w14:paraId="0C14C07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HW08</w:t>
                  </w:r>
                </w:p>
              </w:tc>
              <w:tc>
                <w:tcPr>
                  <w:tcW w:w="839" w:type="pct"/>
                  <w:noWrap w:val="0"/>
                  <w:vAlign w:val="center"/>
                </w:tcPr>
                <w:p w14:paraId="6A6C866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900-217-08</w:t>
                  </w:r>
                </w:p>
              </w:tc>
              <w:tc>
                <w:tcPr>
                  <w:tcW w:w="755" w:type="pct"/>
                  <w:noWrap w:val="0"/>
                  <w:vAlign w:val="center"/>
                </w:tcPr>
                <w:p w14:paraId="04D7821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桶装加盖</w:t>
                  </w:r>
                </w:p>
              </w:tc>
              <w:tc>
                <w:tcPr>
                  <w:tcW w:w="489" w:type="pct"/>
                  <w:vMerge w:val="continue"/>
                  <w:tcBorders/>
                  <w:noWrap w:val="0"/>
                  <w:vAlign w:val="center"/>
                </w:tcPr>
                <w:p w14:paraId="38DC747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95" w:type="pct"/>
                  <w:vMerge w:val="continue"/>
                  <w:tcBorders/>
                  <w:noWrap w:val="0"/>
                  <w:vAlign w:val="center"/>
                </w:tcPr>
                <w:p w14:paraId="24F95F5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r>
            <w:tr w14:paraId="1914F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00" w:type="pct"/>
                  <w:noWrap w:val="0"/>
                  <w:vAlign w:val="center"/>
                </w:tcPr>
                <w:p w14:paraId="263C72B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w:t>
                  </w:r>
                </w:p>
              </w:tc>
              <w:tc>
                <w:tcPr>
                  <w:tcW w:w="691" w:type="pct"/>
                  <w:vMerge w:val="continue"/>
                  <w:tcBorders/>
                  <w:noWrap w:val="0"/>
                  <w:vAlign w:val="center"/>
                </w:tcPr>
                <w:p w14:paraId="3405B5E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754" w:type="pct"/>
                  <w:noWrap w:val="0"/>
                  <w:vAlign w:val="center"/>
                </w:tcPr>
                <w:p w14:paraId="2580988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废模具清洗</w:t>
                  </w:r>
                  <w:r>
                    <w:rPr>
                      <w:rFonts w:hint="eastAsia"/>
                      <w:color w:val="auto"/>
                      <w:sz w:val="21"/>
                      <w:szCs w:val="21"/>
                      <w:lang w:val="en-US" w:eastAsia="zh-CN"/>
                    </w:rPr>
                    <w:t>液</w:t>
                  </w:r>
                </w:p>
              </w:tc>
              <w:tc>
                <w:tcPr>
                  <w:tcW w:w="574" w:type="pct"/>
                  <w:noWrap w:val="0"/>
                  <w:vAlign w:val="center"/>
                </w:tcPr>
                <w:p w14:paraId="358D861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HW06</w:t>
                  </w:r>
                </w:p>
              </w:tc>
              <w:tc>
                <w:tcPr>
                  <w:tcW w:w="839" w:type="pct"/>
                  <w:noWrap w:val="0"/>
                  <w:vAlign w:val="center"/>
                </w:tcPr>
                <w:p w14:paraId="6B3CA4B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900-402-06</w:t>
                  </w:r>
                </w:p>
              </w:tc>
              <w:tc>
                <w:tcPr>
                  <w:tcW w:w="755" w:type="pct"/>
                  <w:noWrap w:val="0"/>
                  <w:vAlign w:val="center"/>
                </w:tcPr>
                <w:p w14:paraId="23D2A02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桶装加盖</w:t>
                  </w:r>
                </w:p>
              </w:tc>
              <w:tc>
                <w:tcPr>
                  <w:tcW w:w="489" w:type="pct"/>
                  <w:vMerge w:val="continue"/>
                  <w:tcBorders/>
                  <w:noWrap w:val="0"/>
                  <w:vAlign w:val="center"/>
                </w:tcPr>
                <w:p w14:paraId="4A4D06E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95" w:type="pct"/>
                  <w:vMerge w:val="continue"/>
                  <w:tcBorders/>
                  <w:noWrap w:val="0"/>
                  <w:vAlign w:val="center"/>
                </w:tcPr>
                <w:p w14:paraId="710191C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r>
            <w:tr w14:paraId="00544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00" w:type="pct"/>
                  <w:noWrap w:val="0"/>
                  <w:vAlign w:val="center"/>
                </w:tcPr>
                <w:p w14:paraId="239BA18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4</w:t>
                  </w:r>
                </w:p>
              </w:tc>
              <w:tc>
                <w:tcPr>
                  <w:tcW w:w="691" w:type="pct"/>
                  <w:vMerge w:val="continue"/>
                  <w:tcBorders/>
                  <w:noWrap w:val="0"/>
                  <w:vAlign w:val="center"/>
                </w:tcPr>
                <w:p w14:paraId="0EBAB66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754" w:type="pct"/>
                  <w:noWrap w:val="0"/>
                  <w:vAlign w:val="center"/>
                </w:tcPr>
                <w:p w14:paraId="4F5F055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s="Times New Roman"/>
                      <w:color w:val="auto"/>
                      <w:sz w:val="21"/>
                      <w:szCs w:val="21"/>
                      <w:lang w:val="en-US" w:eastAsia="zh-CN"/>
                    </w:rPr>
                    <w:t>UV光催化废灯管</w:t>
                  </w:r>
                </w:p>
              </w:tc>
              <w:tc>
                <w:tcPr>
                  <w:tcW w:w="574" w:type="pct"/>
                  <w:noWrap w:val="0"/>
                  <w:vAlign w:val="center"/>
                </w:tcPr>
                <w:p w14:paraId="60202DD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HW</w:t>
                  </w:r>
                  <w:r>
                    <w:rPr>
                      <w:rFonts w:hint="eastAsia" w:ascii="Times New Roman" w:hAnsi="Times New Roman" w:eastAsia="宋体"/>
                      <w:color w:val="auto"/>
                      <w:sz w:val="21"/>
                      <w:szCs w:val="21"/>
                      <w:lang w:val="en-US" w:eastAsia="zh-CN"/>
                    </w:rPr>
                    <w:t>29</w:t>
                  </w:r>
                </w:p>
              </w:tc>
              <w:tc>
                <w:tcPr>
                  <w:tcW w:w="839" w:type="pct"/>
                  <w:noWrap w:val="0"/>
                  <w:vAlign w:val="center"/>
                </w:tcPr>
                <w:p w14:paraId="4E0D99F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s="Times New Roman"/>
                      <w:color w:val="auto"/>
                      <w:sz w:val="21"/>
                      <w:szCs w:val="21"/>
                      <w:lang w:val="en-US" w:eastAsia="zh-CN"/>
                    </w:rPr>
                    <w:t>900-023-29</w:t>
                  </w:r>
                </w:p>
              </w:tc>
              <w:tc>
                <w:tcPr>
                  <w:tcW w:w="755" w:type="pct"/>
                  <w:noWrap w:val="0"/>
                  <w:vAlign w:val="center"/>
                </w:tcPr>
                <w:p w14:paraId="6E64958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密封</w:t>
                  </w:r>
                </w:p>
              </w:tc>
              <w:tc>
                <w:tcPr>
                  <w:tcW w:w="489" w:type="pct"/>
                  <w:vMerge w:val="continue"/>
                  <w:tcBorders/>
                  <w:noWrap w:val="0"/>
                  <w:vAlign w:val="center"/>
                </w:tcPr>
                <w:p w14:paraId="17C37E4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495" w:type="pct"/>
                  <w:vMerge w:val="continue"/>
                  <w:tcBorders/>
                  <w:noWrap w:val="0"/>
                  <w:vAlign w:val="center"/>
                </w:tcPr>
                <w:p w14:paraId="4798678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r>
          </w:tbl>
          <w:p w14:paraId="3B52C64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现有的危废暂存场所满足如下要求:</w:t>
            </w:r>
          </w:p>
          <w:p w14:paraId="1F37275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微软雅黑" w:cs="Times New Roman"/>
                <w:color w:val="auto"/>
                <w:szCs w:val="21"/>
                <w:lang w:val="en-US" w:eastAsia="zh-CN"/>
              </w:rPr>
              <w:t>Ⅰ</w:t>
            </w:r>
            <w:r>
              <w:rPr>
                <w:rFonts w:hint="eastAsia" w:eastAsia="微软雅黑" w:cs="Times New Roman"/>
                <w:color w:val="auto"/>
                <w:szCs w:val="21"/>
                <w:lang w:val="en-US" w:eastAsia="zh-CN"/>
              </w:rPr>
              <w:t>.</w:t>
            </w:r>
            <w:r>
              <w:rPr>
                <w:rFonts w:hint="default" w:ascii="Times New Roman" w:hAnsi="Times New Roman" w:eastAsia="宋体" w:cs="Times New Roman"/>
                <w:color w:val="auto"/>
                <w:szCs w:val="21"/>
                <w:lang w:val="en-US" w:eastAsia="zh-CN"/>
              </w:rPr>
              <w:t>贮存物质相容性要求:在常温常压下不水解、不挥发的固体危险废物可在贮存场所内分别堆放，除此之外的其他危险废物必须存放于容器中，存放用容器也须符合(GB18597-2023)标准的相关规定;禁止将不相容(相互反应)的危险废物在同一容器中存放;无法装入常用容器的危险废物可用防漏胶袋等盛装。</w:t>
            </w:r>
          </w:p>
          <w:p w14:paraId="5D7C273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微软雅黑" w:cs="Times New Roman"/>
                <w:color w:val="auto"/>
                <w:szCs w:val="21"/>
                <w:lang w:val="en-US" w:eastAsia="zh-CN"/>
              </w:rPr>
              <w:t>Ⅱ</w:t>
            </w:r>
            <w:r>
              <w:rPr>
                <w:rFonts w:hint="eastAsia" w:eastAsia="微软雅黑" w:cs="Times New Roman"/>
                <w:color w:val="auto"/>
                <w:szCs w:val="21"/>
                <w:lang w:val="en-US" w:eastAsia="zh-CN"/>
              </w:rPr>
              <w:t>.</w:t>
            </w:r>
            <w:r>
              <w:rPr>
                <w:rFonts w:hint="default" w:ascii="Times New Roman" w:hAnsi="Times New Roman" w:eastAsia="宋体" w:cs="Times New Roman"/>
                <w:color w:val="auto"/>
                <w:szCs w:val="21"/>
                <w:lang w:val="en-US" w:eastAsia="zh-CN"/>
              </w:rPr>
              <w:t>包装容器要求:危险废物贮存容器使用符合标准的容器盛装危险废物，装载危险废物的容器及材质要满足相应的强度要求，完好无损，盛装危险废物的容器材质和衬里要与危险废物相容。</w:t>
            </w:r>
          </w:p>
          <w:p w14:paraId="33CDBEE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微软雅黑" w:cs="Times New Roman"/>
                <w:color w:val="auto"/>
                <w:szCs w:val="21"/>
                <w:lang w:val="en-US" w:eastAsia="zh-CN"/>
              </w:rPr>
              <w:t>Ⅲ</w:t>
            </w:r>
            <w:r>
              <w:rPr>
                <w:rFonts w:hint="eastAsia" w:eastAsia="微软雅黑" w:cs="Times New Roman"/>
                <w:color w:val="auto"/>
                <w:szCs w:val="21"/>
                <w:lang w:val="en-US" w:eastAsia="zh-CN"/>
              </w:rPr>
              <w:t>.</w:t>
            </w:r>
            <w:r>
              <w:rPr>
                <w:rFonts w:hint="default" w:ascii="Times New Roman" w:hAnsi="Times New Roman" w:eastAsia="宋体" w:cs="Times New Roman"/>
                <w:color w:val="auto"/>
                <w:szCs w:val="21"/>
                <w:lang w:val="en-US" w:eastAsia="zh-CN"/>
              </w:rPr>
              <w:t>危险废物贮存场所要求:建设项目危废仓库已按照《危险废物贮存污染控制标准》</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GB18597-2023</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的相关要求建设:地面设置防渗层，配备通讯设备、照明设施、安全防护服装及工具，并设有应急防护设施;在危险废物仓库出入口、设施内部、危险废物运输车辆通道等关键位置按照危险废物贮存设施视频监控布设要求设置视频监控，并与中控室联网。对危险废物的容器和包装物以及收集、贮存、运输、处置危险废物的设施、场所，</w:t>
            </w:r>
          </w:p>
          <w:p w14:paraId="0E4F572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拟设置危险废物识别标志。危废贮存过程必须分类存放、贮存，并必须做到防雨、防渗、防漏、防扬散、防流失及其他防止污染环境的措施，不得随意露天堆放，地面进行耐腐蚀硬化处理，地基须防渗，地面表面无裂缝</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不相容的危险废物需分类存放，并设置隔离间隔断</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具备警示标识等方面内谷。</w:t>
            </w:r>
          </w:p>
          <w:p w14:paraId="6B35F72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olor w:val="auto"/>
                <w:szCs w:val="21"/>
              </w:rPr>
            </w:pPr>
            <w:r>
              <w:rPr>
                <w:rFonts w:hint="default" w:ascii="Times New Roman" w:hAnsi="Times New Roman" w:eastAsia="微软雅黑" w:cs="Times New Roman"/>
                <w:color w:val="auto"/>
                <w:szCs w:val="21"/>
                <w:lang w:val="en-US" w:eastAsia="zh-CN"/>
              </w:rPr>
              <w:t>Ⅳ</w:t>
            </w:r>
            <w:r>
              <w:rPr>
                <w:rFonts w:hint="eastAsia" w:eastAsia="微软雅黑" w:cs="Times New Roman"/>
                <w:color w:val="auto"/>
                <w:szCs w:val="21"/>
                <w:lang w:val="en-US" w:eastAsia="zh-CN"/>
              </w:rPr>
              <w:t>.</w:t>
            </w:r>
            <w:r>
              <w:rPr>
                <w:rFonts w:hint="default" w:ascii="Times New Roman" w:hAnsi="Times New Roman" w:eastAsia="宋体" w:cs="Times New Roman"/>
                <w:color w:val="auto"/>
                <w:szCs w:val="21"/>
                <w:lang w:val="en-US" w:eastAsia="zh-CN"/>
              </w:rPr>
              <w:t>危险废物暂存管理要求</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危废暂存间设立危险废物进出入台账登记管理制度，记录每次运送流程和处置去向，严格执行危险废物电子联单制度，实行对危险废物从源头到终端处理的全过程监管，确保危险废物100%得到安全处置。</w:t>
            </w:r>
          </w:p>
          <w:p w14:paraId="117A7FB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②</w:t>
            </w:r>
            <w:r>
              <w:rPr>
                <w:rFonts w:hint="default" w:ascii="Times New Roman" w:hAnsi="Times New Roman" w:eastAsia="宋体" w:cs="Times New Roman"/>
                <w:color w:val="auto"/>
                <w:szCs w:val="21"/>
                <w:lang w:val="en-US" w:eastAsia="zh-CN"/>
              </w:rPr>
              <w:t>危废厂内运输影响分析</w:t>
            </w:r>
          </w:p>
          <w:p w14:paraId="05A9F94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项目危废运时由专人负责，在运输过程中要采用专用的车辆，轻拿轻放，及时检查容器的破损密封等性能，密闭运输，严格禁止跑冒滴漏，杜绝在运输过程中造成环境的二次污染，在危险废物的运输中执行《危险废物转移联单管理办法》中有关的规定和要求。因此，项目危险废物从厂区内产生环节运输至危险废物暂存间不会对环境产生影响。</w:t>
            </w:r>
          </w:p>
          <w:p w14:paraId="18152E3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③</w:t>
            </w:r>
            <w:r>
              <w:rPr>
                <w:rFonts w:hint="default" w:ascii="Times New Roman" w:hAnsi="Times New Roman" w:eastAsia="宋体" w:cs="Times New Roman"/>
                <w:color w:val="auto"/>
                <w:szCs w:val="21"/>
                <w:lang w:val="en-US" w:eastAsia="zh-CN"/>
              </w:rPr>
              <w:t>危险废物环境风险评价</w:t>
            </w:r>
          </w:p>
          <w:p w14:paraId="238E00B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按照《建设项目环境风险评价技术导则》(HJ169-2018)，项目的危险废物具有有毒有害危险性，存在泄漏风险，建设单位已在液态危险废物贮存容器下方设置不锈钢托盘，并在危废暂存场所设置导流槽及收集池等，发生少量泄漏应立即将容器内剩余溶液转移，并收集托盘、导流槽内泄漏液体，防止泄漏物料挥发到大气中，同时应在危废贮存间内设置禁火标志，并布置灭火器、沙包等消防物资，防止火灾的发生和蔓延。项目危废一旦储存不当导致泄漏，泄漏的废液可能会进入雨、污管网，随雨水进入河流，进而造成地表水的污染。废</w:t>
            </w:r>
            <w:r>
              <w:rPr>
                <w:rFonts w:hint="eastAsia" w:ascii="Times New Roman" w:hAnsi="Times New Roman" w:eastAsia="宋体" w:cs="Times New Roman"/>
                <w:color w:val="auto"/>
                <w:szCs w:val="21"/>
                <w:lang w:val="en-US" w:eastAsia="zh-CN"/>
              </w:rPr>
              <w:t>机油</w:t>
            </w:r>
            <w:r>
              <w:rPr>
                <w:rFonts w:hint="default" w:ascii="Times New Roman" w:hAnsi="Times New Roman" w:eastAsia="宋体" w:cs="Times New Roman"/>
                <w:color w:val="auto"/>
                <w:szCs w:val="21"/>
                <w:lang w:val="en-US" w:eastAsia="zh-CN"/>
              </w:rPr>
              <w:t>、废润滑油含有可燃成分，一旦储存不当或遭遇明火，可能会发生火灾事件，会对环境和社会造成不利影响，严重时会引发人员伤亡。厂区发生火灾事故在燃烧中产生含有一氧化碳、二氧化碳等有毒气体，对大气环境产生不利影响。另厂区发生泄漏以及火灾、爆炸事故也可能会导致有毒有害物质渗透入土壤中，造成土壤、地下水污染。</w:t>
            </w:r>
          </w:p>
          <w:p w14:paraId="39D0EF5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主要影响如下</w:t>
            </w:r>
            <w:r>
              <w:rPr>
                <w:rFonts w:hint="eastAsia" w:cs="Times New Roman"/>
                <w:color w:val="auto"/>
                <w:szCs w:val="21"/>
                <w:lang w:val="en-US" w:eastAsia="zh-CN"/>
              </w:rPr>
              <w:t>：</w:t>
            </w:r>
          </w:p>
          <w:p w14:paraId="3BD8309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lang w:val="en-US" w:eastAsia="zh-CN"/>
              </w:rPr>
              <w:t>对环境空气的影响</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项目液态挥发性危险废物均是以密封包装贮存，有效减少挥发性物质对环境空气的影响。</w:t>
            </w:r>
          </w:p>
          <w:p w14:paraId="03984A0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r>
              <w:rPr>
                <w:rFonts w:hint="default" w:ascii="Times New Roman" w:hAnsi="Times New Roman" w:eastAsia="宋体" w:cs="Times New Roman"/>
                <w:color w:val="auto"/>
                <w:szCs w:val="21"/>
                <w:lang w:val="en-US" w:eastAsia="zh-CN"/>
              </w:rPr>
              <w:t>对地表水的影响</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危废暂存场所具有防雨、防漏、防渗措施，当事故发生时，不会产生废液进入厂区雨水系统，对周边地表水产生不良影响。</w:t>
            </w:r>
          </w:p>
          <w:p w14:paraId="348D862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r>
              <w:rPr>
                <w:rFonts w:hint="default" w:ascii="Times New Roman" w:hAnsi="Times New Roman" w:eastAsia="宋体" w:cs="Times New Roman"/>
                <w:color w:val="auto"/>
                <w:szCs w:val="21"/>
                <w:lang w:val="en-US" w:eastAsia="zh-CN"/>
              </w:rPr>
              <w:t>对地下水的影响</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危险废物暂存场所已按照《危险废物贮存污染控制标准》(GB18597-2023)要求，进行防腐、防渗，暂存场所地面铺设等效2mm厚高密度聚乙烯防渗层，渗透系数≤10</w:t>
            </w:r>
            <w:r>
              <w:rPr>
                <w:rFonts w:hint="eastAsia" w:ascii="Times New Roman" w:hAnsi="Times New Roman" w:eastAsia="宋体" w:cs="Times New Roman"/>
                <w:color w:val="auto"/>
                <w:szCs w:val="21"/>
                <w:vertAlign w:val="superscript"/>
                <w:lang w:val="en-US" w:eastAsia="zh-CN"/>
              </w:rPr>
              <w:t>-10</w:t>
            </w:r>
            <w:r>
              <w:rPr>
                <w:rFonts w:hint="default" w:ascii="Times New Roman" w:hAnsi="Times New Roman" w:eastAsia="宋体" w:cs="Times New Roman"/>
                <w:color w:val="auto"/>
                <w:szCs w:val="21"/>
                <w:lang w:val="en-US" w:eastAsia="zh-CN"/>
              </w:rPr>
              <w:t>cm/s，设集液托盘，正常情况下不会泄漏至室外污染土壤和地下水，不会对区域地下水环境产生影响。</w:t>
            </w:r>
          </w:p>
          <w:p w14:paraId="03CD762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综上，项目危废发生少量泄漏事件，可及时收集，并能及时处置，影响能够控制厂区内，环境风险可接受。</w:t>
            </w:r>
          </w:p>
          <w:p w14:paraId="7AC517B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⑤</w:t>
            </w:r>
            <w:r>
              <w:rPr>
                <w:rFonts w:hint="default" w:ascii="Times New Roman" w:hAnsi="Times New Roman" w:eastAsia="宋体" w:cs="Times New Roman"/>
                <w:color w:val="auto"/>
                <w:szCs w:val="21"/>
                <w:lang w:val="en-US" w:eastAsia="zh-CN"/>
              </w:rPr>
              <w:t>突发环境事件应急预案编制要求</w:t>
            </w:r>
          </w:p>
          <w:p w14:paraId="50B0636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为了在发生突发环境事件时，能够及时、有序、高效地实施抢险救援工作，最大限度地减少人员伤亡和财产损失，尽快恢复正常工作秩序，建议建设单位按照《企业事业单位突发环境事件应急预案备案管理办法（试行）》（环发[2015]4号）、等文件的要求编制全厂突发环境事件应急预案，并进行备案。</w:t>
            </w:r>
          </w:p>
          <w:p w14:paraId="5D465E9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⑥</w:t>
            </w:r>
            <w:r>
              <w:rPr>
                <w:rFonts w:hint="default" w:ascii="Times New Roman" w:hAnsi="Times New Roman" w:eastAsia="宋体" w:cs="Times New Roman"/>
                <w:color w:val="auto"/>
                <w:szCs w:val="21"/>
                <w:lang w:val="en-US" w:eastAsia="zh-CN"/>
              </w:rPr>
              <w:t>环境管理要求</w:t>
            </w:r>
          </w:p>
          <w:p w14:paraId="0D98A10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a.将危险废物的产生、贮存、利用、处置等情况纳入生产记录，建立危险废物管理台账和企业内部产生和收集贮存部门危险废物交接制度。</w:t>
            </w:r>
          </w:p>
          <w:p w14:paraId="0DB25B9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b.规范建设危险废物贮存场所并按照要求设置警告标志。加强对危险废物包装、贮存的管理，对盛装危险废物的容器和包装物，要确保无破损、泄漏和其他缺陷。危废包装、容器和贮存场所应按照《危险废物贮存污染控制标准》和苏环办[2020]401号有关要求张贴标识，详细标明危险废物的名称、数量、成分与特性。</w:t>
            </w:r>
          </w:p>
          <w:p w14:paraId="48E9B79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c.严格执行危险废物申报及转移联单制度，危险废物运输应符合危险废物运输污染防治技术规定，禁止将危险废物提供或委托给无危险废物经营许可证的单位从事收集、贮存、利用、处置等经营活动。</w:t>
            </w:r>
          </w:p>
          <w:p w14:paraId="74C0378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（3）危废自行处置可行性分析</w:t>
            </w:r>
          </w:p>
          <w:p w14:paraId="7F30356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color w:val="auto"/>
                <w:lang w:val="en-US" w:eastAsia="zh-CN"/>
              </w:rPr>
            </w:pPr>
            <w:r>
              <w:rPr>
                <w:rFonts w:hint="default"/>
                <w:color w:val="auto"/>
                <w:lang w:val="en-US" w:eastAsia="zh-CN"/>
              </w:rPr>
              <w:t>本项目运营期产生危险废物分别为废机油、废润滑油(HW08,900-217-08)</w:t>
            </w:r>
            <w:r>
              <w:rPr>
                <w:rFonts w:hint="eastAsia"/>
                <w:color w:val="auto"/>
                <w:lang w:val="en-US" w:eastAsia="zh-CN"/>
              </w:rPr>
              <w:t>、</w:t>
            </w:r>
            <w:r>
              <w:rPr>
                <w:rFonts w:hint="default"/>
                <w:color w:val="auto"/>
                <w:lang w:val="en-US" w:eastAsia="zh-CN"/>
              </w:rPr>
              <w:t>废活性炭(HW49,900-039-49)</w:t>
            </w:r>
            <w:r>
              <w:rPr>
                <w:rFonts w:hint="eastAsia"/>
                <w:color w:val="auto"/>
                <w:lang w:val="en-US" w:eastAsia="zh-CN"/>
              </w:rPr>
              <w:t>、</w:t>
            </w:r>
            <w:r>
              <w:rPr>
                <w:rFonts w:hint="default"/>
                <w:color w:val="auto"/>
                <w:lang w:val="en-US" w:eastAsia="zh-CN"/>
              </w:rPr>
              <w:t>废模具清洗液(HW06,900-402-06)</w:t>
            </w:r>
            <w:r>
              <w:rPr>
                <w:rFonts w:hint="eastAsia"/>
                <w:color w:val="auto"/>
                <w:lang w:val="en-US" w:eastAsia="zh-CN"/>
              </w:rPr>
              <w:t>、</w:t>
            </w:r>
            <w:r>
              <w:rPr>
                <w:rFonts w:hint="default"/>
                <w:color w:val="auto"/>
                <w:lang w:val="en-US" w:eastAsia="zh-CN"/>
              </w:rPr>
              <w:t>废UV灯管(HW29,900-023-29)</w:t>
            </w:r>
            <w:r>
              <w:rPr>
                <w:rFonts w:hint="eastAsia"/>
                <w:color w:val="auto"/>
                <w:lang w:val="en-US" w:eastAsia="zh-CN"/>
              </w:rPr>
              <w:t>。</w:t>
            </w:r>
          </w:p>
          <w:p w14:paraId="16B3BF8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color w:val="auto"/>
                <w:lang w:val="en-US" w:eastAsia="zh-CN"/>
              </w:rPr>
            </w:pPr>
            <w:r>
              <w:rPr>
                <w:rFonts w:hint="default"/>
                <w:color w:val="auto"/>
                <w:lang w:val="en-US" w:eastAsia="zh-CN"/>
              </w:rPr>
              <w:t>建设单位内蒙古美力坚清蓝危废处置有限公司持有危险废物经营许可证(编号</w:t>
            </w:r>
            <w:r>
              <w:rPr>
                <w:rFonts w:hint="eastAsia"/>
                <w:color w:val="auto"/>
                <w:lang w:val="en-US" w:eastAsia="zh-CN"/>
              </w:rPr>
              <w:t>：</w:t>
            </w:r>
            <w:r>
              <w:rPr>
                <w:rFonts w:hint="default"/>
                <w:color w:val="auto"/>
                <w:lang w:val="en-US" w:eastAsia="zh-CN"/>
              </w:rPr>
              <w:t>1506240209)，核准经营方式为收集、贮存、处置，核准经营范围包含HW06、HW08、HW29、HW49等本项目全部自产危险废物类别，企业厂区内配套建设完整危废处置系统，包含危废接收暂存系统、物化处理车间、50t/d回转窑焚烧系统、稳定化/固化车间、危废安全填埋场，可实现上述危险废物厂内收集、贮存、处置，无需外委第三方处置。</w:t>
            </w:r>
            <w:r>
              <w:rPr>
                <w:rFonts w:hint="eastAsia"/>
                <w:color w:val="auto"/>
                <w:lang w:val="en-US" w:eastAsia="zh-CN"/>
              </w:rPr>
              <w:t>本公司处置资质见附件3。</w:t>
            </w:r>
          </w:p>
          <w:p w14:paraId="6EE26F8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①废机油、废润滑油（</w:t>
            </w:r>
            <w:r>
              <w:rPr>
                <w:rFonts w:hint="default" w:ascii="Times New Roman" w:hAnsi="Times New Roman" w:eastAsia="宋体" w:cs="Times New Roman"/>
                <w:color w:val="auto"/>
                <w:lang w:val="en-US" w:eastAsia="zh-CN"/>
              </w:rPr>
              <w:t>HW08，900</w:t>
            </w:r>
            <w:r>
              <w:rPr>
                <w:rFonts w:hint="default" w:ascii="Times New Roman" w:hAnsi="Times New Roman" w:eastAsia="宋体" w:cs="Times New Roman"/>
                <w:color w:val="auto"/>
                <w:lang w:val="en-US" w:eastAsia="zh-CN"/>
              </w:rPr>
              <w:noBreakHyphen/>
            </w:r>
            <w:r>
              <w:rPr>
                <w:rFonts w:hint="default" w:ascii="Times New Roman" w:hAnsi="Times New Roman" w:eastAsia="宋体" w:cs="Times New Roman"/>
                <w:color w:val="auto"/>
                <w:lang w:val="en-US" w:eastAsia="zh-CN"/>
              </w:rPr>
              <w:t>217</w:t>
            </w:r>
            <w:r>
              <w:rPr>
                <w:rFonts w:hint="default" w:ascii="Times New Roman" w:hAnsi="Times New Roman" w:eastAsia="宋体" w:cs="Times New Roman"/>
                <w:color w:val="auto"/>
                <w:lang w:val="en-US" w:eastAsia="zh-CN"/>
              </w:rPr>
              <w:noBreakHyphen/>
            </w:r>
            <w:r>
              <w:rPr>
                <w:rFonts w:hint="default" w:ascii="Times New Roman" w:hAnsi="Times New Roman" w:eastAsia="宋体" w:cs="Times New Roman"/>
                <w:color w:val="auto"/>
                <w:lang w:val="en-US" w:eastAsia="zh-CN"/>
              </w:rPr>
              <w:t>08</w:t>
            </w:r>
            <w:r>
              <w:rPr>
                <w:rFonts w:hint="eastAsia" w:ascii="Times New Roman" w:hAnsi="Times New Roman" w:eastAsia="宋体" w:cs="Times New Roman"/>
                <w:color w:val="auto"/>
                <w:lang w:val="en-US" w:eastAsia="zh-CN"/>
              </w:rPr>
              <w:t>）</w:t>
            </w:r>
          </w:p>
          <w:p w14:paraId="2C0AD0F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属于废矿物油类，液态，热值较高，属于可焚烧类危险废物。企业危废经营许可证包含HW08废矿物油与含矿物油废物，具备处置权限。废机油、废润滑油收集至密闭容器，暂存于厂内危废暂存库；入场化验配伍，控制热值、卤素等参数满足焚烧配伍条件后，送入50t/d回转窑焚烧系统高温焚烧处置；焚烧炉渣、飞灰进入固化车间固化后进入安全填埋场。</w:t>
            </w:r>
          </w:p>
          <w:p w14:paraId="5E0505B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color w:val="auto"/>
                <w:lang w:val="en-US" w:eastAsia="zh-CN"/>
              </w:rPr>
            </w:pPr>
            <w:r>
              <w:rPr>
                <w:rFonts w:hint="eastAsia" w:ascii="Times New Roman" w:hAnsi="Times New Roman" w:eastAsia="宋体" w:cs="Times New Roman"/>
                <w:color w:val="auto"/>
                <w:lang w:val="en-US" w:eastAsia="zh-CN"/>
              </w:rPr>
              <w:t>废物类别在经营许可范围内，现有回转窑焚烧工艺适配该类废物，本项目产生量较小(3t/a)，焚烧系统设计处置余量充足，厂内自行焚烧处置可行。</w:t>
            </w:r>
          </w:p>
          <w:p w14:paraId="58E8A22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②废活性炭（</w:t>
            </w:r>
            <w:r>
              <w:rPr>
                <w:rFonts w:hint="default" w:ascii="Times New Roman" w:hAnsi="Times New Roman" w:eastAsia="宋体" w:cs="Times New Roman"/>
                <w:color w:val="auto"/>
                <w:lang w:val="en-US" w:eastAsia="zh-CN"/>
              </w:rPr>
              <w:t>HW49，900</w:t>
            </w:r>
            <w:r>
              <w:rPr>
                <w:rFonts w:hint="default" w:ascii="Times New Roman" w:hAnsi="Times New Roman" w:eastAsia="宋体" w:cs="Times New Roman"/>
                <w:color w:val="auto"/>
                <w:lang w:val="en-US" w:eastAsia="zh-CN"/>
              </w:rPr>
              <w:noBreakHyphen/>
            </w:r>
            <w:r>
              <w:rPr>
                <w:rFonts w:hint="default" w:ascii="Times New Roman" w:hAnsi="Times New Roman" w:eastAsia="宋体" w:cs="Times New Roman"/>
                <w:color w:val="auto"/>
                <w:lang w:val="en-US" w:eastAsia="zh-CN"/>
              </w:rPr>
              <w:t>039</w:t>
            </w:r>
            <w:r>
              <w:rPr>
                <w:rFonts w:hint="default" w:ascii="Times New Roman" w:hAnsi="Times New Roman" w:eastAsia="宋体" w:cs="Times New Roman"/>
                <w:color w:val="auto"/>
                <w:lang w:val="en-US" w:eastAsia="zh-CN"/>
              </w:rPr>
              <w:noBreakHyphen/>
            </w:r>
            <w:r>
              <w:rPr>
                <w:rFonts w:hint="default" w:ascii="Times New Roman" w:hAnsi="Times New Roman" w:eastAsia="宋体" w:cs="Times New Roman"/>
                <w:color w:val="auto"/>
                <w:lang w:val="en-US" w:eastAsia="zh-CN"/>
              </w:rPr>
              <w:t>49</w:t>
            </w:r>
            <w:r>
              <w:rPr>
                <w:rFonts w:hint="eastAsia" w:ascii="Times New Roman" w:hAnsi="Times New Roman" w:eastAsia="宋体" w:cs="Times New Roman"/>
                <w:color w:val="auto"/>
                <w:lang w:val="en-US" w:eastAsia="zh-CN"/>
              </w:rPr>
              <w:t>）</w:t>
            </w:r>
          </w:p>
          <w:p w14:paraId="62F06EF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吸附VOCs后的废活性炭，固体，含有机挥发性污染物，具备热值，适合焚烧处置。企业危废经营许可证包含HW49其他废物，900-039-49在核准处置范围内。废活性炭密闭收集，危废库分区暂存；经取样化验配伍后送入回转窑焚烧处置，活性炭载体及吸附的有机污染物在回转窑-二燃室高温条件充分分解；焚烧残渣进入固化车间预处理后安全填埋。</w:t>
            </w:r>
          </w:p>
          <w:p w14:paraId="6E0ABE7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废活性炭属于企业许可处置类别，回转窑焚烧可彻底分解吸附的有机污染物，本项目产生量10.32t/a，远小于焚烧设施设计处理规模，厂内自行焚烧处置可行。</w:t>
            </w:r>
          </w:p>
          <w:p w14:paraId="5CDD38E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③</w:t>
            </w:r>
            <w:r>
              <w:rPr>
                <w:rFonts w:hint="default" w:ascii="Times New Roman" w:hAnsi="Times New Roman" w:eastAsia="宋体" w:cs="Times New Roman"/>
                <w:color w:val="auto"/>
                <w:lang w:val="en-US" w:eastAsia="zh-CN"/>
              </w:rPr>
              <w:t>废模具清洗</w:t>
            </w:r>
            <w:r>
              <w:rPr>
                <w:rFonts w:hint="eastAsia" w:ascii="Times New Roman" w:hAnsi="Times New Roman" w:eastAsia="宋体" w:cs="Times New Roman"/>
                <w:color w:val="auto"/>
                <w:lang w:val="en-US" w:eastAsia="zh-CN"/>
              </w:rPr>
              <w:t>液（</w:t>
            </w:r>
            <w:r>
              <w:rPr>
                <w:rFonts w:hint="default" w:ascii="Times New Roman" w:hAnsi="Times New Roman" w:eastAsia="宋体" w:cs="Times New Roman"/>
                <w:color w:val="auto"/>
                <w:lang w:val="en-US" w:eastAsia="zh-CN"/>
              </w:rPr>
              <w:t>HW06，900</w:t>
            </w:r>
            <w:r>
              <w:rPr>
                <w:rFonts w:hint="default" w:ascii="Times New Roman" w:hAnsi="Times New Roman" w:eastAsia="宋体" w:cs="Times New Roman"/>
                <w:color w:val="auto"/>
                <w:lang w:val="en-US" w:eastAsia="zh-CN"/>
              </w:rPr>
              <w:noBreakHyphen/>
            </w:r>
            <w:r>
              <w:rPr>
                <w:rFonts w:hint="default" w:ascii="Times New Roman" w:hAnsi="Times New Roman" w:eastAsia="宋体" w:cs="Times New Roman"/>
                <w:color w:val="auto"/>
                <w:lang w:val="en-US" w:eastAsia="zh-CN"/>
              </w:rPr>
              <w:t>402</w:t>
            </w:r>
            <w:r>
              <w:rPr>
                <w:rFonts w:hint="default" w:ascii="Times New Roman" w:hAnsi="Times New Roman" w:eastAsia="宋体" w:cs="Times New Roman"/>
                <w:color w:val="auto"/>
                <w:lang w:val="en-US" w:eastAsia="zh-CN"/>
              </w:rPr>
              <w:noBreakHyphen/>
            </w:r>
            <w:r>
              <w:rPr>
                <w:rFonts w:hint="default" w:ascii="Times New Roman" w:hAnsi="Times New Roman" w:eastAsia="宋体" w:cs="Times New Roman"/>
                <w:color w:val="auto"/>
                <w:lang w:val="en-US" w:eastAsia="zh-CN"/>
              </w:rPr>
              <w:t>06</w:t>
            </w:r>
            <w:r>
              <w:rPr>
                <w:rFonts w:hint="eastAsia" w:ascii="Times New Roman" w:hAnsi="Times New Roman" w:eastAsia="宋体" w:cs="Times New Roman"/>
                <w:color w:val="auto"/>
                <w:lang w:val="en-US" w:eastAsia="zh-CN"/>
              </w:rPr>
              <w:t>）</w:t>
            </w:r>
          </w:p>
          <w:p w14:paraId="2CFE783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废有机溶剂废液，液态，含有机溶剂，热值较高，可焚烧处置。企业危废经营许可证包含HW06废有机溶剂与含有机溶剂废物，具备处置权限。废模具清洗液密闭桶装收集，危废暂存库液态危废专区存放；化验、配伍，满足入炉条件后泵入回转窑焚烧系统处置；若不满足焚烧配伍条件，可先进入物化车间预处理后，再送入后续处置工序。</w:t>
            </w:r>
          </w:p>
          <w:p w14:paraId="164D172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该废液属于许可经营类别，现有焚烧、物化系统均可适配，产生量仅1t/a，厂内自行处置可行。</w:t>
            </w:r>
          </w:p>
          <w:p w14:paraId="598E6F5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④</w:t>
            </w:r>
            <w:r>
              <w:rPr>
                <w:rFonts w:hint="default" w:ascii="Times New Roman" w:hAnsi="Times New Roman" w:eastAsia="宋体" w:cs="Times New Roman"/>
                <w:color w:val="auto"/>
                <w:lang w:val="en-US" w:eastAsia="zh-CN"/>
              </w:rPr>
              <w:t>UV光催化废灯管</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HW29，900</w:t>
            </w:r>
            <w:r>
              <w:rPr>
                <w:rFonts w:hint="default" w:ascii="Times New Roman" w:hAnsi="Times New Roman" w:eastAsia="宋体" w:cs="Times New Roman"/>
                <w:color w:val="auto"/>
                <w:lang w:val="en-US" w:eastAsia="zh-CN"/>
              </w:rPr>
              <w:noBreakHyphen/>
            </w:r>
            <w:r>
              <w:rPr>
                <w:rFonts w:hint="default" w:ascii="Times New Roman" w:hAnsi="Times New Roman" w:eastAsia="宋体" w:cs="Times New Roman"/>
                <w:color w:val="auto"/>
                <w:lang w:val="en-US" w:eastAsia="zh-CN"/>
              </w:rPr>
              <w:t>023</w:t>
            </w:r>
            <w:r>
              <w:rPr>
                <w:rFonts w:hint="default" w:ascii="Times New Roman" w:hAnsi="Times New Roman" w:eastAsia="宋体" w:cs="Times New Roman"/>
                <w:color w:val="auto"/>
                <w:lang w:val="en-US" w:eastAsia="zh-CN"/>
              </w:rPr>
              <w:noBreakHyphen/>
            </w:r>
            <w:r>
              <w:rPr>
                <w:rFonts w:hint="default" w:ascii="Times New Roman" w:hAnsi="Times New Roman" w:eastAsia="宋体" w:cs="Times New Roman"/>
                <w:color w:val="auto"/>
                <w:lang w:val="en-US" w:eastAsia="zh-CN"/>
              </w:rPr>
              <w:t>29</w:t>
            </w:r>
            <w:r>
              <w:rPr>
                <w:rFonts w:hint="eastAsia" w:ascii="Times New Roman" w:hAnsi="Times New Roman" w:eastAsia="宋体" w:cs="Times New Roman"/>
                <w:color w:val="auto"/>
                <w:lang w:val="en-US" w:eastAsia="zh-CN"/>
              </w:rPr>
              <w:t>）</w:t>
            </w:r>
          </w:p>
          <w:p w14:paraId="7C60960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废含汞电光源，含汞重金属，属于HW29含汞废物。企业危废经营许可证包含HW29含汞废物，具备处置权限。废UV灯管拆卸时采用专用硬质密闭容器封装，防止破碎汞挥发</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危废库分区单独存放</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取样检测，根据检测结果选择处置路线</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满足配伍条件可进入回转窑处置</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也可送入固化车间，水泥基稳定化固化处理，固化体检测达标后进入本企业安全填埋场填埋处置。</w:t>
            </w:r>
          </w:p>
          <w:p w14:paraId="50DA40A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废UV灯管在企业经营许可范围内，本项目产生量仅</w:t>
            </w:r>
            <w:r>
              <w:rPr>
                <w:rFonts w:hint="eastAsia" w:ascii="Times New Roman" w:hAnsi="Times New Roman" w:eastAsia="宋体" w:cs="Times New Roman"/>
                <w:color w:val="auto"/>
                <w:lang w:val="en-US" w:eastAsia="zh-CN"/>
              </w:rPr>
              <w:t>0.00</w:t>
            </w:r>
            <w:r>
              <w:rPr>
                <w:rFonts w:hint="default" w:ascii="Times New Roman" w:hAnsi="Times New Roman" w:eastAsia="宋体" w:cs="Times New Roman"/>
                <w:color w:val="auto"/>
                <w:lang w:val="en-US" w:eastAsia="zh-CN"/>
              </w:rPr>
              <w:t>9</w:t>
            </w:r>
            <w:r>
              <w:rPr>
                <w:rFonts w:hint="eastAsia" w:ascii="Times New Roman" w:hAnsi="Times New Roman" w:eastAsia="宋体" w:cs="Times New Roman"/>
                <w:color w:val="auto"/>
                <w:lang w:val="en-US" w:eastAsia="zh-CN"/>
              </w:rPr>
              <w:t>t</w:t>
            </w:r>
            <w:r>
              <w:rPr>
                <w:rFonts w:hint="default" w:ascii="Times New Roman" w:hAnsi="Times New Roman" w:eastAsia="宋体" w:cs="Times New Roman"/>
                <w:color w:val="auto"/>
                <w:lang w:val="en-US" w:eastAsia="zh-CN"/>
              </w:rPr>
              <w:t>/a，产生量极小</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现有固化填埋系统可对含汞废物实现稳定化预处理后安全填埋，厂内自行处置可行。</w:t>
            </w:r>
          </w:p>
          <w:p w14:paraId="5B5C24A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综上所述，</w:t>
            </w:r>
            <w:r>
              <w:rPr>
                <w:rFonts w:hint="default" w:ascii="Times New Roman" w:hAnsi="Times New Roman" w:eastAsia="宋体" w:cs="Times New Roman"/>
                <w:color w:val="auto"/>
                <w:lang w:val="en-US" w:eastAsia="zh-CN"/>
              </w:rPr>
              <w:t>企业回转窑焚烧设计处置规模15000t/a</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固化填埋处置规模23750t/a</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本项目自产各类危险废物合计产生量</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3+10.32+1+0.009=14.329t/a。本项目自产危废总产生量远小于企业现有焚烧、固化填埋设施设计处置能力，现有处置设施余量充足。</w:t>
            </w:r>
          </w:p>
          <w:p w14:paraId="6773F58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r>
              <w:rPr>
                <w:rFonts w:hint="eastAsia" w:cs="Times New Roman"/>
                <w:color w:val="auto"/>
                <w:szCs w:val="21"/>
                <w:lang w:val="en-US" w:eastAsia="zh-CN"/>
              </w:rPr>
              <w:t>4</w:t>
            </w:r>
            <w:r>
              <w:rPr>
                <w:rFonts w:hint="default" w:ascii="Times New Roman" w:hAnsi="Times New Roman" w:eastAsia="宋体" w:cs="Times New Roman"/>
                <w:color w:val="auto"/>
                <w:szCs w:val="21"/>
                <w:lang w:val="en-US" w:eastAsia="zh-CN"/>
              </w:rPr>
              <w:t>）结论与建议</w:t>
            </w:r>
          </w:p>
          <w:p w14:paraId="1248FA0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本项目运营过程中产生的危险废物为废机油、废润滑油</w:t>
            </w:r>
            <w:r>
              <w:rPr>
                <w:rFonts w:hint="eastAsia" w:ascii="Times New Roman" w:hAnsi="Times New Roman" w:eastAsia="宋体" w:cs="Times New Roman"/>
                <w:color w:val="auto"/>
                <w:szCs w:val="21"/>
                <w:lang w:val="en-US" w:eastAsia="zh-CN"/>
              </w:rPr>
              <w:t>、废活性炭、</w:t>
            </w:r>
            <w:r>
              <w:rPr>
                <w:rFonts w:hint="default" w:ascii="Times New Roman" w:hAnsi="Times New Roman" w:eastAsia="宋体" w:cs="Times New Roman"/>
                <w:color w:val="auto"/>
                <w:szCs w:val="21"/>
                <w:lang w:val="en-US" w:eastAsia="zh-CN"/>
              </w:rPr>
              <w:t>废模具清洗</w:t>
            </w:r>
            <w:r>
              <w:rPr>
                <w:rFonts w:hint="eastAsia" w:cs="Times New Roman"/>
                <w:color w:val="auto"/>
                <w:szCs w:val="21"/>
                <w:lang w:val="en-US" w:eastAsia="zh-CN"/>
              </w:rPr>
              <w:t>液</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UV光催化废灯管，针对</w:t>
            </w:r>
            <w:r>
              <w:rPr>
                <w:rFonts w:hint="default" w:ascii="Times New Roman" w:hAnsi="Times New Roman" w:eastAsia="宋体" w:cs="Times New Roman"/>
                <w:color w:val="auto"/>
                <w:szCs w:val="21"/>
                <w:lang w:val="en-US" w:eastAsia="zh-CN"/>
              </w:rPr>
              <w:t>产生的危险废物企业设置危险废物暂存间，且该暂存间按照《危险废物贮存污染物控制标准》（GB18597）文件要求进行建设和管理，各类危废分类、分区收集贮存，包装容器符合规定、危废贮存场所建设达到国家相关标准规定要求，危废经厂内收集暂存后</w:t>
            </w:r>
            <w:r>
              <w:rPr>
                <w:rFonts w:hint="eastAsia" w:ascii="Times New Roman" w:hAnsi="Times New Roman" w:eastAsia="宋体" w:cs="Times New Roman"/>
                <w:color w:val="auto"/>
                <w:szCs w:val="21"/>
                <w:lang w:val="en-US" w:eastAsia="zh-CN"/>
              </w:rPr>
              <w:t>进行</w:t>
            </w:r>
            <w:r>
              <w:rPr>
                <w:rFonts w:hint="default" w:ascii="Times New Roman" w:hAnsi="Times New Roman" w:eastAsia="宋体" w:cs="Times New Roman"/>
                <w:color w:val="auto"/>
                <w:szCs w:val="21"/>
                <w:lang w:val="en-US" w:eastAsia="zh-CN"/>
              </w:rPr>
              <w:t>安全处置，建立企业危废台账，执行危废转移联单，编制突发环境事件应急预案并定期演练，在此基础上，项目危废对环境造成的影响可控。</w:t>
            </w:r>
          </w:p>
          <w:p w14:paraId="4C81C2E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szCs w:val="21"/>
                <w:lang w:val="en-US" w:eastAsia="zh-CN"/>
              </w:rPr>
            </w:pPr>
            <w:r>
              <w:rPr>
                <w:rFonts w:hint="default" w:ascii="Times New Roman" w:hAnsi="Times New Roman" w:eastAsia="宋体" w:cs="Times New Roman"/>
                <w:b/>
                <w:bCs/>
                <w:color w:val="auto"/>
                <w:szCs w:val="21"/>
                <w:lang w:val="en-US" w:eastAsia="zh-CN"/>
              </w:rPr>
              <w:t>5、土壤、地下水</w:t>
            </w:r>
          </w:p>
          <w:p w14:paraId="590B14A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5.1污染源项分析</w:t>
            </w:r>
          </w:p>
          <w:p w14:paraId="04308FA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本</w:t>
            </w:r>
            <w:r>
              <w:rPr>
                <w:rFonts w:hint="default" w:ascii="Times New Roman" w:hAnsi="Times New Roman" w:eastAsia="宋体" w:cs="Times New Roman"/>
                <w:color w:val="auto"/>
                <w:szCs w:val="21"/>
                <w:lang w:val="en-US" w:eastAsia="zh-CN"/>
              </w:rPr>
              <w:t>项目粉碎、焊接工序产生颗粒物，吹塑工序产生VOCs，废气处理后经15m排气筒排放。周边地面已硬化，不会因大气沉降造成土壤、地下水污染</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项目产生废水为生活污水，水质相对简单，且污水排放管道均进行防腐、防渗处理，因此在正常情况下不会污染地下水和土壤。</w:t>
            </w:r>
          </w:p>
          <w:p w14:paraId="491C069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5.2污染控制措施</w:t>
            </w:r>
          </w:p>
          <w:p w14:paraId="54DE5DB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为防止项目营运期对区域地下水、土壤环境造成污染，建设单位采取以下防范措施：</w:t>
            </w:r>
          </w:p>
          <w:p w14:paraId="5AC8475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（1）源头控制措施</w:t>
            </w:r>
          </w:p>
          <w:p w14:paraId="0FEC49E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严格按照国家相关规范要求，对沉淀水池、循环水池、冷却水池、危废暂存库等必须采取相应防渗措施，以防止和降低可能污染物的跑、冒、滴、漏，将污染物泄漏的环境风险事故降低到最低程度。</w:t>
            </w:r>
          </w:p>
          <w:p w14:paraId="08F8549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（2）分区防渗措施</w:t>
            </w:r>
          </w:p>
          <w:p w14:paraId="6796FF6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主要包括厂内污染区地面的防渗措施和泄漏、渗漏污染物收集措施，即在污染区地面进行防渗处理，防止洒落地面的污染物渗入地下，并把滞留在地面的污染物收集起来集中处理，从而避免对地下水的污染。结合项目各生产设备、贮存等因素，根据项目场地污染控制难易程度和污染物特性对全厂进行分区防控。具体分区防渗见表4-1</w:t>
            </w:r>
            <w:r>
              <w:rPr>
                <w:rFonts w:hint="eastAsia"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lang w:val="en-US" w:eastAsia="zh-CN"/>
              </w:rPr>
              <w:t>。</w:t>
            </w:r>
          </w:p>
          <w:p w14:paraId="27077289">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zh-CN" w:eastAsia="zh-CN"/>
              </w:rPr>
            </w:pPr>
            <w:r>
              <w:rPr>
                <w:rFonts w:hint="default" w:ascii="Times New Roman" w:hAnsi="Times New Roman" w:eastAsia="宋体" w:cs="Times New Roman"/>
                <w:b/>
                <w:bCs/>
                <w:color w:val="auto"/>
                <w:sz w:val="24"/>
                <w:lang w:val="zh-CN" w:eastAsia="zh-CN"/>
              </w:rPr>
              <w:t>表4-1</w:t>
            </w:r>
            <w:r>
              <w:rPr>
                <w:rFonts w:hint="eastAsia" w:ascii="Times New Roman" w:hAnsi="Times New Roman" w:eastAsia="宋体" w:cs="Times New Roman"/>
                <w:b/>
                <w:bCs/>
                <w:color w:val="auto"/>
                <w:sz w:val="24"/>
                <w:lang w:val="en-US" w:eastAsia="zh-CN"/>
              </w:rPr>
              <w:t>1</w:t>
            </w:r>
            <w:r>
              <w:rPr>
                <w:rFonts w:hint="default" w:ascii="Times New Roman" w:hAnsi="Times New Roman" w:eastAsia="宋体" w:cs="Times New Roman"/>
                <w:b/>
                <w:bCs/>
                <w:color w:val="auto"/>
                <w:sz w:val="24"/>
                <w:lang w:val="zh-CN" w:eastAsia="zh-CN"/>
              </w:rPr>
              <w:t>各污染防治区防渗设计要求一览表</w:t>
            </w:r>
          </w:p>
          <w:tbl>
            <w:tblPr>
              <w:tblStyle w:val="24"/>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7"/>
              <w:gridCol w:w="1359"/>
              <w:gridCol w:w="2301"/>
              <w:gridCol w:w="1498"/>
              <w:gridCol w:w="1777"/>
            </w:tblGrid>
            <w:tr w14:paraId="12FF0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931" w:type="pct"/>
                  <w:tcBorders>
                    <w:tl2br w:val="nil"/>
                    <w:tr2bl w:val="nil"/>
                  </w:tcBorders>
                  <w:noWrap w:val="0"/>
                  <w:vAlign w:val="center"/>
                </w:tcPr>
                <w:p w14:paraId="791CFE75">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防渗区域</w:t>
                  </w:r>
                </w:p>
              </w:tc>
              <w:tc>
                <w:tcPr>
                  <w:tcW w:w="797" w:type="pct"/>
                  <w:tcBorders>
                    <w:tl2br w:val="nil"/>
                    <w:tr2bl w:val="nil"/>
                  </w:tcBorders>
                  <w:noWrap w:val="0"/>
                  <w:vAlign w:val="center"/>
                </w:tcPr>
                <w:p w14:paraId="14FE6AD3">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防渗分区</w:t>
                  </w:r>
                </w:p>
              </w:tc>
              <w:tc>
                <w:tcPr>
                  <w:tcW w:w="1350" w:type="pct"/>
                  <w:tcBorders>
                    <w:tl2br w:val="nil"/>
                    <w:tr2bl w:val="nil"/>
                  </w:tcBorders>
                  <w:noWrap w:val="0"/>
                  <w:vAlign w:val="center"/>
                </w:tcPr>
                <w:p w14:paraId="631ED024">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防渗原则</w:t>
                  </w:r>
                </w:p>
              </w:tc>
              <w:tc>
                <w:tcPr>
                  <w:tcW w:w="878" w:type="pct"/>
                  <w:tcBorders>
                    <w:tl2br w:val="nil"/>
                    <w:tr2bl w:val="nil"/>
                  </w:tcBorders>
                  <w:noWrap w:val="0"/>
                  <w:vAlign w:val="center"/>
                </w:tcPr>
                <w:p w14:paraId="4BF18E63">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防渗区域</w:t>
                  </w:r>
                </w:p>
              </w:tc>
              <w:tc>
                <w:tcPr>
                  <w:tcW w:w="1042" w:type="pct"/>
                  <w:tcBorders>
                    <w:tl2br w:val="nil"/>
                    <w:tr2bl w:val="nil"/>
                  </w:tcBorders>
                  <w:noWrap w:val="0"/>
                  <w:vAlign w:val="center"/>
                </w:tcPr>
                <w:p w14:paraId="2AC4A325">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备注</w:t>
                  </w:r>
                </w:p>
              </w:tc>
            </w:tr>
            <w:tr w14:paraId="26ACE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jc w:val="center"/>
              </w:trPr>
              <w:tc>
                <w:tcPr>
                  <w:tcW w:w="931" w:type="pct"/>
                  <w:tcBorders>
                    <w:tl2br w:val="nil"/>
                    <w:tr2bl w:val="nil"/>
                  </w:tcBorders>
                  <w:noWrap w:val="0"/>
                  <w:vAlign w:val="center"/>
                </w:tcPr>
                <w:p w14:paraId="76862B5C">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生产车间</w:t>
                  </w:r>
                </w:p>
              </w:tc>
              <w:tc>
                <w:tcPr>
                  <w:tcW w:w="797" w:type="pct"/>
                  <w:tcBorders>
                    <w:tl2br w:val="nil"/>
                    <w:tr2bl w:val="nil"/>
                  </w:tcBorders>
                  <w:noWrap w:val="0"/>
                  <w:vAlign w:val="center"/>
                </w:tcPr>
                <w:p w14:paraId="241A854A">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一般</w:t>
                  </w:r>
                  <w:r>
                    <w:rPr>
                      <w:rFonts w:hint="default" w:ascii="Times New Roman" w:hAnsi="Times New Roman" w:eastAsia="宋体"/>
                      <w:color w:val="auto"/>
                      <w:sz w:val="21"/>
                      <w:szCs w:val="21"/>
                      <w:lang w:val="en-US" w:eastAsia="zh-CN"/>
                    </w:rPr>
                    <w:t>防渗</w:t>
                  </w:r>
                </w:p>
              </w:tc>
              <w:tc>
                <w:tcPr>
                  <w:tcW w:w="1350" w:type="pct"/>
                  <w:tcBorders>
                    <w:tl2br w:val="nil"/>
                    <w:tr2bl w:val="nil"/>
                  </w:tcBorders>
                  <w:noWrap w:val="0"/>
                  <w:vAlign w:val="center"/>
                </w:tcPr>
                <w:p w14:paraId="3444602B">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等效黏土防渗层Mb≥</w:t>
                  </w:r>
                  <w:r>
                    <w:rPr>
                      <w:rFonts w:hint="eastAsia" w:ascii="Times New Roman" w:hAnsi="Times New Roman" w:eastAsia="宋体"/>
                      <w:color w:val="auto"/>
                      <w:sz w:val="21"/>
                      <w:szCs w:val="21"/>
                      <w:lang w:val="en-US" w:eastAsia="zh-CN"/>
                    </w:rPr>
                    <w:t>1.5</w:t>
                  </w:r>
                  <w:r>
                    <w:rPr>
                      <w:rFonts w:hint="default" w:ascii="Times New Roman" w:hAnsi="Times New Roman" w:eastAsia="宋体"/>
                      <w:color w:val="auto"/>
                      <w:sz w:val="21"/>
                      <w:szCs w:val="21"/>
                      <w:lang w:val="en-US" w:eastAsia="zh-CN"/>
                    </w:rPr>
                    <w:t>m，</w:t>
                  </w:r>
                </w:p>
                <w:p w14:paraId="40D2FD2B">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K≤1×10</w:t>
                  </w:r>
                  <w:r>
                    <w:rPr>
                      <w:rFonts w:hint="default" w:ascii="Times New Roman" w:hAnsi="Times New Roman" w:eastAsia="宋体"/>
                      <w:color w:val="auto"/>
                      <w:sz w:val="21"/>
                      <w:szCs w:val="21"/>
                      <w:vertAlign w:val="superscript"/>
                      <w:lang w:val="en-US" w:eastAsia="zh-CN"/>
                    </w:rPr>
                    <w:t>-7</w:t>
                  </w:r>
                  <w:r>
                    <w:rPr>
                      <w:rFonts w:hint="default" w:ascii="Times New Roman" w:hAnsi="Times New Roman" w:eastAsia="宋体"/>
                      <w:color w:val="auto"/>
                      <w:sz w:val="21"/>
                      <w:szCs w:val="21"/>
                      <w:lang w:val="en-US" w:eastAsia="zh-CN"/>
                    </w:rPr>
                    <w:t>cm/s；</w:t>
                  </w:r>
                </w:p>
              </w:tc>
              <w:tc>
                <w:tcPr>
                  <w:tcW w:w="878" w:type="pct"/>
                  <w:tcBorders>
                    <w:tl2br w:val="nil"/>
                    <w:tr2bl w:val="nil"/>
                  </w:tcBorders>
                  <w:noWrap w:val="0"/>
                  <w:vAlign w:val="center"/>
                </w:tcPr>
                <w:p w14:paraId="1F8F5D4C">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地面、裙脚、</w:t>
                  </w:r>
                </w:p>
                <w:p w14:paraId="68AE257F">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水池池底及池壁</w:t>
                  </w:r>
                </w:p>
              </w:tc>
              <w:tc>
                <w:tcPr>
                  <w:tcW w:w="1042" w:type="pct"/>
                  <w:tcBorders>
                    <w:tl2br w:val="nil"/>
                    <w:tr2bl w:val="nil"/>
                  </w:tcBorders>
                  <w:noWrap w:val="0"/>
                  <w:vAlign w:val="center"/>
                </w:tcPr>
                <w:p w14:paraId="0A233DF3">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新建</w:t>
                  </w:r>
                </w:p>
              </w:tc>
            </w:tr>
            <w:tr w14:paraId="5C8CF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8" w:hRule="atLeast"/>
                <w:jc w:val="center"/>
              </w:trPr>
              <w:tc>
                <w:tcPr>
                  <w:tcW w:w="931" w:type="pct"/>
                  <w:tcBorders>
                    <w:tl2br w:val="nil"/>
                    <w:tr2bl w:val="nil"/>
                  </w:tcBorders>
                  <w:noWrap w:val="0"/>
                  <w:vAlign w:val="center"/>
                </w:tcPr>
                <w:p w14:paraId="41A83752">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危废暂存库</w:t>
                  </w:r>
                </w:p>
              </w:tc>
              <w:tc>
                <w:tcPr>
                  <w:tcW w:w="797" w:type="pct"/>
                  <w:tcBorders>
                    <w:tl2br w:val="nil"/>
                    <w:tr2bl w:val="nil"/>
                  </w:tcBorders>
                  <w:noWrap w:val="0"/>
                  <w:vAlign w:val="center"/>
                </w:tcPr>
                <w:p w14:paraId="2D7A09A1">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重点防渗</w:t>
                  </w:r>
                </w:p>
              </w:tc>
              <w:tc>
                <w:tcPr>
                  <w:tcW w:w="1350" w:type="pct"/>
                  <w:tcBorders>
                    <w:tl2br w:val="nil"/>
                    <w:tr2bl w:val="nil"/>
                  </w:tcBorders>
                  <w:noWrap w:val="0"/>
                  <w:vAlign w:val="center"/>
                </w:tcPr>
                <w:p w14:paraId="538A3A77">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执行</w:t>
                  </w:r>
                  <w:r>
                    <w:rPr>
                      <w:rFonts w:hint="default" w:ascii="Times New Roman" w:hAnsi="Times New Roman" w:eastAsia="宋体"/>
                      <w:color w:val="auto"/>
                      <w:sz w:val="21"/>
                      <w:szCs w:val="21"/>
                      <w:lang w:val="en-US" w:eastAsia="zh-CN"/>
                    </w:rPr>
                    <w:t>GB1859</w:t>
                  </w:r>
                  <w:r>
                    <w:rPr>
                      <w:rFonts w:hint="eastAsia"/>
                      <w:color w:val="auto"/>
                      <w:sz w:val="21"/>
                      <w:szCs w:val="21"/>
                      <w:lang w:val="en-US" w:eastAsia="zh-CN"/>
                    </w:rPr>
                    <w:t>7</w:t>
                  </w:r>
                </w:p>
              </w:tc>
              <w:tc>
                <w:tcPr>
                  <w:tcW w:w="878" w:type="pct"/>
                  <w:tcBorders>
                    <w:tl2br w:val="nil"/>
                    <w:tr2bl w:val="nil"/>
                  </w:tcBorders>
                  <w:noWrap w:val="0"/>
                  <w:vAlign w:val="center"/>
                </w:tcPr>
                <w:p w14:paraId="3710EEA3">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地面、裙脚、</w:t>
                  </w:r>
                </w:p>
                <w:p w14:paraId="4D22422B">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水池池底及池壁</w:t>
                  </w:r>
                </w:p>
              </w:tc>
              <w:tc>
                <w:tcPr>
                  <w:tcW w:w="1042" w:type="pct"/>
                  <w:tcBorders>
                    <w:tl2br w:val="nil"/>
                    <w:tr2bl w:val="nil"/>
                  </w:tcBorders>
                  <w:noWrap w:val="0"/>
                  <w:vAlign w:val="center"/>
                </w:tcPr>
                <w:p w14:paraId="287FA488">
                  <w:pPr>
                    <w:keepNext w:val="0"/>
                    <w:keepLines w:val="0"/>
                    <w:pageBreakBefore w:val="0"/>
                    <w:widowControl/>
                    <w:suppressLineNumbers w:val="0"/>
                    <w:kinsoku/>
                    <w:overflowPunct/>
                    <w:bidi w:val="0"/>
                    <w:spacing w:before="0" w:beforeAutospacing="0" w:after="0" w:afterLines="0" w:afterAutospacing="0"/>
                    <w:ind w:left="0" w:right="0"/>
                    <w:jc w:val="left"/>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依托</w:t>
                  </w:r>
                  <w:r>
                    <w:rPr>
                      <w:rFonts w:hint="eastAsia" w:ascii="Times New Roman" w:hAnsi="Times New Roman" w:eastAsia="宋体" w:cs="Times New Roman"/>
                      <w:color w:val="auto"/>
                      <w:sz w:val="21"/>
                      <w:szCs w:val="21"/>
                      <w:lang w:val="en-US" w:eastAsia="zh-CN"/>
                    </w:rPr>
                    <w:t>，防渗施工满足《危险废物贮存污染控制标准》（</w:t>
                  </w:r>
                  <w:r>
                    <w:rPr>
                      <w:rFonts w:hint="default" w:ascii="Times New Roman" w:hAnsi="Times New Roman" w:eastAsia="宋体" w:cs="Times New Roman"/>
                      <w:color w:val="auto"/>
                      <w:sz w:val="21"/>
                      <w:szCs w:val="21"/>
                      <w:lang w:val="en-US" w:eastAsia="zh-CN"/>
                    </w:rPr>
                    <w:t>GB18597-2023</w:t>
                  </w:r>
                  <w:r>
                    <w:rPr>
                      <w:rFonts w:hint="eastAsia" w:ascii="Times New Roman" w:hAnsi="Times New Roman" w:eastAsia="宋体" w:cs="Times New Roman"/>
                      <w:color w:val="auto"/>
                      <w:sz w:val="21"/>
                      <w:szCs w:val="21"/>
                      <w:lang w:val="en-US" w:eastAsia="zh-CN"/>
                    </w:rPr>
                    <w:t>）中的防渗要求</w:t>
                  </w:r>
                </w:p>
              </w:tc>
            </w:tr>
            <w:tr w14:paraId="3B7CF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6" w:hRule="atLeast"/>
                <w:jc w:val="center"/>
              </w:trPr>
              <w:tc>
                <w:tcPr>
                  <w:tcW w:w="931" w:type="pct"/>
                  <w:tcBorders>
                    <w:tl2br w:val="nil"/>
                    <w:tr2bl w:val="nil"/>
                  </w:tcBorders>
                  <w:noWrap w:val="0"/>
                  <w:vAlign w:val="center"/>
                </w:tcPr>
                <w:p w14:paraId="4D080603">
                  <w:pPr>
                    <w:pStyle w:val="67"/>
                    <w:keepNext w:val="0"/>
                    <w:keepLines w:val="0"/>
                    <w:pageBreakBefore w:val="0"/>
                    <w:suppressLineNumbers w:val="0"/>
                    <w:kinsoku/>
                    <w:overflowPunct/>
                    <w:bidi w:val="0"/>
                    <w:spacing w:before="0" w:beforeAutospacing="0" w:after="0" w:afterLines="0" w:afterAutospacing="0"/>
                    <w:ind w:left="0" w:right="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办公用房</w:t>
                  </w:r>
                  <w:r>
                    <w:rPr>
                      <w:rFonts w:hint="eastAsia" w:ascii="Times New Roman" w:hAnsi="Times New Roman" w:eastAsia="宋体"/>
                      <w:color w:val="auto"/>
                      <w:sz w:val="21"/>
                      <w:szCs w:val="21"/>
                      <w:lang w:val="en-US" w:eastAsia="zh-CN"/>
                    </w:rPr>
                    <w:t>、泵房、配电室</w:t>
                  </w:r>
                </w:p>
              </w:tc>
              <w:tc>
                <w:tcPr>
                  <w:tcW w:w="797" w:type="pct"/>
                  <w:tcBorders>
                    <w:tl2br w:val="nil"/>
                    <w:tr2bl w:val="nil"/>
                  </w:tcBorders>
                  <w:noWrap w:val="0"/>
                  <w:vAlign w:val="center"/>
                </w:tcPr>
                <w:p w14:paraId="5DFFA75A">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简单防渗</w:t>
                  </w:r>
                </w:p>
              </w:tc>
              <w:tc>
                <w:tcPr>
                  <w:tcW w:w="1350" w:type="pct"/>
                  <w:tcBorders>
                    <w:tl2br w:val="nil"/>
                    <w:tr2bl w:val="nil"/>
                  </w:tcBorders>
                  <w:noWrap w:val="0"/>
                  <w:vAlign w:val="center"/>
                </w:tcPr>
                <w:p w14:paraId="56B000A2">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一般地面硬化</w:t>
                  </w:r>
                </w:p>
              </w:tc>
              <w:tc>
                <w:tcPr>
                  <w:tcW w:w="878" w:type="pct"/>
                  <w:tcBorders>
                    <w:tl2br w:val="nil"/>
                    <w:tr2bl w:val="nil"/>
                  </w:tcBorders>
                  <w:noWrap w:val="0"/>
                  <w:vAlign w:val="center"/>
                </w:tcPr>
                <w:p w14:paraId="1E7DBA9F">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jc w:val="center"/>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地面</w:t>
                  </w:r>
                </w:p>
              </w:tc>
              <w:tc>
                <w:tcPr>
                  <w:tcW w:w="1042" w:type="pct"/>
                  <w:tcBorders>
                    <w:tl2br w:val="nil"/>
                    <w:tr2bl w:val="nil"/>
                  </w:tcBorders>
                  <w:noWrap w:val="0"/>
                  <w:vAlign w:val="center"/>
                </w:tcPr>
                <w:p w14:paraId="0FD42B94">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依托</w:t>
                  </w:r>
                </w:p>
              </w:tc>
            </w:tr>
          </w:tbl>
          <w:p w14:paraId="756C763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szCs w:val="21"/>
                <w:lang w:val="en-US" w:eastAsia="zh-CN"/>
              </w:rPr>
            </w:pPr>
            <w:r>
              <w:rPr>
                <w:rFonts w:hint="default" w:ascii="Times New Roman" w:hAnsi="Times New Roman" w:eastAsia="宋体" w:cs="Times New Roman"/>
                <w:b/>
                <w:bCs/>
                <w:color w:val="auto"/>
                <w:szCs w:val="21"/>
                <w:lang w:val="en-US" w:eastAsia="zh-CN"/>
              </w:rPr>
              <w:t>6、环境风险分析</w:t>
            </w:r>
          </w:p>
          <w:p w14:paraId="3505E18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6.1评价依据</w:t>
            </w:r>
          </w:p>
          <w:p w14:paraId="5097358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（1）风险调查</w:t>
            </w:r>
          </w:p>
          <w:p w14:paraId="7555796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a．风险物质</w:t>
            </w:r>
          </w:p>
          <w:p w14:paraId="3EFBAC4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参照《建设项目环境风险评价技术导则》</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HJ169-2018</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附录B表B.1内容，本项目涉及风险物质</w:t>
            </w:r>
            <w:r>
              <w:rPr>
                <w:rFonts w:hint="eastAsia" w:cs="Times New Roman"/>
                <w:color w:val="auto"/>
                <w:szCs w:val="21"/>
                <w:lang w:val="en-US" w:eastAsia="zh-CN"/>
              </w:rPr>
              <w:t>有废机油、废润滑油、UV光催化废灯管的汞</w:t>
            </w:r>
            <w:r>
              <w:rPr>
                <w:rFonts w:hint="default" w:ascii="Times New Roman" w:hAnsi="Times New Roman" w:eastAsia="宋体" w:cs="Times New Roman"/>
                <w:color w:val="auto"/>
                <w:szCs w:val="21"/>
                <w:lang w:val="en-US" w:eastAsia="zh-CN"/>
              </w:rPr>
              <w:t>。</w:t>
            </w:r>
          </w:p>
          <w:p w14:paraId="0F5D8E4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b．危险工艺</w:t>
            </w:r>
          </w:p>
          <w:p w14:paraId="6575DB4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本项目生产工艺不涉及《建设项目环境风险评价技术导则》（HJ169-2018）附录C中所列危险工艺。</w:t>
            </w:r>
          </w:p>
          <w:p w14:paraId="2F5CB1B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（2）风险潜势初判</w:t>
            </w:r>
          </w:p>
          <w:p w14:paraId="029A6D3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本项目废气治理光催化产生废UV灯管，灯管内部含有单质汞</w:t>
            </w:r>
            <w:r>
              <w:rPr>
                <w:rFonts w:hint="eastAsia" w:ascii="Times New Roman" w:hAnsi="Times New Roman" w:eastAsia="宋体" w:cs="Times New Roman"/>
                <w:color w:val="auto"/>
                <w:szCs w:val="21"/>
                <w:lang w:val="en-US" w:eastAsia="zh-CN"/>
              </w:rPr>
              <w:t>，使用的</w:t>
            </w:r>
            <w:r>
              <w:rPr>
                <w:rFonts w:hint="default" w:ascii="Times New Roman" w:hAnsi="Times New Roman" w:eastAsia="宋体" w:cs="Times New Roman"/>
                <w:color w:val="auto"/>
                <w:szCs w:val="21"/>
                <w:lang w:val="en-US" w:eastAsia="zh-CN"/>
              </w:rPr>
              <w:t>150W工业UV光解灯管，单支含汞量</w:t>
            </w:r>
            <w:r>
              <w:rPr>
                <w:rFonts w:hint="eastAsia" w:ascii="Times New Roman" w:hAnsi="Times New Roman" w:eastAsia="宋体" w:cs="Times New Roman"/>
                <w:color w:val="auto"/>
                <w:szCs w:val="21"/>
                <w:lang w:val="en-US" w:eastAsia="zh-CN"/>
              </w:rPr>
              <w:t>为</w:t>
            </w:r>
            <w:r>
              <w:rPr>
                <w:rFonts w:hint="default" w:ascii="Times New Roman" w:hAnsi="Times New Roman" w:eastAsia="宋体" w:cs="Times New Roman"/>
                <w:color w:val="auto"/>
                <w:szCs w:val="21"/>
                <w:lang w:val="en-US" w:eastAsia="zh-CN"/>
              </w:rPr>
              <w:t>25mg，每年使用35根</w:t>
            </w:r>
            <w:r>
              <w:rPr>
                <w:rFonts w:hint="eastAsia" w:ascii="Times New Roman" w:hAnsi="Times New Roman" w:eastAsia="宋体" w:cs="Times New Roman"/>
                <w:color w:val="auto"/>
                <w:szCs w:val="21"/>
                <w:lang w:val="en-US" w:eastAsia="zh-CN"/>
              </w:rPr>
              <w:t>，汞最大存在总量为0.000000875t。</w:t>
            </w:r>
          </w:p>
          <w:p w14:paraId="1C1976E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根据《建</w:t>
            </w:r>
            <w:r>
              <w:rPr>
                <w:rFonts w:hint="default" w:ascii="Times New Roman" w:hAnsi="Times New Roman" w:eastAsia="宋体" w:cs="Times New Roman"/>
                <w:color w:val="auto"/>
                <w:szCs w:val="21"/>
                <w:lang w:val="en-US" w:eastAsia="zh-CN"/>
              </w:rPr>
              <w:t>设项目环境风险评价技术导则》</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HJ169-2018</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中附录C，</w:t>
            </w:r>
            <w:r>
              <w:rPr>
                <w:rFonts w:cs="Times New Roman"/>
                <w:color w:val="auto"/>
              </w:rPr>
              <w:t>计算危险物质数量与临界量的比</w:t>
            </w:r>
            <w:r>
              <w:rPr>
                <w:rFonts w:cs="Times New Roman"/>
                <w:color w:val="auto"/>
                <w:highlight w:val="none"/>
              </w:rPr>
              <w:t>值</w:t>
            </w:r>
            <w:r>
              <w:rPr>
                <w:rFonts w:hint="default" w:ascii="Times New Roman" w:hAnsi="Times New Roman" w:eastAsia="宋体" w:cs="Times New Roman"/>
                <w:color w:val="auto"/>
                <w:szCs w:val="21"/>
                <w:lang w:val="en-US" w:eastAsia="zh-CN"/>
              </w:rPr>
              <w:t>Q&lt;1</w:t>
            </w:r>
            <w:r>
              <w:rPr>
                <w:rFonts w:cs="Times New Roman"/>
                <w:color w:val="auto"/>
              </w:rPr>
              <w:t>，</w:t>
            </w:r>
            <w:r>
              <w:rPr>
                <w:rFonts w:hint="default" w:ascii="Times New Roman" w:hAnsi="Times New Roman" w:eastAsia="宋体" w:cs="Times New Roman"/>
                <w:color w:val="auto"/>
                <w:szCs w:val="21"/>
                <w:lang w:val="en-US" w:eastAsia="zh-CN"/>
              </w:rPr>
              <w:t>本项目环境风险潜势为Ⅰ，进行简单分析。</w:t>
            </w:r>
            <w:r>
              <w:rPr>
                <w:rFonts w:cs="Times New Roman"/>
                <w:color w:val="auto"/>
              </w:rPr>
              <w:t>Q值计算结果见表</w:t>
            </w:r>
            <w:r>
              <w:rPr>
                <w:rFonts w:hint="eastAsia" w:cs="Times New Roman"/>
                <w:color w:val="auto"/>
                <w:lang w:val="en-US" w:eastAsia="zh-CN"/>
              </w:rPr>
              <w:t>4-12</w:t>
            </w:r>
            <w:r>
              <w:rPr>
                <w:rFonts w:cs="Times New Roman"/>
                <w:color w:val="auto"/>
              </w:rPr>
              <w:t>。</w:t>
            </w:r>
          </w:p>
          <w:p w14:paraId="108713D8">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Lines="0" w:afterAutospacing="0" w:line="440" w:lineRule="exact"/>
              <w:ind w:left="0" w:right="0" w:firstLine="0" w:firstLineChars="0"/>
              <w:jc w:val="center"/>
              <w:textAlignment w:val="auto"/>
              <w:outlineLvl w:val="1"/>
              <w:rPr>
                <w:rFonts w:hint="default" w:ascii="Times New Roman" w:hAnsi="Times New Roman" w:eastAsia="宋体" w:cs="Times New Roman"/>
                <w:b/>
                <w:bCs/>
                <w:color w:val="auto"/>
                <w:szCs w:val="24"/>
                <w:lang w:val="zh-CN" w:eastAsia="zh-CN"/>
              </w:rPr>
            </w:pPr>
            <w:r>
              <w:rPr>
                <w:rFonts w:hint="default" w:ascii="Times New Roman" w:hAnsi="Times New Roman" w:eastAsia="宋体" w:cs="Times New Roman"/>
                <w:b/>
                <w:bCs/>
                <w:color w:val="auto"/>
                <w:szCs w:val="24"/>
                <w:lang w:val="zh-CN" w:eastAsia="zh-CN"/>
              </w:rPr>
              <w:t>表4-12Q值计算结果</w:t>
            </w:r>
          </w:p>
          <w:tbl>
            <w:tblPr>
              <w:tblStyle w:val="24"/>
              <w:tblW w:w="862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425"/>
              <w:gridCol w:w="1173"/>
              <w:gridCol w:w="1783"/>
              <w:gridCol w:w="1117"/>
              <w:gridCol w:w="1300"/>
              <w:gridCol w:w="1077"/>
            </w:tblGrid>
            <w:tr w14:paraId="7C4F8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46" w:type="dxa"/>
                  <w:tcBorders>
                    <w:tl2br w:val="nil"/>
                    <w:tr2bl w:val="nil"/>
                  </w:tcBorders>
                  <w:noWrap w:val="0"/>
                  <w:vAlign w:val="center"/>
                </w:tcPr>
                <w:p w14:paraId="2C3328B0">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eastAsia" w:ascii="Times New Roman" w:hAnsi="Times New Roman" w:eastAsia="宋体" w:cs="Times New Roman"/>
                      <w:b w:val="0"/>
                      <w:bCs w:val="0"/>
                      <w:color w:val="auto"/>
                      <w:sz w:val="21"/>
                      <w:szCs w:val="21"/>
                      <w:lang w:eastAsia="zh-CN"/>
                    </w:rPr>
                  </w:pPr>
                  <w:r>
                    <w:rPr>
                      <w:rFonts w:hint="eastAsia" w:cs="Times New Roman"/>
                      <w:b w:val="0"/>
                      <w:bCs w:val="0"/>
                      <w:color w:val="auto"/>
                      <w:sz w:val="21"/>
                      <w:szCs w:val="21"/>
                      <w:lang w:val="en-US" w:eastAsia="zh-CN"/>
                    </w:rPr>
                    <w:t>序号</w:t>
                  </w:r>
                </w:p>
              </w:tc>
              <w:tc>
                <w:tcPr>
                  <w:tcW w:w="1425" w:type="dxa"/>
                  <w:tcBorders>
                    <w:tl2br w:val="nil"/>
                    <w:tr2bl w:val="nil"/>
                  </w:tcBorders>
                  <w:noWrap w:val="0"/>
                  <w:vAlign w:val="center"/>
                </w:tcPr>
                <w:p w14:paraId="37DA7238">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sz w:val="21"/>
                      <w:szCs w:val="21"/>
                    </w:rPr>
                    <w:t>物料名称</w:t>
                  </w:r>
                </w:p>
              </w:tc>
              <w:tc>
                <w:tcPr>
                  <w:tcW w:w="1173" w:type="dxa"/>
                  <w:tcBorders>
                    <w:tl2br w:val="nil"/>
                    <w:tr2bl w:val="nil"/>
                  </w:tcBorders>
                  <w:noWrap w:val="0"/>
                  <w:vAlign w:val="center"/>
                </w:tcPr>
                <w:p w14:paraId="036310A3">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ascii="Times New Roman" w:hAnsi="Times New Roman" w:eastAsia="宋体" w:cs="Times New Roman"/>
                      <w:b w:val="0"/>
                      <w:bCs w:val="0"/>
                      <w:color w:val="auto"/>
                      <w:sz w:val="21"/>
                      <w:szCs w:val="21"/>
                    </w:rPr>
                  </w:pPr>
                  <w:r>
                    <w:rPr>
                      <w:rFonts w:cs="Times New Roman"/>
                      <w:color w:val="auto"/>
                      <w:sz w:val="21"/>
                      <w:szCs w:val="21"/>
                    </w:rPr>
                    <w:t>CAS号</w:t>
                  </w:r>
                </w:p>
              </w:tc>
              <w:tc>
                <w:tcPr>
                  <w:tcW w:w="1783" w:type="dxa"/>
                  <w:tcBorders>
                    <w:tl2br w:val="nil"/>
                    <w:tr2bl w:val="nil"/>
                  </w:tcBorders>
                  <w:noWrap w:val="0"/>
                  <w:vAlign w:val="center"/>
                </w:tcPr>
                <w:p w14:paraId="1F0E2E5E">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ascii="Times New Roman" w:hAnsi="Times New Roman" w:eastAsia="宋体" w:cs="Times New Roman"/>
                      <w:b w:val="0"/>
                      <w:bCs w:val="0"/>
                      <w:color w:val="auto"/>
                      <w:sz w:val="21"/>
                      <w:szCs w:val="21"/>
                    </w:rPr>
                  </w:pPr>
                  <w:r>
                    <w:rPr>
                      <w:rFonts w:hint="eastAsia" w:cs="Times New Roman"/>
                      <w:b w:val="0"/>
                      <w:bCs w:val="0"/>
                      <w:color w:val="auto"/>
                      <w:sz w:val="21"/>
                      <w:szCs w:val="21"/>
                      <w:lang w:val="en-US" w:eastAsia="zh-CN"/>
                    </w:rPr>
                    <w:t>最大存在总量</w:t>
                  </w:r>
                  <w:r>
                    <w:rPr>
                      <w:rFonts w:ascii="Times New Roman" w:hAnsi="Times New Roman" w:eastAsia="宋体" w:cs="Times New Roman"/>
                      <w:b w:val="0"/>
                      <w:bCs w:val="0"/>
                      <w:color w:val="auto"/>
                      <w:sz w:val="21"/>
                      <w:szCs w:val="21"/>
                    </w:rPr>
                    <w:t>q（t）</w:t>
                  </w:r>
                </w:p>
              </w:tc>
              <w:tc>
                <w:tcPr>
                  <w:tcW w:w="1117" w:type="dxa"/>
                  <w:tcBorders>
                    <w:tl2br w:val="nil"/>
                    <w:tr2bl w:val="nil"/>
                  </w:tcBorders>
                  <w:noWrap w:val="0"/>
                  <w:vAlign w:val="center"/>
                </w:tcPr>
                <w:p w14:paraId="78F0A86B">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sz w:val="21"/>
                      <w:szCs w:val="21"/>
                    </w:rPr>
                    <w:t>临界量Q（t）</w:t>
                  </w:r>
                </w:p>
              </w:tc>
              <w:tc>
                <w:tcPr>
                  <w:tcW w:w="1300" w:type="dxa"/>
                  <w:tcBorders>
                    <w:tl2br w:val="nil"/>
                    <w:tr2bl w:val="nil"/>
                  </w:tcBorders>
                  <w:noWrap w:val="0"/>
                  <w:vAlign w:val="center"/>
                </w:tcPr>
                <w:p w14:paraId="18A3A837">
                  <w:pPr>
                    <w:keepNext w:val="0"/>
                    <w:keepLines w:val="0"/>
                    <w:pageBreakBefore w:val="0"/>
                    <w:widowControl w:val="0"/>
                    <w:kinsoku/>
                    <w:wordWrap/>
                    <w:overflowPunct/>
                    <w:topLinePunct w:val="0"/>
                    <w:autoSpaceDE/>
                    <w:autoSpaceDN/>
                    <w:bidi w:val="0"/>
                    <w:snapToGrid w:val="0"/>
                    <w:spacing w:line="240" w:lineRule="atLeast"/>
                    <w:ind w:firstLine="0" w:firstLineChars="0"/>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24"/>
                      <w:sz w:val="21"/>
                      <w:szCs w:val="21"/>
                    </w:rPr>
                    <w:t>qi/Qi</w:t>
                  </w:r>
                </w:p>
              </w:tc>
              <w:tc>
                <w:tcPr>
                  <w:tcW w:w="1077" w:type="dxa"/>
                  <w:tcBorders>
                    <w:tl2br w:val="nil"/>
                    <w:tr2bl w:val="nil"/>
                  </w:tcBorders>
                  <w:noWrap w:val="0"/>
                  <w:vAlign w:val="center"/>
                </w:tcPr>
                <w:p w14:paraId="541EF604">
                  <w:pPr>
                    <w:keepNext w:val="0"/>
                    <w:keepLines w:val="0"/>
                    <w:pageBreakBefore w:val="0"/>
                    <w:widowControl w:val="0"/>
                    <w:kinsoku/>
                    <w:wordWrap/>
                    <w:overflowPunct/>
                    <w:topLinePunct w:val="0"/>
                    <w:autoSpaceDE/>
                    <w:autoSpaceDN/>
                    <w:bidi w:val="0"/>
                    <w:snapToGrid w:val="0"/>
                    <w:spacing w:line="240" w:lineRule="atLeast"/>
                    <w:ind w:firstLine="0" w:firstLineChars="0"/>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24"/>
                      <w:sz w:val="21"/>
                      <w:szCs w:val="21"/>
                    </w:rPr>
                    <w:t>Σqi/Qi</w:t>
                  </w:r>
                </w:p>
              </w:tc>
            </w:tr>
            <w:tr w14:paraId="4BC2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6" w:type="dxa"/>
                  <w:tcBorders>
                    <w:tl2br w:val="nil"/>
                    <w:tr2bl w:val="nil"/>
                  </w:tcBorders>
                  <w:noWrap w:val="0"/>
                  <w:vAlign w:val="center"/>
                </w:tcPr>
                <w:p w14:paraId="1C41690E">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1425" w:type="dxa"/>
                  <w:tcBorders>
                    <w:tl2br w:val="nil"/>
                    <w:tr2bl w:val="nil"/>
                  </w:tcBorders>
                  <w:noWrap w:val="0"/>
                  <w:vAlign w:val="center"/>
                </w:tcPr>
                <w:p w14:paraId="464F0B67">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废机油、废润滑油</w:t>
                  </w:r>
                </w:p>
              </w:tc>
              <w:tc>
                <w:tcPr>
                  <w:tcW w:w="1173" w:type="dxa"/>
                  <w:tcBorders>
                    <w:tl2br w:val="nil"/>
                    <w:tr2bl w:val="nil"/>
                  </w:tcBorders>
                  <w:noWrap w:val="0"/>
                  <w:vAlign w:val="center"/>
                </w:tcPr>
                <w:p w14:paraId="764BCF6F">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w:t>
                  </w:r>
                </w:p>
              </w:tc>
              <w:tc>
                <w:tcPr>
                  <w:tcW w:w="1783" w:type="dxa"/>
                  <w:tcBorders>
                    <w:tl2br w:val="nil"/>
                    <w:tr2bl w:val="nil"/>
                  </w:tcBorders>
                  <w:noWrap w:val="0"/>
                  <w:vAlign w:val="center"/>
                </w:tcPr>
                <w:p w14:paraId="2EE2D072">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default" w:ascii="Times New Roman" w:hAnsi="Times New Roman" w:eastAsia="宋体" w:cs="Times New Roman"/>
                      <w:b w:val="0"/>
                      <w:bCs w:val="0"/>
                      <w:color w:val="auto"/>
                      <w:sz w:val="21"/>
                      <w:szCs w:val="21"/>
                      <w:lang w:val="en-US"/>
                    </w:rPr>
                  </w:pPr>
                  <w:r>
                    <w:rPr>
                      <w:rFonts w:hint="eastAsia" w:ascii="Times New Roman" w:hAnsi="Times New Roman" w:eastAsia="宋体" w:cs="Times New Roman"/>
                      <w:b w:val="0"/>
                      <w:bCs w:val="0"/>
                      <w:color w:val="auto"/>
                      <w:sz w:val="21"/>
                      <w:szCs w:val="21"/>
                      <w:lang w:val="en-US" w:eastAsia="zh-CN"/>
                    </w:rPr>
                    <w:t>3</w:t>
                  </w:r>
                </w:p>
              </w:tc>
              <w:tc>
                <w:tcPr>
                  <w:tcW w:w="1117" w:type="dxa"/>
                  <w:tcBorders>
                    <w:tl2br w:val="nil"/>
                    <w:tr2bl w:val="nil"/>
                  </w:tcBorders>
                  <w:noWrap w:val="0"/>
                  <w:vAlign w:val="center"/>
                </w:tcPr>
                <w:p w14:paraId="2BEBB3FC">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default" w:ascii="Times New Roman" w:hAnsi="Times New Roman" w:eastAsia="宋体" w:cs="Times New Roman"/>
                      <w:b w:val="0"/>
                      <w:bCs w:val="0"/>
                      <w:color w:val="auto"/>
                      <w:sz w:val="21"/>
                      <w:szCs w:val="21"/>
                      <w:lang w:val="en-US"/>
                    </w:rPr>
                  </w:pPr>
                  <w:r>
                    <w:rPr>
                      <w:rFonts w:hint="eastAsia" w:ascii="Times New Roman" w:hAnsi="Times New Roman" w:eastAsia="宋体" w:cs="Times New Roman"/>
                      <w:b w:val="0"/>
                      <w:bCs w:val="0"/>
                      <w:color w:val="auto"/>
                      <w:sz w:val="21"/>
                      <w:szCs w:val="21"/>
                      <w:lang w:val="en-US" w:eastAsia="zh-CN"/>
                    </w:rPr>
                    <w:t>2500</w:t>
                  </w:r>
                </w:p>
              </w:tc>
              <w:tc>
                <w:tcPr>
                  <w:tcW w:w="1300" w:type="dxa"/>
                  <w:tcBorders>
                    <w:tl2br w:val="nil"/>
                    <w:tr2bl w:val="nil"/>
                  </w:tcBorders>
                  <w:noWrap w:val="0"/>
                  <w:vAlign w:val="center"/>
                </w:tcPr>
                <w:p w14:paraId="3D4F46F5">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0.0012</w:t>
                  </w:r>
                </w:p>
              </w:tc>
              <w:tc>
                <w:tcPr>
                  <w:tcW w:w="1077" w:type="dxa"/>
                  <w:vMerge w:val="restart"/>
                  <w:tcBorders>
                    <w:tl2br w:val="nil"/>
                    <w:tr2bl w:val="nil"/>
                  </w:tcBorders>
                  <w:noWrap w:val="0"/>
                  <w:vAlign w:val="center"/>
                </w:tcPr>
                <w:p w14:paraId="0A70D4E6">
                  <w:pPr>
                    <w:keepNext w:val="0"/>
                    <w:keepLines w:val="0"/>
                    <w:pageBreakBefore w:val="0"/>
                    <w:widowControl w:val="0"/>
                    <w:kinsoku/>
                    <w:wordWrap/>
                    <w:overflowPunct/>
                    <w:topLinePunct w:val="0"/>
                    <w:autoSpaceDE/>
                    <w:autoSpaceDN/>
                    <w:bidi w:val="0"/>
                    <w:snapToGrid w:val="0"/>
                    <w:spacing w:line="240" w:lineRule="atLeast"/>
                    <w:ind w:firstLine="0" w:firstLineChars="0"/>
                    <w:jc w:val="center"/>
                    <w:textAlignment w:val="auto"/>
                    <w:rPr>
                      <w:rFonts w:hint="default" w:ascii="Times New Roman" w:hAnsi="Times New Roman" w:eastAsia="宋体" w:cs="Times New Roman"/>
                      <w:b w:val="0"/>
                      <w:bCs w:val="0"/>
                      <w:color w:val="auto"/>
                      <w:kern w:val="24"/>
                      <w:sz w:val="21"/>
                      <w:szCs w:val="21"/>
                      <w:highlight w:val="none"/>
                      <w:lang w:val="en-US" w:eastAsia="zh-CN"/>
                    </w:rPr>
                  </w:pPr>
                  <w:r>
                    <w:rPr>
                      <w:rFonts w:hint="eastAsia" w:ascii="Times New Roman" w:hAnsi="Times New Roman" w:eastAsia="宋体" w:cs="Times New Roman"/>
                      <w:b w:val="0"/>
                      <w:bCs w:val="0"/>
                      <w:color w:val="auto"/>
                      <w:kern w:val="24"/>
                      <w:sz w:val="21"/>
                      <w:szCs w:val="21"/>
                      <w:highlight w:val="none"/>
                      <w:lang w:val="en-US" w:eastAsia="zh-CN"/>
                    </w:rPr>
                    <w:t>0.001202</w:t>
                  </w:r>
                </w:p>
              </w:tc>
            </w:tr>
            <w:tr w14:paraId="7399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6" w:type="dxa"/>
                  <w:tcBorders>
                    <w:tl2br w:val="nil"/>
                    <w:tr2bl w:val="nil"/>
                  </w:tcBorders>
                  <w:noWrap w:val="0"/>
                  <w:vAlign w:val="center"/>
                </w:tcPr>
                <w:p w14:paraId="30FF3399">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1425" w:type="dxa"/>
                  <w:tcBorders>
                    <w:tl2br w:val="nil"/>
                    <w:tr2bl w:val="nil"/>
                  </w:tcBorders>
                  <w:noWrap w:val="0"/>
                  <w:vAlign w:val="center"/>
                </w:tcPr>
                <w:p w14:paraId="1EAFBC7F">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汞</w:t>
                  </w:r>
                </w:p>
              </w:tc>
              <w:tc>
                <w:tcPr>
                  <w:tcW w:w="1173" w:type="dxa"/>
                  <w:tcBorders>
                    <w:tl2br w:val="nil"/>
                    <w:tr2bl w:val="nil"/>
                  </w:tcBorders>
                  <w:noWrap w:val="0"/>
                  <w:vAlign w:val="center"/>
                </w:tcPr>
                <w:p w14:paraId="262B360F">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7439-97-6</w:t>
                  </w:r>
                </w:p>
              </w:tc>
              <w:tc>
                <w:tcPr>
                  <w:tcW w:w="1783" w:type="dxa"/>
                  <w:tcBorders>
                    <w:tl2br w:val="nil"/>
                    <w:tr2bl w:val="nil"/>
                  </w:tcBorders>
                  <w:noWrap w:val="0"/>
                  <w:vAlign w:val="center"/>
                </w:tcPr>
                <w:p w14:paraId="2D07C854">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0.000000875</w:t>
                  </w:r>
                </w:p>
              </w:tc>
              <w:tc>
                <w:tcPr>
                  <w:tcW w:w="1117" w:type="dxa"/>
                  <w:tcBorders>
                    <w:tl2br w:val="nil"/>
                    <w:tr2bl w:val="nil"/>
                  </w:tcBorders>
                  <w:noWrap w:val="0"/>
                  <w:vAlign w:val="center"/>
                </w:tcPr>
                <w:p w14:paraId="33BB3076">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default" w:ascii="Times New Roman" w:hAnsi="Times New Roman" w:eastAsia="宋体" w:cs="Times New Roman"/>
                      <w:b w:val="0"/>
                      <w:bCs w:val="0"/>
                      <w:color w:val="auto"/>
                      <w:sz w:val="21"/>
                      <w:szCs w:val="21"/>
                      <w:lang w:val="en-US"/>
                    </w:rPr>
                  </w:pPr>
                  <w:r>
                    <w:rPr>
                      <w:rFonts w:hint="eastAsia" w:ascii="Times New Roman" w:hAnsi="Times New Roman" w:eastAsia="宋体" w:cs="Times New Roman"/>
                      <w:b w:val="0"/>
                      <w:bCs w:val="0"/>
                      <w:color w:val="auto"/>
                      <w:sz w:val="21"/>
                      <w:szCs w:val="21"/>
                      <w:lang w:val="en-US" w:eastAsia="zh-CN"/>
                    </w:rPr>
                    <w:t>0.5</w:t>
                  </w:r>
                </w:p>
              </w:tc>
              <w:tc>
                <w:tcPr>
                  <w:tcW w:w="1300" w:type="dxa"/>
                  <w:tcBorders>
                    <w:tl2br w:val="nil"/>
                    <w:tr2bl w:val="nil"/>
                  </w:tcBorders>
                  <w:noWrap w:val="0"/>
                  <w:vAlign w:val="center"/>
                </w:tcPr>
                <w:p w14:paraId="3BEFFD74">
                  <w:pPr>
                    <w:keepNext w:val="0"/>
                    <w:keepLines w:val="0"/>
                    <w:pageBreakBefore w:val="0"/>
                    <w:widowControl w:val="0"/>
                    <w:tabs>
                      <w:tab w:val="left" w:pos="567"/>
                    </w:tabs>
                    <w:kinsoku/>
                    <w:wordWrap/>
                    <w:overflowPunct/>
                    <w:topLinePunct w:val="0"/>
                    <w:autoSpaceDE/>
                    <w:autoSpaceDN/>
                    <w:bidi w:val="0"/>
                    <w:adjustRightInd w:val="0"/>
                    <w:snapToGrid w:val="0"/>
                    <w:spacing w:line="240" w:lineRule="atLeas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0.00000175</w:t>
                  </w:r>
                </w:p>
              </w:tc>
              <w:tc>
                <w:tcPr>
                  <w:tcW w:w="1077" w:type="dxa"/>
                  <w:vMerge w:val="continue"/>
                  <w:tcBorders>
                    <w:tl2br w:val="nil"/>
                    <w:tr2bl w:val="nil"/>
                  </w:tcBorders>
                  <w:noWrap w:val="0"/>
                  <w:vAlign w:val="center"/>
                </w:tcPr>
                <w:p w14:paraId="3E26F2CD">
                  <w:pPr>
                    <w:keepNext w:val="0"/>
                    <w:keepLines w:val="0"/>
                    <w:pageBreakBefore w:val="0"/>
                    <w:widowControl w:val="0"/>
                    <w:kinsoku/>
                    <w:wordWrap/>
                    <w:overflowPunct/>
                    <w:topLinePunct w:val="0"/>
                    <w:autoSpaceDE/>
                    <w:autoSpaceDN/>
                    <w:bidi w:val="0"/>
                    <w:snapToGrid w:val="0"/>
                    <w:spacing w:line="240" w:lineRule="atLeast"/>
                    <w:ind w:firstLine="0" w:firstLineChars="0"/>
                    <w:jc w:val="center"/>
                    <w:textAlignment w:val="auto"/>
                    <w:rPr>
                      <w:rFonts w:ascii="Times New Roman" w:hAnsi="Times New Roman" w:eastAsia="宋体" w:cs="Times New Roman"/>
                      <w:b w:val="0"/>
                      <w:bCs w:val="0"/>
                      <w:color w:val="auto"/>
                      <w:kern w:val="24"/>
                      <w:sz w:val="21"/>
                      <w:szCs w:val="21"/>
                      <w:highlight w:val="none"/>
                    </w:rPr>
                  </w:pPr>
                </w:p>
              </w:tc>
            </w:tr>
          </w:tbl>
          <w:p w14:paraId="6AB874E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（2）环境敏感目标调查</w:t>
            </w:r>
          </w:p>
          <w:p w14:paraId="2172D5D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根据《建设项目环境风险评价技术导则》（HJ169-2018），大气环境风险评价范围：本项目环境风险评价等级为简单分析，项目周围</w:t>
            </w:r>
            <w:r>
              <w:rPr>
                <w:rFonts w:hint="eastAsia" w:ascii="Times New Roman" w:hAnsi="Times New Roman" w:eastAsia="宋体" w:cs="Times New Roman"/>
                <w:color w:val="auto"/>
                <w:szCs w:val="21"/>
                <w:lang w:val="en-US" w:eastAsia="zh-CN"/>
              </w:rPr>
              <w:t>无</w:t>
            </w:r>
            <w:r>
              <w:rPr>
                <w:rFonts w:hint="default" w:ascii="Times New Roman" w:hAnsi="Times New Roman" w:eastAsia="宋体" w:cs="Times New Roman"/>
                <w:color w:val="auto"/>
                <w:szCs w:val="21"/>
                <w:lang w:val="en-US" w:eastAsia="zh-CN"/>
              </w:rPr>
              <w:t>环境敏感目标。</w:t>
            </w:r>
          </w:p>
          <w:p w14:paraId="2748FAE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（3）环境风险识别</w:t>
            </w:r>
          </w:p>
          <w:p w14:paraId="4E0273F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本项目涉及风险物质共2种</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废机油/废润滑油、汞(来自废UV灯管)</w:t>
            </w:r>
            <w:r>
              <w:rPr>
                <w:rFonts w:hint="eastAsia" w:cs="Times New Roman"/>
                <w:color w:val="auto"/>
                <w:szCs w:val="21"/>
                <w:lang w:val="en-US" w:eastAsia="zh-CN"/>
              </w:rPr>
              <w:t>。</w:t>
            </w:r>
          </w:p>
          <w:p w14:paraId="60A933E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废机油、废润滑油储存位置为厂区危废暂存库，属于油类物质，具有可燃性，发生泄漏会污染土壤、地下水</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遇明火存在火灾风险，燃烧会产生CO等次生污染物。</w:t>
            </w:r>
          </w:p>
          <w:p w14:paraId="351CE53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含汞物质存在于</w:t>
            </w:r>
            <w:r>
              <w:rPr>
                <w:rFonts w:hint="eastAsia" w:ascii="Times New Roman" w:hAnsi="Times New Roman" w:eastAsia="宋体" w:cs="Times New Roman"/>
                <w:color w:val="auto"/>
                <w:szCs w:val="21"/>
                <w:lang w:val="en-US" w:eastAsia="zh-CN"/>
              </w:rPr>
              <w:t>UV光催化废灯管</w:t>
            </w:r>
            <w:r>
              <w:rPr>
                <w:rFonts w:hint="default" w:ascii="Times New Roman" w:hAnsi="Times New Roman" w:eastAsia="宋体" w:cs="Times New Roman"/>
                <w:color w:val="auto"/>
                <w:szCs w:val="21"/>
                <w:lang w:val="en-US" w:eastAsia="zh-CN"/>
              </w:rPr>
              <w:t>内，存放于危废暂存库</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正常完好灯管内汞密封在玻璃管内，仅在灯管破碎时，汞单质挥发产生汞蒸气，或液态汞泄漏。</w:t>
            </w:r>
          </w:p>
          <w:p w14:paraId="004D1ED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6.2风险防范措施</w:t>
            </w:r>
          </w:p>
          <w:p w14:paraId="0FBDCE7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（1）危废暂存库管理</w:t>
            </w:r>
          </w:p>
          <w:p w14:paraId="685D22A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①</w:t>
            </w:r>
            <w:r>
              <w:rPr>
                <w:rFonts w:hint="default" w:ascii="Times New Roman" w:hAnsi="Times New Roman" w:eastAsia="宋体" w:cs="Times New Roman"/>
                <w:color w:val="auto"/>
                <w:szCs w:val="21"/>
                <w:lang w:val="en-US" w:eastAsia="zh-CN"/>
              </w:rPr>
              <w:t>危废库严格按照GB18597-2023建设，防渗、防雨、防风、防晒，分区存放</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废机油采用密闭桶装，放置在接液托盘上</w:t>
            </w:r>
            <w:r>
              <w:rPr>
                <w:rFonts w:hint="eastAsia" w:ascii="Times New Roman" w:hAnsi="Times New Roman" w:eastAsia="宋体" w:cs="Times New Roman"/>
                <w:color w:val="auto"/>
                <w:szCs w:val="21"/>
                <w:lang w:val="en-US" w:eastAsia="zh-CN"/>
              </w:rPr>
              <w:t>；UV光催化废灯管</w:t>
            </w:r>
            <w:r>
              <w:rPr>
                <w:rFonts w:hint="default" w:ascii="Times New Roman" w:hAnsi="Times New Roman" w:eastAsia="宋体" w:cs="Times New Roman"/>
                <w:color w:val="auto"/>
                <w:szCs w:val="21"/>
                <w:lang w:val="en-US" w:eastAsia="zh-CN"/>
              </w:rPr>
              <w:t>单独存放于硬质防破碎专用容器，单独分区，标识HW29含汞废物，禁止与废机油等易燃危废混放。</w:t>
            </w:r>
          </w:p>
          <w:p w14:paraId="139A548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②</w:t>
            </w:r>
            <w:r>
              <w:rPr>
                <w:rFonts w:hint="default" w:ascii="Times New Roman" w:hAnsi="Times New Roman" w:eastAsia="宋体" w:cs="Times New Roman"/>
                <w:color w:val="auto"/>
                <w:szCs w:val="21"/>
                <w:lang w:val="en-US" w:eastAsia="zh-CN"/>
              </w:rPr>
              <w:t>入库危废建立台账，记录种类、数量、入库出库时间</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搬运</w:t>
            </w:r>
            <w:r>
              <w:rPr>
                <w:rFonts w:hint="eastAsia" w:ascii="Times New Roman" w:hAnsi="Times New Roman" w:eastAsia="宋体" w:cs="Times New Roman"/>
                <w:color w:val="auto"/>
                <w:szCs w:val="21"/>
                <w:lang w:val="en-US" w:eastAsia="zh-CN"/>
              </w:rPr>
              <w:t>UV光催化废灯管</w:t>
            </w:r>
            <w:r>
              <w:rPr>
                <w:rFonts w:hint="default" w:ascii="Times New Roman" w:hAnsi="Times New Roman" w:eastAsia="宋体" w:cs="Times New Roman"/>
                <w:color w:val="auto"/>
                <w:szCs w:val="21"/>
                <w:lang w:val="en-US" w:eastAsia="zh-CN"/>
              </w:rPr>
              <w:t>轻拿轻放，避免撞击、跌落，防止灯管破碎。</w:t>
            </w:r>
          </w:p>
          <w:p w14:paraId="76AAC95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③</w:t>
            </w:r>
            <w:r>
              <w:rPr>
                <w:rFonts w:hint="default" w:ascii="Times New Roman" w:hAnsi="Times New Roman" w:eastAsia="宋体" w:cs="Times New Roman"/>
                <w:color w:val="auto"/>
                <w:szCs w:val="21"/>
                <w:lang w:val="en-US" w:eastAsia="zh-CN"/>
              </w:rPr>
              <w:t>危废库配备通风系统、防爆照明，严禁火种入库，库内配备干粉灭火器、沙土吸油材料、吸附棉。</w:t>
            </w:r>
          </w:p>
          <w:p w14:paraId="75D484D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（2）UV光催化废灯管</w:t>
            </w:r>
            <w:r>
              <w:rPr>
                <w:rFonts w:hint="default" w:ascii="Times New Roman" w:hAnsi="Times New Roman" w:eastAsia="宋体" w:cs="Times New Roman"/>
                <w:color w:val="auto"/>
                <w:szCs w:val="21"/>
                <w:lang w:val="en-US" w:eastAsia="zh-CN"/>
              </w:rPr>
              <w:t>专项防控</w:t>
            </w:r>
          </w:p>
          <w:p w14:paraId="4870A69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更换</w:t>
            </w:r>
            <w:r>
              <w:rPr>
                <w:rFonts w:hint="eastAsia" w:ascii="Times New Roman" w:hAnsi="Times New Roman" w:eastAsia="宋体" w:cs="Times New Roman"/>
                <w:color w:val="auto"/>
                <w:szCs w:val="21"/>
                <w:lang w:val="en-US" w:eastAsia="zh-CN"/>
              </w:rPr>
              <w:t>UV光催化废灯管</w:t>
            </w:r>
            <w:r>
              <w:rPr>
                <w:rFonts w:hint="default" w:ascii="Times New Roman" w:hAnsi="Times New Roman" w:eastAsia="宋体" w:cs="Times New Roman"/>
                <w:color w:val="auto"/>
                <w:szCs w:val="21"/>
                <w:lang w:val="en-US" w:eastAsia="zh-CN"/>
              </w:rPr>
              <w:t>断电冷却后操作</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拆卸后立刻装入硬质密闭防碎容器。一旦灯管破碎，人员佩戴防护口罩、手套</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使用硫粉吸附散落汞珠，收集至密闭容器，作为危废处置，禁止直接清扫冲入下水道。</w:t>
            </w:r>
          </w:p>
          <w:p w14:paraId="6F5BABB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r>
              <w:rPr>
                <w:rFonts w:hint="default" w:ascii="Times New Roman" w:hAnsi="Times New Roman" w:eastAsia="宋体" w:cs="Times New Roman"/>
                <w:color w:val="auto"/>
                <w:szCs w:val="21"/>
                <w:lang w:val="en-US" w:eastAsia="zh-CN"/>
              </w:rPr>
              <w:t>废机油管理</w:t>
            </w:r>
          </w:p>
          <w:p w14:paraId="7935850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定期检查包装桶完好性，防止桶体腐蚀破损泄漏。</w:t>
            </w:r>
          </w:p>
          <w:p w14:paraId="21AC071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（4）事故水风险防范措施</w:t>
            </w:r>
          </w:p>
          <w:p w14:paraId="3D9227D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本项目位于</w:t>
            </w:r>
            <w:r>
              <w:rPr>
                <w:rFonts w:hint="default" w:ascii="Times New Roman" w:hAnsi="Times New Roman" w:eastAsia="宋体" w:cs="Times New Roman"/>
                <w:color w:val="auto"/>
                <w:szCs w:val="21"/>
                <w:lang w:val="en-US" w:eastAsia="zh-CN"/>
              </w:rPr>
              <w:t>内蒙古美力坚清蓝危废处置有限公司</w:t>
            </w:r>
            <w:r>
              <w:rPr>
                <w:rFonts w:hint="eastAsia" w:ascii="Times New Roman" w:hAnsi="Times New Roman" w:eastAsia="宋体" w:cs="Times New Roman"/>
                <w:color w:val="auto"/>
                <w:szCs w:val="21"/>
                <w:lang w:val="en-US" w:eastAsia="zh-CN"/>
              </w:rPr>
              <w:t>厂区内，全厂建设有1座容积为1000m</w:t>
            </w:r>
            <w:r>
              <w:rPr>
                <w:rFonts w:hint="eastAsia" w:ascii="Times New Roman" w:hAnsi="Times New Roman" w:eastAsia="宋体" w:cs="Times New Roman"/>
                <w:color w:val="auto"/>
                <w:szCs w:val="21"/>
                <w:vertAlign w:val="superscript"/>
                <w:lang w:val="en-US" w:eastAsia="zh-CN"/>
              </w:rPr>
              <w:t>2</w:t>
            </w:r>
            <w:r>
              <w:rPr>
                <w:rFonts w:hint="eastAsia" w:ascii="Times New Roman" w:hAnsi="Times New Roman" w:eastAsia="宋体" w:cs="Times New Roman"/>
                <w:color w:val="auto"/>
                <w:szCs w:val="21"/>
                <w:lang w:val="en-US" w:eastAsia="zh-CN"/>
              </w:rPr>
              <w:t>的事故水池兼顾消防废水收集池，1座容积为500m</w:t>
            </w:r>
            <w:r>
              <w:rPr>
                <w:rFonts w:hint="eastAsia" w:ascii="Times New Roman" w:hAnsi="Times New Roman" w:eastAsia="宋体" w:cs="Times New Roman"/>
                <w:color w:val="auto"/>
                <w:szCs w:val="21"/>
                <w:vertAlign w:val="superscript"/>
                <w:lang w:val="en-US" w:eastAsia="zh-CN"/>
              </w:rPr>
              <w:t>2</w:t>
            </w:r>
            <w:r>
              <w:rPr>
                <w:rFonts w:hint="eastAsia" w:ascii="Times New Roman" w:hAnsi="Times New Roman" w:eastAsia="宋体" w:cs="Times New Roman"/>
                <w:color w:val="auto"/>
                <w:szCs w:val="21"/>
                <w:lang w:val="en-US" w:eastAsia="zh-CN"/>
              </w:rPr>
              <w:t>的初期雨水收集池。</w:t>
            </w:r>
            <w:r>
              <w:rPr>
                <w:rFonts w:hint="default" w:ascii="Times New Roman" w:hAnsi="Times New Roman" w:eastAsia="宋体" w:cs="Times New Roman"/>
                <w:color w:val="auto"/>
                <w:szCs w:val="21"/>
                <w:lang w:val="zh-CN" w:eastAsia="zh-CN"/>
              </w:rPr>
              <w:t>事故状态下事故水首先进入车间排水管道</w:t>
            </w:r>
            <w:r>
              <w:rPr>
                <w:rFonts w:hint="eastAsia" w:ascii="Times New Roman" w:hAnsi="Times New Roman" w:eastAsia="宋体" w:cs="Times New Roman"/>
                <w:color w:val="auto"/>
                <w:szCs w:val="21"/>
                <w:lang w:val="en-US" w:eastAsia="zh-CN"/>
              </w:rPr>
              <w:t>/排水沟</w:t>
            </w:r>
            <w:r>
              <w:rPr>
                <w:rFonts w:hint="default" w:ascii="Times New Roman" w:hAnsi="Times New Roman" w:eastAsia="宋体" w:cs="Times New Roman"/>
                <w:color w:val="auto"/>
                <w:szCs w:val="21"/>
                <w:lang w:val="zh-CN" w:eastAsia="zh-CN"/>
              </w:rPr>
              <w:t>及</w:t>
            </w:r>
            <w:r>
              <w:rPr>
                <w:rFonts w:hint="default" w:ascii="Times New Roman" w:hAnsi="Times New Roman" w:eastAsia="宋体" w:cs="Times New Roman"/>
                <w:color w:val="auto"/>
                <w:szCs w:val="21"/>
                <w:lang w:val="en-US" w:eastAsia="zh-CN"/>
              </w:rPr>
              <w:t>车间废水暂存</w:t>
            </w:r>
            <w:r>
              <w:rPr>
                <w:rFonts w:hint="eastAsia" w:ascii="Times New Roman" w:hAnsi="Times New Roman" w:eastAsia="宋体" w:cs="Times New Roman"/>
                <w:color w:val="auto"/>
                <w:szCs w:val="21"/>
                <w:lang w:val="en-US" w:eastAsia="zh-CN"/>
              </w:rPr>
              <w:t>设施</w:t>
            </w:r>
            <w:r>
              <w:rPr>
                <w:rFonts w:hint="default" w:ascii="Times New Roman" w:hAnsi="Times New Roman" w:eastAsia="宋体" w:cs="Times New Roman"/>
                <w:color w:val="auto"/>
                <w:szCs w:val="21"/>
                <w:lang w:val="zh-CN" w:eastAsia="zh-CN"/>
              </w:rPr>
              <w:t>，再</w:t>
            </w:r>
            <w:r>
              <w:rPr>
                <w:rFonts w:hint="default" w:ascii="Times New Roman" w:hAnsi="Times New Roman" w:eastAsia="宋体" w:cs="Times New Roman"/>
                <w:color w:val="auto"/>
                <w:szCs w:val="21"/>
                <w:lang w:val="en-US" w:eastAsia="zh-CN"/>
              </w:rPr>
              <w:t>通过泵送至厂区事故水池</w:t>
            </w:r>
            <w:r>
              <w:rPr>
                <w:rFonts w:hint="default" w:ascii="Times New Roman" w:hAnsi="Times New Roman" w:eastAsia="宋体" w:cs="Times New Roman"/>
                <w:color w:val="auto"/>
                <w:szCs w:val="21"/>
                <w:lang w:val="zh-CN" w:eastAsia="zh-CN"/>
              </w:rPr>
              <w:t>。</w:t>
            </w:r>
            <w:r>
              <w:rPr>
                <w:rFonts w:hint="default" w:ascii="Times New Roman" w:hAnsi="Times New Roman" w:eastAsia="宋体" w:cs="Times New Roman"/>
                <w:color w:val="auto"/>
                <w:szCs w:val="21"/>
                <w:lang w:val="en-US" w:eastAsia="zh-CN"/>
              </w:rPr>
              <w:t>区域内的地形总趋势为</w:t>
            </w:r>
            <w:r>
              <w:rPr>
                <w:rFonts w:hint="eastAsia" w:ascii="Times New Roman" w:hAnsi="Times New Roman" w:eastAsia="宋体" w:cs="Times New Roman"/>
                <w:color w:val="auto"/>
                <w:szCs w:val="21"/>
                <w:lang w:val="en-US" w:eastAsia="zh-CN"/>
              </w:rPr>
              <w:t>西</w:t>
            </w:r>
            <w:r>
              <w:rPr>
                <w:rFonts w:hint="default" w:ascii="Times New Roman" w:hAnsi="Times New Roman" w:eastAsia="宋体" w:cs="Times New Roman"/>
                <w:color w:val="auto"/>
                <w:szCs w:val="21"/>
                <w:lang w:val="en-US" w:eastAsia="zh-CN"/>
              </w:rPr>
              <w:t>北高</w:t>
            </w:r>
            <w:r>
              <w:rPr>
                <w:rFonts w:hint="eastAsia" w:ascii="Times New Roman" w:hAnsi="Times New Roman" w:eastAsia="宋体" w:cs="Times New Roman"/>
                <w:color w:val="auto"/>
                <w:szCs w:val="21"/>
                <w:lang w:val="en-US" w:eastAsia="zh-CN"/>
              </w:rPr>
              <w:t>东</w:t>
            </w:r>
            <w:r>
              <w:rPr>
                <w:rFonts w:hint="default" w:ascii="Times New Roman" w:hAnsi="Times New Roman" w:eastAsia="宋体" w:cs="Times New Roman"/>
                <w:color w:val="auto"/>
                <w:szCs w:val="21"/>
                <w:lang w:val="en-US" w:eastAsia="zh-CN"/>
              </w:rPr>
              <w:t>南低</w:t>
            </w:r>
            <w:r>
              <w:rPr>
                <w:rFonts w:hint="eastAsia" w:ascii="Times New Roman" w:hAnsi="Times New Roman" w:eastAsia="宋体" w:cs="Times New Roman"/>
                <w:color w:val="auto"/>
                <w:szCs w:val="21"/>
                <w:lang w:val="en-US" w:eastAsia="zh-CN"/>
              </w:rPr>
              <w:t>，本项目现有工程已在厂区西南设置一个1000m</w:t>
            </w:r>
            <w:r>
              <w:rPr>
                <w:rFonts w:hint="eastAsia" w:ascii="Times New Roman" w:hAnsi="Times New Roman" w:eastAsia="宋体" w:cs="Times New Roman"/>
                <w:color w:val="auto"/>
                <w:szCs w:val="21"/>
                <w:vertAlign w:val="superscript"/>
                <w:lang w:val="en-US" w:eastAsia="zh-CN"/>
              </w:rPr>
              <w:t>3</w:t>
            </w:r>
            <w:r>
              <w:rPr>
                <w:rFonts w:hint="default" w:ascii="Times New Roman" w:hAnsi="Times New Roman" w:eastAsia="宋体" w:cs="Times New Roman"/>
                <w:color w:val="auto"/>
                <w:szCs w:val="21"/>
                <w:lang w:val="en-US" w:eastAsia="zh-CN"/>
              </w:rPr>
              <w:t>的</w:t>
            </w:r>
            <w:r>
              <w:rPr>
                <w:rFonts w:hint="eastAsia" w:ascii="Times New Roman" w:hAnsi="Times New Roman" w:eastAsia="宋体" w:cs="Times New Roman"/>
                <w:color w:val="auto"/>
                <w:szCs w:val="21"/>
                <w:lang w:val="en-US" w:eastAsia="zh-CN"/>
              </w:rPr>
              <w:t>事故水池，全厂事故废水通过管道由东北向西南方向流至事故水池</w:t>
            </w:r>
            <w:r>
              <w:rPr>
                <w:rFonts w:hint="default" w:ascii="Times New Roman" w:hAnsi="Times New Roman" w:eastAsia="宋体" w:cs="Times New Roman"/>
                <w:color w:val="auto"/>
                <w:szCs w:val="21"/>
                <w:lang w:val="en-US" w:eastAsia="zh-CN"/>
              </w:rPr>
              <w:t>。</w:t>
            </w:r>
          </w:p>
          <w:p w14:paraId="041C9AB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如遇到极端情况厂区事故水池内事故废水达到报警液位，可将事故废水拉运转移至园区事故水池。</w:t>
            </w:r>
            <w:r>
              <w:rPr>
                <w:rFonts w:hint="default" w:ascii="Times New Roman" w:hAnsi="Times New Roman" w:eastAsia="宋体" w:cs="Times New Roman"/>
                <w:color w:val="auto"/>
                <w:szCs w:val="21"/>
                <w:lang w:val="en-US" w:eastAsia="zh-CN"/>
              </w:rPr>
              <w:t>目前园区有事故池2座，分别为园区生活废水处理厂的事故应急池，容积为8736m³，工业污水处理厂的事故应急池，容积为13700m³，园区一旦发生事故并产生事故废水时，将满足事故处理要求的废水向事故应急池输送。</w:t>
            </w:r>
          </w:p>
          <w:p w14:paraId="7A85C84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根据本项目所在园区规划环评，</w:t>
            </w:r>
            <w:r>
              <w:rPr>
                <w:rFonts w:hint="default" w:ascii="Times New Roman" w:hAnsi="Times New Roman" w:eastAsia="宋体" w:cs="Times New Roman"/>
                <w:color w:val="auto"/>
                <w:szCs w:val="21"/>
                <w:lang w:val="en-US" w:eastAsia="zh-CN"/>
              </w:rPr>
              <w:t>蒙西产业园</w:t>
            </w:r>
            <w:r>
              <w:rPr>
                <w:rFonts w:hint="eastAsia" w:ascii="Times New Roman" w:hAnsi="Times New Roman" w:eastAsia="宋体" w:cs="Times New Roman"/>
                <w:color w:val="auto"/>
                <w:szCs w:val="21"/>
                <w:lang w:val="en-US" w:eastAsia="zh-CN"/>
              </w:rPr>
              <w:t>设有园区事故水防控体系、应急疏散体系等，</w:t>
            </w:r>
            <w:r>
              <w:rPr>
                <w:rFonts w:hint="default" w:ascii="Times New Roman" w:hAnsi="Times New Roman" w:eastAsia="宋体" w:cs="Times New Roman"/>
                <w:color w:val="auto"/>
                <w:szCs w:val="21"/>
                <w:lang w:val="en-US" w:eastAsia="zh-CN"/>
              </w:rPr>
              <w:t>蒙西高新科技工业园区编制了园区级突发环境事件应急预案并完成备案</w:t>
            </w:r>
            <w:r>
              <w:rPr>
                <w:rFonts w:hint="eastAsia" w:ascii="Times New Roman" w:hAnsi="Times New Roman" w:eastAsia="宋体" w:cs="Times New Roman"/>
                <w:color w:val="auto"/>
                <w:szCs w:val="21"/>
                <w:lang w:val="en-US" w:eastAsia="zh-CN"/>
              </w:rPr>
              <w:t>。厂区</w:t>
            </w:r>
            <w:r>
              <w:rPr>
                <w:rFonts w:hint="default" w:ascii="Times New Roman" w:hAnsi="Times New Roman" w:eastAsia="宋体" w:cs="Times New Roman"/>
                <w:color w:val="auto"/>
                <w:szCs w:val="21"/>
                <w:lang w:val="zh-CN" w:eastAsia="zh-CN"/>
              </w:rPr>
              <w:t>为防止事故废水对地表水体造成污染，建立了“单元-</w:t>
            </w:r>
            <w:r>
              <w:rPr>
                <w:rFonts w:hint="eastAsia" w:ascii="Times New Roman" w:hAnsi="Times New Roman" w:eastAsia="宋体" w:cs="Times New Roman"/>
                <w:color w:val="auto"/>
                <w:szCs w:val="21"/>
                <w:lang w:val="en-US" w:eastAsia="zh-CN"/>
              </w:rPr>
              <w:t>事故水池</w:t>
            </w:r>
            <w:r>
              <w:rPr>
                <w:rFonts w:hint="default" w:ascii="Times New Roman" w:hAnsi="Times New Roman" w:eastAsia="宋体" w:cs="Times New Roman"/>
                <w:color w:val="auto"/>
                <w:szCs w:val="21"/>
                <w:lang w:val="zh-CN" w:eastAsia="zh-CN"/>
              </w:rPr>
              <w:t>-</w:t>
            </w:r>
            <w:r>
              <w:rPr>
                <w:rFonts w:hint="eastAsia" w:ascii="Times New Roman" w:hAnsi="Times New Roman" w:eastAsia="宋体" w:cs="Times New Roman"/>
                <w:color w:val="auto"/>
                <w:szCs w:val="21"/>
                <w:lang w:val="en-US" w:eastAsia="zh-CN"/>
              </w:rPr>
              <w:t>园区</w:t>
            </w:r>
            <w:r>
              <w:rPr>
                <w:rFonts w:hint="default" w:ascii="Times New Roman" w:hAnsi="Times New Roman" w:eastAsia="宋体" w:cs="Times New Roman"/>
                <w:color w:val="auto"/>
                <w:szCs w:val="21"/>
                <w:lang w:val="zh-CN" w:eastAsia="zh-CN"/>
              </w:rPr>
              <w:t>”事故废水防控体系</w:t>
            </w:r>
            <w:r>
              <w:rPr>
                <w:rFonts w:hint="eastAsia" w:ascii="Times New Roman" w:hAnsi="Times New Roman" w:eastAsia="宋体" w:cs="Times New Roman"/>
                <w:color w:val="auto"/>
                <w:szCs w:val="21"/>
                <w:lang w:val="zh-CN" w:eastAsia="zh-CN"/>
              </w:rPr>
              <w:t>，</w:t>
            </w:r>
            <w:r>
              <w:rPr>
                <w:rFonts w:hint="eastAsia" w:ascii="Times New Roman" w:hAnsi="Times New Roman" w:eastAsia="宋体" w:cs="Times New Roman"/>
                <w:color w:val="auto"/>
                <w:szCs w:val="21"/>
                <w:lang w:val="en-US" w:eastAsia="zh-CN"/>
              </w:rPr>
              <w:t>与园区事故水防控体系实现联动。</w:t>
            </w:r>
          </w:p>
          <w:p w14:paraId="6F2ECD6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（5）应急处理措施</w:t>
            </w:r>
          </w:p>
          <w:p w14:paraId="473FF0B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①</w:t>
            </w:r>
            <w:r>
              <w:rPr>
                <w:rFonts w:hint="default" w:ascii="Times New Roman" w:hAnsi="Times New Roman" w:eastAsia="宋体" w:cs="Times New Roman"/>
                <w:color w:val="auto"/>
                <w:szCs w:val="21"/>
                <w:lang w:val="en-US" w:eastAsia="zh-CN"/>
              </w:rPr>
              <w:t>泄漏应急</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一旦废机油桶破损泄漏，立即停止作业，隔离区域，使用吸附棉、沙土吸附收集泄漏油品，收集后的吸附材料作为危废处置，收集废液进入危废容器，不得外排。</w:t>
            </w:r>
          </w:p>
          <w:p w14:paraId="2DDBEFF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②</w:t>
            </w:r>
            <w:r>
              <w:rPr>
                <w:rFonts w:hint="default" w:ascii="Times New Roman" w:hAnsi="Times New Roman" w:eastAsia="宋体" w:cs="Times New Roman"/>
                <w:color w:val="auto"/>
                <w:szCs w:val="21"/>
                <w:lang w:val="en-US" w:eastAsia="zh-CN"/>
              </w:rPr>
              <w:t>灯管破碎应急</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发现灯管破碎，立即通风，人员撤离至室外，佩戴防护用品进场，硫粉覆盖汞珠收集，所有沾染废弃物全部归入HW29危废容器。</w:t>
            </w:r>
          </w:p>
          <w:p w14:paraId="769C7E9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③</w:t>
            </w:r>
            <w:r>
              <w:rPr>
                <w:rFonts w:hint="default" w:ascii="Times New Roman" w:hAnsi="Times New Roman" w:eastAsia="宋体" w:cs="Times New Roman"/>
                <w:color w:val="auto"/>
                <w:szCs w:val="21"/>
                <w:lang w:val="en-US" w:eastAsia="zh-CN"/>
              </w:rPr>
              <w:t>火灾应急</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若发生油品起火，立即切断周边可燃物，启用干粉灭火器灭火，禁止用水直接扑救油类火灾</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火灾消防废水全部截留在危废库围堰，导入收集池，作为危废废液处置，不外排。</w:t>
            </w:r>
          </w:p>
          <w:p w14:paraId="247C246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④</w:t>
            </w:r>
            <w:r>
              <w:rPr>
                <w:rFonts w:hint="default" w:ascii="Times New Roman" w:hAnsi="Times New Roman" w:eastAsia="宋体" w:cs="Times New Roman"/>
                <w:color w:val="auto"/>
                <w:szCs w:val="21"/>
                <w:lang w:val="en-US" w:eastAsia="zh-CN"/>
              </w:rPr>
              <w:t>企业编制突发环境事件应急预案，定期组织演练</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配备应急物资(吸附棉、硫粉、防护口罩、护目镜、手套、灭火器)</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一旦发生突发环境事件，按预案上报、处置。</w:t>
            </w:r>
          </w:p>
          <w:p w14:paraId="7D062D3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6.3分析结论</w:t>
            </w:r>
          </w:p>
          <w:p w14:paraId="416FDB0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本项目环境风险分析内容表如下4-1</w:t>
            </w:r>
            <w:r>
              <w:rPr>
                <w:rFonts w:hint="eastAsia" w:cs="Times New Roman"/>
                <w:color w:val="auto"/>
                <w:szCs w:val="21"/>
                <w:lang w:val="en-US" w:eastAsia="zh-CN"/>
              </w:rPr>
              <w:t>3</w:t>
            </w:r>
            <w:r>
              <w:rPr>
                <w:rFonts w:hint="default" w:ascii="Times New Roman" w:hAnsi="Times New Roman" w:eastAsia="宋体" w:cs="Times New Roman"/>
                <w:color w:val="auto"/>
                <w:szCs w:val="21"/>
                <w:lang w:val="en-US" w:eastAsia="zh-CN"/>
              </w:rPr>
              <w:t>。</w:t>
            </w:r>
          </w:p>
          <w:p w14:paraId="445B7E32">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zh-CN" w:eastAsia="zh-CN"/>
              </w:rPr>
            </w:pPr>
            <w:r>
              <w:rPr>
                <w:rFonts w:hint="default" w:ascii="Times New Roman" w:hAnsi="Times New Roman" w:eastAsia="宋体" w:cs="Times New Roman"/>
                <w:b/>
                <w:bCs/>
                <w:color w:val="auto"/>
                <w:sz w:val="24"/>
                <w:lang w:val="zh-CN" w:eastAsia="zh-CN"/>
              </w:rPr>
              <w:t>表4-1</w:t>
            </w:r>
            <w:r>
              <w:rPr>
                <w:rFonts w:hint="eastAsia" w:cs="Times New Roman"/>
                <w:b/>
                <w:bCs/>
                <w:color w:val="auto"/>
                <w:sz w:val="24"/>
                <w:lang w:val="en-US" w:eastAsia="zh-CN"/>
              </w:rPr>
              <w:t>3</w:t>
            </w:r>
            <w:r>
              <w:rPr>
                <w:rFonts w:hint="default" w:ascii="Times New Roman" w:hAnsi="Times New Roman" w:eastAsia="宋体" w:cs="Times New Roman"/>
                <w:b/>
                <w:bCs/>
                <w:color w:val="auto"/>
                <w:sz w:val="24"/>
                <w:lang w:val="zh-CN" w:eastAsia="zh-CN"/>
              </w:rPr>
              <w:t>建设项目环境风险简单分析内容表</w:t>
            </w:r>
          </w:p>
          <w:tbl>
            <w:tblPr>
              <w:tblStyle w:val="24"/>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72"/>
              <w:gridCol w:w="1299"/>
              <w:gridCol w:w="1780"/>
              <w:gridCol w:w="1509"/>
              <w:gridCol w:w="1866"/>
            </w:tblGrid>
            <w:tr w14:paraId="4BC2A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15" w:type="pct"/>
                  <w:noWrap w:val="0"/>
                  <w:vAlign w:val="center"/>
                </w:tcPr>
                <w:p w14:paraId="039FB53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建设项目名称</w:t>
                  </w:r>
                </w:p>
              </w:tc>
              <w:tc>
                <w:tcPr>
                  <w:tcW w:w="3784" w:type="pct"/>
                  <w:gridSpan w:val="4"/>
                  <w:noWrap w:val="0"/>
                  <w:vAlign w:val="center"/>
                </w:tcPr>
                <w:p w14:paraId="07E75DE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内蒙古美力坚清蓝危废处置有限公司20万只/年制桶项目</w:t>
                  </w:r>
                </w:p>
              </w:tc>
            </w:tr>
            <w:tr w14:paraId="4EA4C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15" w:type="pct"/>
                  <w:noWrap w:val="0"/>
                  <w:vAlign w:val="center"/>
                </w:tcPr>
                <w:p w14:paraId="7E494F8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建设地点</w:t>
                  </w:r>
                </w:p>
              </w:tc>
              <w:tc>
                <w:tcPr>
                  <w:tcW w:w="3784" w:type="pct"/>
                  <w:gridSpan w:val="4"/>
                  <w:noWrap w:val="0"/>
                  <w:vAlign w:val="center"/>
                </w:tcPr>
                <w:p w14:paraId="3B833C7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鄂托克高新技术产业开发区蒙西产业园内蒙古美力坚清蓝危废处置有限公司厂区内</w:t>
                  </w:r>
                </w:p>
              </w:tc>
            </w:tr>
            <w:tr w14:paraId="53804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15" w:type="pct"/>
                  <w:noWrap w:val="0"/>
                  <w:vAlign w:val="center"/>
                </w:tcPr>
                <w:p w14:paraId="0485432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地理坐标</w:t>
                  </w:r>
                </w:p>
              </w:tc>
              <w:tc>
                <w:tcPr>
                  <w:tcW w:w="762" w:type="pct"/>
                  <w:noWrap w:val="0"/>
                  <w:vAlign w:val="center"/>
                </w:tcPr>
                <w:p w14:paraId="7CA078F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经度</w:t>
                  </w:r>
                </w:p>
              </w:tc>
              <w:tc>
                <w:tcPr>
                  <w:tcW w:w="1044" w:type="pct"/>
                  <w:noWrap w:val="0"/>
                  <w:vAlign w:val="center"/>
                </w:tcPr>
                <w:p w14:paraId="1273736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106</w:t>
                  </w:r>
                  <w:r>
                    <w:rPr>
                      <w:rFonts w:hint="default" w:ascii="Times New Roman" w:hAnsi="Times New Roman" w:eastAsia="宋体"/>
                      <w:color w:val="auto"/>
                      <w:sz w:val="21"/>
                      <w:szCs w:val="21"/>
                      <w:lang w:val="zh-CN" w:eastAsia="zh-CN"/>
                    </w:rPr>
                    <w:t>°</w:t>
                  </w:r>
                  <w:r>
                    <w:rPr>
                      <w:rFonts w:hint="eastAsia" w:ascii="Times New Roman" w:hAnsi="Times New Roman" w:eastAsia="宋体"/>
                      <w:color w:val="auto"/>
                      <w:sz w:val="21"/>
                      <w:szCs w:val="21"/>
                      <w:lang w:val="en-US" w:eastAsia="zh-CN"/>
                    </w:rPr>
                    <w:t>46</w:t>
                  </w:r>
                  <w:r>
                    <w:rPr>
                      <w:rFonts w:hint="default" w:ascii="Times New Roman" w:hAnsi="Times New Roman" w:eastAsia="宋体"/>
                      <w:color w:val="auto"/>
                      <w:sz w:val="21"/>
                      <w:szCs w:val="21"/>
                      <w:lang w:val="zh-CN" w:eastAsia="zh-CN"/>
                    </w:rPr>
                    <w:t>′</w:t>
                  </w:r>
                  <w:r>
                    <w:rPr>
                      <w:rFonts w:hint="eastAsia" w:ascii="Times New Roman" w:hAnsi="Times New Roman" w:eastAsia="宋体"/>
                      <w:color w:val="auto"/>
                      <w:sz w:val="21"/>
                      <w:szCs w:val="21"/>
                      <w:lang w:val="en-US" w:eastAsia="zh-CN"/>
                    </w:rPr>
                    <w:t>44.16</w:t>
                  </w:r>
                  <w:r>
                    <w:rPr>
                      <w:rFonts w:hint="default" w:ascii="Times New Roman" w:hAnsi="Times New Roman" w:eastAsia="宋体"/>
                      <w:color w:val="auto"/>
                      <w:sz w:val="21"/>
                      <w:szCs w:val="21"/>
                      <w:lang w:val="zh-CN" w:eastAsia="zh-CN"/>
                    </w:rPr>
                    <w:t>″</w:t>
                  </w:r>
                </w:p>
              </w:tc>
              <w:tc>
                <w:tcPr>
                  <w:tcW w:w="885" w:type="pct"/>
                  <w:noWrap w:val="0"/>
                  <w:vAlign w:val="center"/>
                </w:tcPr>
                <w:p w14:paraId="787482B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纬度</w:t>
                  </w:r>
                </w:p>
              </w:tc>
              <w:tc>
                <w:tcPr>
                  <w:tcW w:w="1092" w:type="pct"/>
                  <w:noWrap w:val="0"/>
                  <w:vAlign w:val="center"/>
                </w:tcPr>
                <w:p w14:paraId="05409DE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39</w:t>
                  </w:r>
                  <w:r>
                    <w:rPr>
                      <w:rFonts w:hint="default" w:ascii="Times New Roman" w:hAnsi="Times New Roman" w:eastAsia="宋体"/>
                      <w:color w:val="auto"/>
                      <w:sz w:val="21"/>
                      <w:szCs w:val="21"/>
                      <w:lang w:val="zh-CN" w:eastAsia="zh-CN"/>
                    </w:rPr>
                    <w:t>°</w:t>
                  </w:r>
                  <w:r>
                    <w:rPr>
                      <w:rFonts w:hint="eastAsia" w:ascii="Times New Roman" w:hAnsi="Times New Roman" w:eastAsia="宋体"/>
                      <w:color w:val="auto"/>
                      <w:sz w:val="21"/>
                      <w:szCs w:val="21"/>
                      <w:lang w:val="en-US" w:eastAsia="zh-CN"/>
                    </w:rPr>
                    <w:t>53</w:t>
                  </w:r>
                  <w:r>
                    <w:rPr>
                      <w:rFonts w:hint="default" w:ascii="Times New Roman" w:hAnsi="Times New Roman" w:eastAsia="宋体"/>
                      <w:color w:val="auto"/>
                      <w:sz w:val="21"/>
                      <w:szCs w:val="21"/>
                      <w:lang w:val="zh-CN" w:eastAsia="zh-CN"/>
                    </w:rPr>
                    <w:t>′</w:t>
                  </w:r>
                  <w:r>
                    <w:rPr>
                      <w:rFonts w:hint="eastAsia" w:ascii="Times New Roman" w:hAnsi="Times New Roman" w:eastAsia="宋体"/>
                      <w:color w:val="auto"/>
                      <w:sz w:val="21"/>
                      <w:szCs w:val="21"/>
                      <w:lang w:val="en-US" w:eastAsia="zh-CN"/>
                    </w:rPr>
                    <w:t>48.65</w:t>
                  </w:r>
                  <w:r>
                    <w:rPr>
                      <w:rFonts w:hint="default" w:ascii="Times New Roman" w:hAnsi="Times New Roman" w:eastAsia="宋体"/>
                      <w:color w:val="auto"/>
                      <w:sz w:val="21"/>
                      <w:szCs w:val="21"/>
                      <w:lang w:val="zh-CN" w:eastAsia="zh-CN"/>
                    </w:rPr>
                    <w:t>″</w:t>
                  </w:r>
                </w:p>
              </w:tc>
            </w:tr>
            <w:tr w14:paraId="50331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jc w:val="center"/>
              </w:trPr>
              <w:tc>
                <w:tcPr>
                  <w:tcW w:w="1215" w:type="pct"/>
                  <w:noWrap w:val="0"/>
                  <w:vAlign w:val="center"/>
                </w:tcPr>
                <w:p w14:paraId="22EC543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主要危险物质及分布</w:t>
                  </w:r>
                </w:p>
              </w:tc>
              <w:tc>
                <w:tcPr>
                  <w:tcW w:w="3784" w:type="pct"/>
                  <w:gridSpan w:val="4"/>
                  <w:noWrap w:val="0"/>
                  <w:vAlign w:val="center"/>
                </w:tcPr>
                <w:p w14:paraId="5291EBF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废机油、废润滑油、UV光催化废灯管暂存于危废暂存库。</w:t>
                  </w:r>
                </w:p>
              </w:tc>
            </w:tr>
            <w:tr w14:paraId="70DEB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15" w:type="pct"/>
                  <w:noWrap w:val="0"/>
                  <w:vAlign w:val="center"/>
                </w:tcPr>
                <w:p w14:paraId="5DDA0A3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环境影响途径及危害后果</w:t>
                  </w:r>
                </w:p>
              </w:tc>
              <w:tc>
                <w:tcPr>
                  <w:tcW w:w="3784" w:type="pct"/>
                  <w:gridSpan w:val="4"/>
                  <w:noWrap w:val="0"/>
                  <w:vAlign w:val="center"/>
                </w:tcPr>
                <w:p w14:paraId="60CDED0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大气：灯管破碎汞蒸气挥发；油品火灾产生烟气；</w:t>
                  </w:r>
                </w:p>
                <w:p w14:paraId="1AAE29E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土壤</w:t>
                  </w:r>
                  <w:r>
                    <w:rPr>
                      <w:rFonts w:hint="eastAsia" w:ascii="Times New Roman" w:hAnsi="Times New Roman" w:eastAsia="宋体" w:cs="Times New Roman"/>
                      <w:color w:val="auto"/>
                      <w:sz w:val="21"/>
                      <w:szCs w:val="21"/>
                      <w:lang w:val="zh-CN" w:eastAsia="zh-CN"/>
                    </w:rPr>
                    <w:t>、</w:t>
                  </w:r>
                  <w:r>
                    <w:rPr>
                      <w:rFonts w:hint="default" w:ascii="Times New Roman" w:hAnsi="Times New Roman" w:eastAsia="宋体" w:cs="Times New Roman"/>
                      <w:color w:val="auto"/>
                      <w:sz w:val="21"/>
                      <w:szCs w:val="21"/>
                      <w:lang w:val="zh-CN" w:eastAsia="zh-CN"/>
                    </w:rPr>
                    <w:t>地下水：油品、汞泄漏，渗入污染土壤地下水；</w:t>
                  </w:r>
                </w:p>
                <w:p w14:paraId="3639340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s="Times New Roman"/>
                      <w:color w:val="auto"/>
                      <w:sz w:val="21"/>
                      <w:szCs w:val="21"/>
                      <w:lang w:val="zh-CN" w:eastAsia="zh-CN"/>
                    </w:rPr>
                    <w:t>地表水：危废库设置围堰，泄漏物全部截留，基本不影响地表水；项目风险物质存量极小，危害后果有限。</w:t>
                  </w:r>
                </w:p>
              </w:tc>
            </w:tr>
            <w:tr w14:paraId="752D2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15" w:type="pct"/>
                  <w:noWrap w:val="0"/>
                  <w:vAlign w:val="center"/>
                </w:tcPr>
                <w:p w14:paraId="3ED4C9C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风险防范措施要求</w:t>
                  </w:r>
                </w:p>
              </w:tc>
              <w:tc>
                <w:tcPr>
                  <w:tcW w:w="3784" w:type="pct"/>
                  <w:gridSpan w:val="4"/>
                  <w:noWrap w:val="0"/>
                  <w:vAlign w:val="center"/>
                </w:tcPr>
                <w:p w14:paraId="0658305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s="Times New Roman"/>
                      <w:color w:val="auto"/>
                      <w:sz w:val="21"/>
                      <w:szCs w:val="21"/>
                      <w:lang w:val="zh-CN" w:eastAsia="zh-CN"/>
                    </w:rPr>
                    <w:t>1.危废库防渗、围堰、分区存放</w:t>
                  </w:r>
                  <w:r>
                    <w:rPr>
                      <w:rFonts w:hint="eastAsia" w:ascii="Times New Roman" w:hAnsi="Times New Roman" w:eastAsia="宋体" w:cs="Times New Roman"/>
                      <w:color w:val="auto"/>
                      <w:sz w:val="21"/>
                      <w:szCs w:val="21"/>
                      <w:lang w:val="zh-CN" w:eastAsia="zh-CN"/>
                    </w:rPr>
                    <w:t>，</w:t>
                  </w:r>
                  <w:r>
                    <w:rPr>
                      <w:rFonts w:hint="default" w:ascii="Times New Roman" w:hAnsi="Times New Roman" w:eastAsia="宋体" w:cs="Times New Roman"/>
                      <w:color w:val="auto"/>
                      <w:sz w:val="21"/>
                      <w:szCs w:val="21"/>
                      <w:lang w:val="zh-CN" w:eastAsia="zh-CN"/>
                    </w:rPr>
                    <w:t>废机油放置接液托盘</w:t>
                  </w:r>
                  <w:r>
                    <w:rPr>
                      <w:rFonts w:hint="eastAsia" w:ascii="Times New Roman" w:hAnsi="Times New Roman" w:eastAsia="宋体" w:cs="Times New Roman"/>
                      <w:color w:val="auto"/>
                      <w:sz w:val="21"/>
                      <w:szCs w:val="21"/>
                      <w:lang w:val="zh-CN" w:eastAsia="zh-CN"/>
                    </w:rPr>
                    <w:t>，</w:t>
                  </w:r>
                  <w:r>
                    <w:rPr>
                      <w:rFonts w:hint="eastAsia"/>
                      <w:color w:val="auto"/>
                      <w:sz w:val="21"/>
                      <w:szCs w:val="21"/>
                      <w:lang w:val="en-US" w:eastAsia="zh-CN"/>
                    </w:rPr>
                    <w:t>UV光催化废灯管</w:t>
                  </w:r>
                  <w:r>
                    <w:rPr>
                      <w:rFonts w:hint="default" w:ascii="Times New Roman" w:hAnsi="Times New Roman" w:eastAsia="宋体" w:cs="Times New Roman"/>
                      <w:color w:val="auto"/>
                      <w:sz w:val="21"/>
                      <w:szCs w:val="21"/>
                      <w:lang w:val="zh-CN" w:eastAsia="zh-CN"/>
                    </w:rPr>
                    <w:t>采用硬质防碎容器单独存放，轻拿轻放；2.危废库严禁明火，配备灭火器、吸附棉、硫粉、个人防护用品；3.制定泄漏、破碎、火灾应急处置流程；4.编制突发环境事件应急预案，定期应急演练；5.危废全流程台账管理，厂内转运、自行合规处置。</w:t>
                  </w:r>
                  <w:r>
                    <w:rPr>
                      <w:rFonts w:hint="eastAsia" w:ascii="Times New Roman" w:hAnsi="Times New Roman" w:eastAsia="宋体" w:cs="Times New Roman"/>
                      <w:color w:val="auto"/>
                      <w:sz w:val="21"/>
                      <w:szCs w:val="21"/>
                      <w:lang w:val="en-US" w:eastAsia="zh-CN"/>
                    </w:rPr>
                    <w:t>全厂建设有1座容积为1000m</w:t>
                  </w:r>
                  <w:r>
                    <w:rPr>
                      <w:rFonts w:hint="eastAsia"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的事故水池兼顾消防废水收集池，1座容积为500m</w:t>
                  </w:r>
                  <w:r>
                    <w:rPr>
                      <w:rFonts w:hint="eastAsia"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的初期雨水收集池。</w:t>
                  </w:r>
                </w:p>
              </w:tc>
            </w:tr>
            <w:tr w14:paraId="1E039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00" w:type="pct"/>
                  <w:gridSpan w:val="5"/>
                  <w:noWrap w:val="0"/>
                  <w:vAlign w:val="center"/>
                </w:tcPr>
                <w:p w14:paraId="773A439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填表说明（列出项目相关信息及评价说明）：</w:t>
                  </w:r>
                </w:p>
                <w:p w14:paraId="2BF626C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s="Times New Roman"/>
                      <w:color w:val="auto"/>
                      <w:sz w:val="21"/>
                      <w:szCs w:val="21"/>
                      <w:lang w:val="zh-CN" w:eastAsia="zh-CN"/>
                    </w:rPr>
                    <w:t>本项目</w:t>
                  </w:r>
                  <w:r>
                    <w:rPr>
                      <w:rFonts w:hint="eastAsia" w:ascii="Times New Roman" w:hAnsi="Times New Roman" w:eastAsia="宋体" w:cs="Times New Roman"/>
                      <w:color w:val="auto"/>
                      <w:sz w:val="21"/>
                      <w:szCs w:val="21"/>
                      <w:lang w:val="en-US" w:eastAsia="zh-CN"/>
                    </w:rPr>
                    <w:t>Q</w:t>
                  </w:r>
                  <w:r>
                    <w:rPr>
                      <w:rFonts w:hint="default" w:ascii="Times New Roman" w:hAnsi="Times New Roman" w:eastAsia="宋体" w:cs="Times New Roman"/>
                      <w:color w:val="auto"/>
                      <w:sz w:val="21"/>
                      <w:szCs w:val="21"/>
                      <w:lang w:val="zh-CN" w:eastAsia="zh-CN"/>
                    </w:rPr>
                    <w:t>=0.001202＜1，风险潜势Ⅰ，开展简单分析；落实防控措施后，环境风险可控。</w:t>
                  </w:r>
                </w:p>
              </w:tc>
            </w:tr>
          </w:tbl>
          <w:p w14:paraId="3E792D8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szCs w:val="21"/>
                <w:lang w:val="en-US" w:eastAsia="zh-CN"/>
              </w:rPr>
            </w:pPr>
            <w:r>
              <w:rPr>
                <w:rFonts w:hint="default" w:ascii="Times New Roman" w:hAnsi="Times New Roman" w:eastAsia="宋体" w:cs="Times New Roman"/>
                <w:b/>
                <w:bCs/>
                <w:color w:val="auto"/>
                <w:szCs w:val="21"/>
                <w:lang w:val="en-US" w:eastAsia="zh-CN"/>
              </w:rPr>
              <w:t>7、生态</w:t>
            </w:r>
          </w:p>
          <w:p w14:paraId="724785F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kern w:val="0"/>
                <w:szCs w:val="21"/>
                <w:lang w:val="en-US" w:eastAsia="zh-CN"/>
              </w:rPr>
              <w:t>本项目位于鄂托克高新技术产业开发区蒙西产业园内蒙古美力坚清蓝危废处置有限公司厂区内，不新增占地，</w:t>
            </w:r>
            <w:r>
              <w:rPr>
                <w:rFonts w:hint="default" w:ascii="Times New Roman" w:hAnsi="Times New Roman" w:eastAsia="宋体" w:cs="Times New Roman"/>
                <w:color w:val="auto"/>
                <w:szCs w:val="21"/>
                <w:lang w:val="en-US" w:eastAsia="zh-CN"/>
              </w:rPr>
              <w:t>本项目依托现有厂区，已采取地面硬化措施，用地范围内无生态环境保护目标。</w:t>
            </w:r>
          </w:p>
          <w:p w14:paraId="565B6F4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default" w:ascii="Times New Roman" w:hAnsi="Times New Roman" w:eastAsia="宋体" w:cs="Times New Roman"/>
                <w:b/>
                <w:bCs/>
                <w:color w:val="auto"/>
                <w:szCs w:val="21"/>
                <w:lang w:val="en-US" w:eastAsia="zh-CN"/>
              </w:rPr>
            </w:pPr>
            <w:r>
              <w:rPr>
                <w:rFonts w:hint="default" w:ascii="Times New Roman" w:hAnsi="Times New Roman" w:eastAsia="宋体" w:cs="Times New Roman"/>
                <w:b/>
                <w:bCs/>
                <w:color w:val="auto"/>
                <w:szCs w:val="21"/>
                <w:lang w:val="en-US" w:eastAsia="zh-CN"/>
              </w:rPr>
              <w:t>8、监测计划</w:t>
            </w:r>
          </w:p>
          <w:p w14:paraId="568C4B9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依据《排污单位自行监测技术指南总则》（HJ819-2017）</w:t>
            </w:r>
            <w:r>
              <w:rPr>
                <w:rFonts w:hint="eastAsia"/>
                <w:color w:val="auto"/>
                <w:lang w:eastAsia="zh-CN"/>
              </w:rPr>
              <w:t>、</w:t>
            </w:r>
            <w:r>
              <w:rPr>
                <w:rFonts w:hint="default" w:ascii="Times New Roman" w:hAnsi="Times New Roman" w:eastAsia="宋体" w:cs="Times New Roman"/>
                <w:color w:val="auto"/>
                <w:kern w:val="0"/>
                <w:szCs w:val="21"/>
                <w:lang w:val="en-US" w:eastAsia="zh-CN"/>
              </w:rPr>
              <w:t>《排污许可证申请与核发技术规范橡胶和塑料制品工业》（HJ1122-2020）</w:t>
            </w:r>
            <w:r>
              <w:rPr>
                <w:rFonts w:hint="eastAsia" w:ascii="Times New Roman" w:hAnsi="Times New Roman" w:eastAsia="宋体" w:cs="Times New Roman"/>
                <w:color w:val="auto"/>
                <w:kern w:val="0"/>
                <w:szCs w:val="21"/>
                <w:lang w:val="en-US" w:eastAsia="zh-CN"/>
              </w:rPr>
              <w:t>、《排污单位自行监测技术指南橡胶和塑料制品》（HJ127-2021）相关要求</w:t>
            </w:r>
            <w:r>
              <w:rPr>
                <w:rFonts w:hint="default" w:ascii="Times New Roman" w:hAnsi="Times New Roman" w:eastAsia="宋体" w:cs="Times New Roman"/>
                <w:color w:val="auto"/>
                <w:szCs w:val="21"/>
                <w:lang w:val="en-US" w:eastAsia="zh-CN"/>
              </w:rPr>
              <w:t>，本项目环境监测计划见表4-1</w:t>
            </w:r>
            <w:r>
              <w:rPr>
                <w:rFonts w:hint="eastAsia" w:cs="Times New Roman"/>
                <w:color w:val="auto"/>
                <w:szCs w:val="21"/>
                <w:lang w:val="en-US" w:eastAsia="zh-CN"/>
              </w:rPr>
              <w:t>4</w:t>
            </w:r>
            <w:r>
              <w:rPr>
                <w:rFonts w:hint="default" w:ascii="Times New Roman" w:hAnsi="Times New Roman" w:eastAsia="宋体" w:cs="Times New Roman"/>
                <w:color w:val="auto"/>
                <w:szCs w:val="21"/>
                <w:lang w:val="en-US" w:eastAsia="zh-CN"/>
              </w:rPr>
              <w:t>。</w:t>
            </w:r>
          </w:p>
          <w:p w14:paraId="27E062D1">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zh-CN" w:eastAsia="zh-CN"/>
              </w:rPr>
            </w:pPr>
            <w:r>
              <w:rPr>
                <w:rFonts w:hint="default" w:ascii="Times New Roman" w:hAnsi="Times New Roman" w:eastAsia="宋体" w:cs="Times New Roman"/>
                <w:b/>
                <w:bCs/>
                <w:color w:val="auto"/>
                <w:sz w:val="24"/>
                <w:lang w:val="zh-CN" w:eastAsia="zh-CN"/>
              </w:rPr>
              <w:t>表4-1</w:t>
            </w:r>
            <w:r>
              <w:rPr>
                <w:rFonts w:hint="eastAsia" w:cs="Times New Roman"/>
                <w:b/>
                <w:bCs/>
                <w:color w:val="auto"/>
                <w:sz w:val="24"/>
                <w:lang w:val="en-US" w:eastAsia="zh-CN"/>
              </w:rPr>
              <w:t>4</w:t>
            </w:r>
            <w:r>
              <w:rPr>
                <w:rFonts w:hint="default" w:ascii="Times New Roman" w:hAnsi="Times New Roman" w:eastAsia="宋体" w:cs="Times New Roman"/>
                <w:b/>
                <w:bCs/>
                <w:color w:val="auto"/>
                <w:sz w:val="24"/>
                <w:lang w:val="zh-CN" w:eastAsia="zh-CN"/>
              </w:rPr>
              <w:t>项目运营期污染源监测计划</w:t>
            </w: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6"/>
              <w:gridCol w:w="1725"/>
              <w:gridCol w:w="3354"/>
              <w:gridCol w:w="1938"/>
            </w:tblGrid>
            <w:tr w14:paraId="39AA2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jc w:val="center"/>
              </w:trPr>
              <w:tc>
                <w:tcPr>
                  <w:tcW w:w="916" w:type="dxa"/>
                  <w:noWrap w:val="0"/>
                  <w:vAlign w:val="center"/>
                </w:tcPr>
                <w:p w14:paraId="0D6CBF9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种类</w:t>
                  </w:r>
                </w:p>
              </w:tc>
              <w:tc>
                <w:tcPr>
                  <w:tcW w:w="1725" w:type="dxa"/>
                  <w:noWrap w:val="0"/>
                  <w:vAlign w:val="center"/>
                </w:tcPr>
                <w:p w14:paraId="45BEE1A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监测点位</w:t>
                  </w:r>
                </w:p>
              </w:tc>
              <w:tc>
                <w:tcPr>
                  <w:tcW w:w="3354" w:type="dxa"/>
                  <w:noWrap w:val="0"/>
                  <w:vAlign w:val="center"/>
                </w:tcPr>
                <w:p w14:paraId="47E784D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监测项目</w:t>
                  </w:r>
                </w:p>
              </w:tc>
              <w:tc>
                <w:tcPr>
                  <w:tcW w:w="1938" w:type="dxa"/>
                  <w:noWrap w:val="0"/>
                  <w:vAlign w:val="center"/>
                </w:tcPr>
                <w:p w14:paraId="6E73742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监测频次</w:t>
                  </w:r>
                </w:p>
              </w:tc>
            </w:tr>
            <w:tr w14:paraId="575DD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916" w:type="dxa"/>
                  <w:vMerge w:val="restart"/>
                  <w:noWrap w:val="0"/>
                  <w:vAlign w:val="center"/>
                </w:tcPr>
                <w:p w14:paraId="6598ECD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废气</w:t>
                  </w:r>
                </w:p>
              </w:tc>
              <w:tc>
                <w:tcPr>
                  <w:tcW w:w="1725" w:type="dxa"/>
                  <w:noWrap w:val="0"/>
                  <w:vAlign w:val="center"/>
                </w:tcPr>
                <w:p w14:paraId="62DB563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en-US" w:eastAsia="zh-CN"/>
                    </w:rPr>
                    <w:t>DA001</w:t>
                  </w:r>
                </w:p>
              </w:tc>
              <w:tc>
                <w:tcPr>
                  <w:tcW w:w="3354" w:type="dxa"/>
                  <w:noWrap w:val="0"/>
                  <w:vAlign w:val="center"/>
                </w:tcPr>
                <w:p w14:paraId="1AC20F4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非甲烷总烃、颗粒物</w:t>
                  </w:r>
                  <w:r>
                    <w:rPr>
                      <w:rFonts w:hint="eastAsia"/>
                      <w:color w:val="auto"/>
                      <w:sz w:val="21"/>
                      <w:szCs w:val="21"/>
                      <w:lang w:val="zh-CN" w:eastAsia="zh-CN"/>
                    </w:rPr>
                    <w:t>、</w:t>
                  </w:r>
                  <w:r>
                    <w:rPr>
                      <w:rFonts w:hint="eastAsia"/>
                      <w:color w:val="auto"/>
                      <w:sz w:val="21"/>
                      <w:szCs w:val="21"/>
                      <w:lang w:val="en-US" w:eastAsia="zh-CN"/>
                    </w:rPr>
                    <w:t>臭气浓度</w:t>
                  </w:r>
                </w:p>
              </w:tc>
              <w:tc>
                <w:tcPr>
                  <w:tcW w:w="1938" w:type="dxa"/>
                  <w:noWrap w:val="0"/>
                  <w:vAlign w:val="center"/>
                </w:tcPr>
                <w:p w14:paraId="3A7F7FE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1次/半年</w:t>
                  </w:r>
                </w:p>
              </w:tc>
            </w:tr>
            <w:tr w14:paraId="5C0B3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jc w:val="center"/>
              </w:trPr>
              <w:tc>
                <w:tcPr>
                  <w:tcW w:w="916" w:type="dxa"/>
                  <w:vMerge w:val="continue"/>
                  <w:noWrap w:val="0"/>
                  <w:vAlign w:val="center"/>
                </w:tcPr>
                <w:p w14:paraId="3774264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p>
              </w:tc>
              <w:tc>
                <w:tcPr>
                  <w:tcW w:w="1725" w:type="dxa"/>
                  <w:noWrap w:val="0"/>
                  <w:vAlign w:val="center"/>
                </w:tcPr>
                <w:p w14:paraId="1B84BCD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厂界四周</w:t>
                  </w:r>
                </w:p>
              </w:tc>
              <w:tc>
                <w:tcPr>
                  <w:tcW w:w="3354" w:type="dxa"/>
                  <w:noWrap w:val="0"/>
                  <w:vAlign w:val="center"/>
                </w:tcPr>
                <w:p w14:paraId="7627A68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非甲烷总烃、颗粒物</w:t>
                  </w:r>
                  <w:r>
                    <w:rPr>
                      <w:rFonts w:hint="eastAsia"/>
                      <w:color w:val="auto"/>
                      <w:sz w:val="21"/>
                      <w:szCs w:val="21"/>
                      <w:lang w:val="zh-CN" w:eastAsia="zh-CN"/>
                    </w:rPr>
                    <w:t>、</w:t>
                  </w:r>
                  <w:r>
                    <w:rPr>
                      <w:rFonts w:hint="eastAsia"/>
                      <w:color w:val="auto"/>
                      <w:sz w:val="21"/>
                      <w:szCs w:val="21"/>
                      <w:lang w:val="en-US" w:eastAsia="zh-CN"/>
                    </w:rPr>
                    <w:t>臭气浓度</w:t>
                  </w:r>
                </w:p>
              </w:tc>
              <w:tc>
                <w:tcPr>
                  <w:tcW w:w="1938" w:type="dxa"/>
                  <w:noWrap w:val="0"/>
                  <w:vAlign w:val="center"/>
                </w:tcPr>
                <w:p w14:paraId="5419B0B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1次/半年</w:t>
                  </w:r>
                </w:p>
              </w:tc>
            </w:tr>
            <w:tr w14:paraId="562C6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916" w:type="dxa"/>
                  <w:noWrap w:val="0"/>
                  <w:vAlign w:val="center"/>
                </w:tcPr>
                <w:p w14:paraId="634A137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噪声</w:t>
                  </w:r>
                </w:p>
              </w:tc>
              <w:tc>
                <w:tcPr>
                  <w:tcW w:w="1725" w:type="dxa"/>
                  <w:noWrap w:val="0"/>
                  <w:vAlign w:val="center"/>
                </w:tcPr>
                <w:p w14:paraId="7AB08A2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厂区四周，界外1m</w:t>
                  </w:r>
                </w:p>
              </w:tc>
              <w:tc>
                <w:tcPr>
                  <w:tcW w:w="3354" w:type="dxa"/>
                  <w:noWrap w:val="0"/>
                  <w:vAlign w:val="center"/>
                </w:tcPr>
                <w:p w14:paraId="2CF77C1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连续等效A声级</w:t>
                  </w:r>
                </w:p>
              </w:tc>
              <w:tc>
                <w:tcPr>
                  <w:tcW w:w="1938" w:type="dxa"/>
                  <w:noWrap w:val="0"/>
                  <w:vAlign w:val="center"/>
                </w:tcPr>
                <w:p w14:paraId="5A05D20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1次/季度</w:t>
                  </w:r>
                </w:p>
              </w:tc>
            </w:tr>
          </w:tbl>
          <w:p w14:paraId="52E2DF3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将以上监测结果编制环境监测报表，上报环保管理部门，如发现问题，必须及时采取纠正措施，防止环境污染。</w:t>
            </w:r>
          </w:p>
          <w:p w14:paraId="31BFCFD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9</w:t>
            </w:r>
            <w:r>
              <w:rPr>
                <w:rFonts w:hint="default" w:ascii="Times New Roman" w:hAnsi="Times New Roman" w:eastAsia="宋体" w:cs="Times New Roman"/>
                <w:b/>
                <w:bCs/>
                <w:color w:val="auto"/>
                <w:szCs w:val="21"/>
                <w:lang w:val="en-US" w:eastAsia="zh-CN"/>
              </w:rPr>
              <w:t>、</w:t>
            </w:r>
            <w:r>
              <w:rPr>
                <w:rFonts w:hint="eastAsia" w:ascii="Times New Roman" w:hAnsi="Times New Roman" w:eastAsia="宋体" w:cs="Times New Roman"/>
                <w:b/>
                <w:bCs/>
                <w:color w:val="auto"/>
                <w:szCs w:val="21"/>
                <w:lang w:val="en-US" w:eastAsia="zh-CN"/>
              </w:rPr>
              <w:t>环保投资一览表</w:t>
            </w:r>
          </w:p>
          <w:p w14:paraId="69282DA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本项目总投资</w:t>
            </w:r>
            <w:r>
              <w:rPr>
                <w:rFonts w:hint="eastAsia" w:ascii="Times New Roman" w:hAnsi="Times New Roman" w:eastAsia="宋体" w:cs="Times New Roman"/>
                <w:color w:val="auto"/>
                <w:szCs w:val="21"/>
                <w:lang w:val="en-US" w:eastAsia="zh-CN"/>
              </w:rPr>
              <w:t>3000</w:t>
            </w:r>
            <w:r>
              <w:rPr>
                <w:rFonts w:hint="default" w:ascii="Times New Roman" w:hAnsi="Times New Roman" w:eastAsia="宋体" w:cs="Times New Roman"/>
                <w:color w:val="auto"/>
                <w:szCs w:val="21"/>
                <w:lang w:val="en-US" w:eastAsia="zh-CN"/>
              </w:rPr>
              <w:t>万元，</w:t>
            </w:r>
            <w:r>
              <w:rPr>
                <w:rFonts w:hint="eastAsia" w:ascii="Times New Roman" w:hAnsi="Times New Roman" w:eastAsia="宋体" w:cs="Times New Roman"/>
                <w:color w:val="auto"/>
                <w:szCs w:val="21"/>
                <w:lang w:val="en-US" w:eastAsia="zh-CN"/>
              </w:rPr>
              <w:t>其中</w:t>
            </w:r>
            <w:r>
              <w:rPr>
                <w:rFonts w:hint="default" w:ascii="Times New Roman" w:hAnsi="Times New Roman" w:eastAsia="宋体" w:cs="Times New Roman"/>
                <w:color w:val="auto"/>
                <w:szCs w:val="21"/>
                <w:lang w:val="en-US" w:eastAsia="zh-CN"/>
              </w:rPr>
              <w:t>环保投资</w:t>
            </w:r>
            <w:r>
              <w:rPr>
                <w:rFonts w:hint="eastAsia" w:ascii="Times New Roman" w:hAnsi="Times New Roman" w:eastAsia="宋体" w:cs="Times New Roman"/>
                <w:color w:val="auto"/>
                <w:szCs w:val="21"/>
                <w:lang w:val="en-US" w:eastAsia="zh-CN"/>
              </w:rPr>
              <w:t>为150万元，占项目总投资的5</w:t>
            </w:r>
            <w:r>
              <w:rPr>
                <w:rFonts w:hint="default" w:ascii="Times New Roman" w:hAnsi="Times New Roman" w:eastAsia="宋体" w:cs="Times New Roman"/>
                <w:color w:val="auto"/>
                <w:szCs w:val="21"/>
                <w:lang w:val="en-US" w:eastAsia="zh-CN"/>
              </w:rPr>
              <w:t>%</w:t>
            </w:r>
            <w:r>
              <w:rPr>
                <w:rFonts w:hint="eastAsia" w:ascii="Times New Roman" w:hAnsi="Times New Roman" w:eastAsia="宋体" w:cs="Times New Roman"/>
                <w:color w:val="auto"/>
                <w:szCs w:val="21"/>
                <w:lang w:val="en-US" w:eastAsia="zh-CN"/>
              </w:rPr>
              <w:t>。本项目运营期环保投资见表4-</w:t>
            </w:r>
            <w:r>
              <w:rPr>
                <w:rFonts w:hint="eastAsia" w:cs="Times New Roman"/>
                <w:color w:val="auto"/>
                <w:szCs w:val="21"/>
                <w:lang w:val="en-US" w:eastAsia="zh-CN"/>
              </w:rPr>
              <w:t>15</w:t>
            </w:r>
            <w:r>
              <w:rPr>
                <w:rFonts w:hint="eastAsia" w:ascii="Times New Roman" w:hAnsi="Times New Roman" w:eastAsia="宋体" w:cs="Times New Roman"/>
                <w:color w:val="auto"/>
                <w:szCs w:val="21"/>
                <w:lang w:val="en-US" w:eastAsia="zh-CN"/>
              </w:rPr>
              <w:t>。</w:t>
            </w:r>
          </w:p>
          <w:p w14:paraId="46FA7E45">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表4-1</w:t>
            </w:r>
            <w:r>
              <w:rPr>
                <w:rFonts w:hint="eastAsia" w:cs="Times New Roman"/>
                <w:b/>
                <w:bCs/>
                <w:color w:val="auto"/>
                <w:sz w:val="24"/>
                <w:lang w:val="en-US" w:eastAsia="zh-CN"/>
              </w:rPr>
              <w:t>5</w:t>
            </w:r>
            <w:r>
              <w:rPr>
                <w:rFonts w:hint="eastAsia" w:ascii="Times New Roman" w:hAnsi="Times New Roman" w:eastAsia="宋体" w:cs="Times New Roman"/>
                <w:b/>
                <w:bCs/>
                <w:color w:val="auto"/>
                <w:sz w:val="24"/>
                <w:lang w:val="en-US" w:eastAsia="zh-CN"/>
              </w:rPr>
              <w:t>环保措施投资估算</w:t>
            </w:r>
          </w:p>
          <w:tbl>
            <w:tblPr>
              <w:tblStyle w:val="24"/>
              <w:tblW w:w="499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2"/>
              <w:gridCol w:w="1393"/>
              <w:gridCol w:w="4516"/>
              <w:gridCol w:w="1812"/>
            </w:tblGrid>
            <w:tr w14:paraId="4686A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465" w:type="pct"/>
                  <w:tcBorders>
                    <w:tl2br w:val="nil"/>
                    <w:tr2bl w:val="nil"/>
                  </w:tcBorders>
                  <w:noWrap w:val="0"/>
                  <w:vAlign w:val="center"/>
                </w:tcPr>
                <w:p w14:paraId="1034078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项目</w:t>
                  </w:r>
                </w:p>
              </w:tc>
              <w:tc>
                <w:tcPr>
                  <w:tcW w:w="818" w:type="pct"/>
                  <w:tcBorders>
                    <w:tl2br w:val="nil"/>
                    <w:tr2bl w:val="nil"/>
                  </w:tcBorders>
                  <w:noWrap w:val="0"/>
                  <w:vAlign w:val="center"/>
                </w:tcPr>
                <w:p w14:paraId="050E440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污染源</w:t>
                  </w:r>
                </w:p>
              </w:tc>
              <w:tc>
                <w:tcPr>
                  <w:tcW w:w="2652" w:type="pct"/>
                  <w:tcBorders>
                    <w:tl2br w:val="nil"/>
                    <w:tr2bl w:val="nil"/>
                  </w:tcBorders>
                  <w:noWrap w:val="0"/>
                  <w:vAlign w:val="center"/>
                </w:tcPr>
                <w:p w14:paraId="28D52B3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环保措施</w:t>
                  </w:r>
                </w:p>
              </w:tc>
              <w:tc>
                <w:tcPr>
                  <w:tcW w:w="1064" w:type="pct"/>
                  <w:tcBorders>
                    <w:tl2br w:val="nil"/>
                    <w:tr2bl w:val="nil"/>
                  </w:tcBorders>
                  <w:noWrap w:val="0"/>
                  <w:vAlign w:val="center"/>
                </w:tcPr>
                <w:p w14:paraId="4682C82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环保投资（万元）</w:t>
                  </w:r>
                </w:p>
              </w:tc>
            </w:tr>
            <w:tr w14:paraId="4F1DD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465" w:type="pct"/>
                  <w:tcBorders>
                    <w:tl2br w:val="nil"/>
                    <w:tr2bl w:val="nil"/>
                  </w:tcBorders>
                  <w:noWrap w:val="0"/>
                  <w:vAlign w:val="center"/>
                </w:tcPr>
                <w:p w14:paraId="3696A3E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废气</w:t>
                  </w:r>
                </w:p>
              </w:tc>
              <w:tc>
                <w:tcPr>
                  <w:tcW w:w="818" w:type="pct"/>
                  <w:tcBorders>
                    <w:tl2br w:val="nil"/>
                    <w:tr2bl w:val="nil"/>
                  </w:tcBorders>
                  <w:noWrap w:val="0"/>
                  <w:vAlign w:val="center"/>
                </w:tcPr>
                <w:p w14:paraId="1DE6E16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吹塑、焊接、粉碎等工序废气</w:t>
                  </w:r>
                </w:p>
              </w:tc>
              <w:tc>
                <w:tcPr>
                  <w:tcW w:w="2652" w:type="pct"/>
                  <w:tcBorders>
                    <w:tl2br w:val="nil"/>
                    <w:tr2bl w:val="nil"/>
                  </w:tcBorders>
                  <w:noWrap w:val="0"/>
                  <w:vAlign w:val="center"/>
                </w:tcPr>
                <w:p w14:paraId="3A1E6A9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配备2套集气罩、2套除尘设备、2套VOCs治理措施</w:t>
                  </w:r>
                </w:p>
              </w:tc>
              <w:tc>
                <w:tcPr>
                  <w:tcW w:w="1064" w:type="pct"/>
                  <w:tcBorders>
                    <w:tl2br w:val="nil"/>
                    <w:tr2bl w:val="nil"/>
                  </w:tcBorders>
                  <w:noWrap w:val="0"/>
                  <w:vAlign w:val="center"/>
                </w:tcPr>
                <w:p w14:paraId="699B19B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80</w:t>
                  </w:r>
                </w:p>
              </w:tc>
            </w:tr>
            <w:tr w14:paraId="00FB4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4" w:hRule="atLeast"/>
              </w:trPr>
              <w:tc>
                <w:tcPr>
                  <w:tcW w:w="465" w:type="pct"/>
                  <w:tcBorders>
                    <w:tl2br w:val="nil"/>
                    <w:tr2bl w:val="nil"/>
                  </w:tcBorders>
                  <w:noWrap w:val="0"/>
                  <w:vAlign w:val="center"/>
                </w:tcPr>
                <w:p w14:paraId="619B0A9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噪声</w:t>
                  </w:r>
                </w:p>
              </w:tc>
              <w:tc>
                <w:tcPr>
                  <w:tcW w:w="818" w:type="pct"/>
                  <w:tcBorders>
                    <w:tl2br w:val="nil"/>
                    <w:tr2bl w:val="nil"/>
                  </w:tcBorders>
                  <w:noWrap w:val="0"/>
                  <w:vAlign w:val="center"/>
                </w:tcPr>
                <w:p w14:paraId="3AE8658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设备噪声</w:t>
                  </w:r>
                </w:p>
              </w:tc>
              <w:tc>
                <w:tcPr>
                  <w:tcW w:w="2652" w:type="pct"/>
                  <w:tcBorders>
                    <w:tl2br w:val="nil"/>
                    <w:tr2bl w:val="nil"/>
                  </w:tcBorders>
                  <w:noWrap w:val="0"/>
                  <w:vAlign w:val="center"/>
                </w:tcPr>
                <w:p w14:paraId="145D8C7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低噪设备、基座减震、隔声等</w:t>
                  </w:r>
                </w:p>
              </w:tc>
              <w:tc>
                <w:tcPr>
                  <w:tcW w:w="1064" w:type="pct"/>
                  <w:tcBorders>
                    <w:tl2br w:val="nil"/>
                    <w:tr2bl w:val="nil"/>
                  </w:tcBorders>
                  <w:noWrap w:val="0"/>
                  <w:vAlign w:val="center"/>
                </w:tcPr>
                <w:p w14:paraId="428C602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w:t>
                  </w:r>
                </w:p>
              </w:tc>
            </w:tr>
            <w:tr w14:paraId="568B0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465" w:type="pct"/>
                  <w:tcBorders>
                    <w:tl2br w:val="nil"/>
                    <w:tr2bl w:val="nil"/>
                  </w:tcBorders>
                  <w:noWrap w:val="0"/>
                  <w:vAlign w:val="center"/>
                </w:tcPr>
                <w:p w14:paraId="44E5E5F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固体废物</w:t>
                  </w:r>
                </w:p>
              </w:tc>
              <w:tc>
                <w:tcPr>
                  <w:tcW w:w="818" w:type="pct"/>
                  <w:tcBorders>
                    <w:tl2br w:val="nil"/>
                    <w:tr2bl w:val="nil"/>
                  </w:tcBorders>
                  <w:noWrap w:val="0"/>
                  <w:vAlign w:val="center"/>
                </w:tcPr>
                <w:p w14:paraId="4E9F514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设备维护、活性炭吸附装置</w:t>
                  </w:r>
                </w:p>
              </w:tc>
              <w:tc>
                <w:tcPr>
                  <w:tcW w:w="2652" w:type="pct"/>
                  <w:tcBorders>
                    <w:tl2br w:val="nil"/>
                    <w:tr2bl w:val="nil"/>
                  </w:tcBorders>
                  <w:noWrap w:val="0"/>
                  <w:vAlign w:val="center"/>
                </w:tcPr>
                <w:p w14:paraId="52FED3B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暂存于危废暂存间，内蒙古美力坚清蓝危废处置有限公司本身从事危废处置，有完善的处置设施</w:t>
                  </w:r>
                </w:p>
              </w:tc>
              <w:tc>
                <w:tcPr>
                  <w:tcW w:w="1064" w:type="pct"/>
                  <w:tcBorders>
                    <w:tl2br w:val="nil"/>
                    <w:tr2bl w:val="nil"/>
                  </w:tcBorders>
                  <w:noWrap w:val="0"/>
                  <w:vAlign w:val="center"/>
                </w:tcPr>
                <w:p w14:paraId="59FBF0A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w:t>
                  </w:r>
                </w:p>
              </w:tc>
            </w:tr>
            <w:tr w14:paraId="524EF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1283" w:type="pct"/>
                  <w:gridSpan w:val="2"/>
                  <w:tcBorders>
                    <w:tl2br w:val="nil"/>
                    <w:tr2bl w:val="nil"/>
                  </w:tcBorders>
                  <w:noWrap w:val="0"/>
                  <w:vAlign w:val="center"/>
                </w:tcPr>
                <w:p w14:paraId="5384B3D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防渗</w:t>
                  </w:r>
                </w:p>
              </w:tc>
              <w:tc>
                <w:tcPr>
                  <w:tcW w:w="2652" w:type="pct"/>
                  <w:tcBorders>
                    <w:tl2br w:val="nil"/>
                    <w:tr2bl w:val="nil"/>
                  </w:tcBorders>
                  <w:noWrap w:val="0"/>
                  <w:vAlign w:val="center"/>
                </w:tcPr>
                <w:p w14:paraId="44E7D08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根据厂区可能泄漏至地面区域污染物的性质和生产单元的构筑方式，将厂区划分为重点防治污染区、一般防渗区和简单防渗区。针对不同的区域提出相应的防渗要求</w:t>
                  </w:r>
                </w:p>
              </w:tc>
              <w:tc>
                <w:tcPr>
                  <w:tcW w:w="1064" w:type="pct"/>
                  <w:tcBorders>
                    <w:tl2br w:val="nil"/>
                    <w:tr2bl w:val="nil"/>
                  </w:tcBorders>
                  <w:noWrap w:val="0"/>
                  <w:vAlign w:val="center"/>
                </w:tcPr>
                <w:p w14:paraId="525CAF4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30</w:t>
                  </w:r>
                </w:p>
              </w:tc>
            </w:tr>
            <w:tr w14:paraId="4E124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3935" w:type="pct"/>
                  <w:gridSpan w:val="3"/>
                  <w:tcBorders>
                    <w:tl2br w:val="nil"/>
                    <w:tr2bl w:val="nil"/>
                  </w:tcBorders>
                  <w:noWrap w:val="0"/>
                  <w:vAlign w:val="center"/>
                </w:tcPr>
                <w:p w14:paraId="21C9EBD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合计</w:t>
                  </w:r>
                </w:p>
              </w:tc>
              <w:tc>
                <w:tcPr>
                  <w:tcW w:w="1064" w:type="pct"/>
                  <w:tcBorders>
                    <w:tl2br w:val="nil"/>
                    <w:tr2bl w:val="nil"/>
                  </w:tcBorders>
                  <w:noWrap w:val="0"/>
                  <w:vAlign w:val="center"/>
                </w:tcPr>
                <w:p w14:paraId="29B8A7F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150</w:t>
                  </w:r>
                </w:p>
              </w:tc>
            </w:tr>
          </w:tbl>
          <w:p w14:paraId="39EABB2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2" w:firstLineChars="200"/>
              <w:jc w:val="left"/>
              <w:textAlignment w:val="auto"/>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10、环境保护竣工验收</w:t>
            </w:r>
          </w:p>
          <w:p w14:paraId="2B4FE8C0">
            <w:pPr>
              <w:pStyle w:val="69"/>
              <w:keepNext w:val="0"/>
              <w:keepLines w:val="0"/>
              <w:suppressLineNumbers w:val="0"/>
              <w:adjustRightInd w:val="0"/>
              <w:snapToGrid w:val="0"/>
              <w:spacing w:before="0" w:beforeAutospacing="0" w:after="0" w:afterAutospacing="0" w:line="360" w:lineRule="auto"/>
              <w:ind w:left="0" w:right="0" w:firstLine="480" w:firstLineChars="200"/>
              <w:outlineLvl w:val="0"/>
              <w:rPr>
                <w:rFonts w:hint="default"/>
                <w:color w:val="auto"/>
                <w:sz w:val="24"/>
                <w:szCs w:val="20"/>
                <w:highlight w:val="none"/>
              </w:rPr>
            </w:pPr>
            <w:r>
              <w:rPr>
                <w:rFonts w:hint="default"/>
                <w:color w:val="auto"/>
                <w:sz w:val="24"/>
                <w:szCs w:val="20"/>
                <w:highlight w:val="none"/>
              </w:rPr>
              <w:t>根据建设项目环境管理办法，污染防治设施必须与主体</w:t>
            </w:r>
            <w:r>
              <w:rPr>
                <w:rFonts w:hint="eastAsia"/>
                <w:color w:val="auto"/>
                <w:sz w:val="24"/>
                <w:szCs w:val="20"/>
                <w:highlight w:val="none"/>
              </w:rPr>
              <w:t>工程</w:t>
            </w:r>
            <w:r>
              <w:rPr>
                <w:rFonts w:hint="default"/>
                <w:color w:val="auto"/>
                <w:sz w:val="24"/>
                <w:szCs w:val="20"/>
                <w:highlight w:val="none"/>
              </w:rPr>
              <w:t>同时设计、同时施工、同时投入使用。在本项目完成后，应对环境保护设施进行验收。本项目竣工环境保护验收内容见表4-</w:t>
            </w:r>
            <w:r>
              <w:rPr>
                <w:rFonts w:hint="eastAsia"/>
                <w:color w:val="auto"/>
                <w:sz w:val="24"/>
                <w:szCs w:val="20"/>
                <w:highlight w:val="none"/>
              </w:rPr>
              <w:t>1</w:t>
            </w:r>
            <w:r>
              <w:rPr>
                <w:rFonts w:hint="eastAsia"/>
                <w:color w:val="auto"/>
                <w:sz w:val="24"/>
                <w:szCs w:val="20"/>
                <w:highlight w:val="none"/>
                <w:lang w:val="en-US" w:eastAsia="zh-CN"/>
              </w:rPr>
              <w:t>6</w:t>
            </w:r>
            <w:r>
              <w:rPr>
                <w:rFonts w:hint="default"/>
                <w:color w:val="auto"/>
                <w:sz w:val="24"/>
                <w:szCs w:val="20"/>
                <w:highlight w:val="none"/>
              </w:rPr>
              <w:t>。</w:t>
            </w:r>
          </w:p>
          <w:p w14:paraId="26F8FF73">
            <w:pPr>
              <w:keepNext w:val="0"/>
              <w:keepLines w:val="0"/>
              <w:pageBreakBefore w:val="0"/>
              <w:suppressLineNumbers w:val="0"/>
              <w:kinsoku/>
              <w:overflowPunct/>
              <w:autoSpaceDE/>
              <w:autoSpaceDN/>
              <w:bidi w:val="0"/>
              <w:adjustRightInd/>
              <w:snapToGrid/>
              <w:spacing w:before="0" w:beforeAutospacing="0" w:after="0" w:afterLines="0" w:afterAutospacing="0" w:line="440" w:lineRule="exact"/>
              <w:ind w:left="0" w:right="0" w:firstLine="0" w:firstLineChars="0"/>
              <w:jc w:val="center"/>
              <w:outlineLvl w:val="1"/>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w:t>
            </w:r>
            <w:r>
              <w:rPr>
                <w:rFonts w:hint="eastAsia" w:ascii="Times New Roman" w:hAnsi="Times New Roman" w:eastAsia="宋体" w:cs="Times New Roman"/>
                <w:b/>
                <w:bCs/>
                <w:color w:val="auto"/>
                <w:sz w:val="24"/>
                <w:lang w:val="en-US" w:eastAsia="zh-CN"/>
              </w:rPr>
              <w:t>1</w:t>
            </w:r>
            <w:r>
              <w:rPr>
                <w:rFonts w:hint="eastAsia" w:cs="Times New Roman"/>
                <w:b/>
                <w:bCs/>
                <w:color w:val="auto"/>
                <w:sz w:val="24"/>
                <w:lang w:val="en-US" w:eastAsia="zh-CN"/>
              </w:rPr>
              <w:t>6</w:t>
            </w:r>
            <w:r>
              <w:rPr>
                <w:rFonts w:hint="default" w:ascii="Times New Roman" w:hAnsi="Times New Roman" w:eastAsia="宋体" w:cs="Times New Roman"/>
                <w:b/>
                <w:bCs/>
                <w:color w:val="auto"/>
                <w:sz w:val="24"/>
                <w:lang w:val="en-US" w:eastAsia="zh-CN"/>
              </w:rPr>
              <w:t>建设项目环境保护</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lang w:val="en-US" w:eastAsia="zh-CN"/>
              </w:rPr>
              <w:t>三同时</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lang w:val="en-US" w:eastAsia="zh-CN"/>
              </w:rPr>
              <w:t>验收一览表</w:t>
            </w:r>
          </w:p>
          <w:tbl>
            <w:tblPr>
              <w:tblStyle w:val="24"/>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222"/>
              <w:gridCol w:w="1388"/>
              <w:gridCol w:w="2723"/>
              <w:gridCol w:w="2489"/>
            </w:tblGrid>
            <w:tr w14:paraId="1E29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tcBorders>
                    <w:tl2br w:val="nil"/>
                    <w:tr2bl w:val="nil"/>
                  </w:tcBorders>
                  <w:noWrap w:val="0"/>
                  <w:vAlign w:val="center"/>
                </w:tcPr>
                <w:p w14:paraId="1787B8B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项目</w:t>
                  </w:r>
                </w:p>
              </w:tc>
              <w:tc>
                <w:tcPr>
                  <w:tcW w:w="1222" w:type="dxa"/>
                  <w:tcBorders>
                    <w:tl2br w:val="nil"/>
                    <w:tr2bl w:val="nil"/>
                  </w:tcBorders>
                  <w:noWrap w:val="0"/>
                  <w:vAlign w:val="center"/>
                </w:tcPr>
                <w:p w14:paraId="12EF095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污染源</w:t>
                  </w:r>
                </w:p>
              </w:tc>
              <w:tc>
                <w:tcPr>
                  <w:tcW w:w="1388" w:type="dxa"/>
                  <w:tcBorders>
                    <w:tl2br w:val="nil"/>
                    <w:tr2bl w:val="nil"/>
                  </w:tcBorders>
                  <w:noWrap w:val="0"/>
                  <w:vAlign w:val="center"/>
                </w:tcPr>
                <w:p w14:paraId="67B90DF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污染物</w:t>
                  </w:r>
                </w:p>
              </w:tc>
              <w:tc>
                <w:tcPr>
                  <w:tcW w:w="2723" w:type="dxa"/>
                  <w:tcBorders>
                    <w:tl2br w:val="nil"/>
                    <w:tr2bl w:val="nil"/>
                  </w:tcBorders>
                  <w:noWrap w:val="0"/>
                  <w:vAlign w:val="center"/>
                </w:tcPr>
                <w:p w14:paraId="14BFC99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防治措施</w:t>
                  </w:r>
                </w:p>
              </w:tc>
              <w:tc>
                <w:tcPr>
                  <w:tcW w:w="2489" w:type="dxa"/>
                  <w:tcBorders>
                    <w:tl2br w:val="nil"/>
                    <w:tr2bl w:val="nil"/>
                  </w:tcBorders>
                  <w:noWrap w:val="0"/>
                  <w:vAlign w:val="center"/>
                </w:tcPr>
                <w:p w14:paraId="3897861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排放标准</w:t>
                  </w:r>
                </w:p>
              </w:tc>
            </w:tr>
            <w:tr w14:paraId="53E2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56" w:type="dxa"/>
                  <w:vMerge w:val="restart"/>
                  <w:tcBorders>
                    <w:tl2br w:val="nil"/>
                    <w:tr2bl w:val="nil"/>
                  </w:tcBorders>
                  <w:noWrap w:val="0"/>
                  <w:vAlign w:val="center"/>
                </w:tcPr>
                <w:p w14:paraId="2686341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废气</w:t>
                  </w:r>
                </w:p>
              </w:tc>
              <w:tc>
                <w:tcPr>
                  <w:tcW w:w="1222" w:type="dxa"/>
                  <w:vMerge w:val="restart"/>
                  <w:tcBorders>
                    <w:tl2br w:val="nil"/>
                    <w:tr2bl w:val="nil"/>
                  </w:tcBorders>
                  <w:noWrap w:val="0"/>
                  <w:vAlign w:val="center"/>
                </w:tcPr>
                <w:p w14:paraId="05DEA7D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原料混合干燥</w:t>
                  </w:r>
                  <w:r>
                    <w:rPr>
                      <w:rFonts w:hint="eastAsia"/>
                      <w:color w:val="auto"/>
                      <w:sz w:val="21"/>
                      <w:szCs w:val="21"/>
                      <w:lang w:val="en-US" w:eastAsia="zh-CN"/>
                    </w:rPr>
                    <w:t>、</w:t>
                  </w:r>
                  <w:r>
                    <w:rPr>
                      <w:rFonts w:hint="eastAsia" w:ascii="Times New Roman" w:hAnsi="Times New Roman" w:eastAsia="宋体"/>
                      <w:color w:val="auto"/>
                      <w:sz w:val="21"/>
                      <w:szCs w:val="21"/>
                      <w:lang w:val="en-US" w:eastAsia="zh-CN"/>
                    </w:rPr>
                    <w:t>吹塑废气</w:t>
                  </w:r>
                </w:p>
              </w:tc>
              <w:tc>
                <w:tcPr>
                  <w:tcW w:w="1388" w:type="dxa"/>
                  <w:tcBorders>
                    <w:tl2br w:val="nil"/>
                    <w:tr2bl w:val="nil"/>
                  </w:tcBorders>
                  <w:noWrap w:val="0"/>
                  <w:vAlign w:val="center"/>
                </w:tcPr>
                <w:p w14:paraId="77BD4EF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非甲烷总烃</w:t>
                  </w:r>
                </w:p>
              </w:tc>
              <w:tc>
                <w:tcPr>
                  <w:tcW w:w="2723" w:type="dxa"/>
                  <w:tcBorders>
                    <w:tl2br w:val="nil"/>
                    <w:tr2bl w:val="nil"/>
                  </w:tcBorders>
                  <w:shd w:val="clear" w:color="auto" w:fill="auto"/>
                  <w:noWrap w:val="0"/>
                  <w:vAlign w:val="center"/>
                </w:tcPr>
                <w:p w14:paraId="058E51D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光催化+二级活性炭吸附</w:t>
                  </w:r>
                </w:p>
              </w:tc>
              <w:tc>
                <w:tcPr>
                  <w:tcW w:w="2489" w:type="dxa"/>
                  <w:vMerge w:val="restart"/>
                  <w:tcBorders>
                    <w:tl2br w:val="nil"/>
                    <w:tr2bl w:val="nil"/>
                  </w:tcBorders>
                  <w:noWrap w:val="0"/>
                  <w:vAlign w:val="center"/>
                </w:tcPr>
                <w:p w14:paraId="5D54EA8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zh-CN" w:eastAsia="zh-CN"/>
                    </w:rPr>
                    <w:t>《合成树脂工业污染物排放标准》（GB31572-2015）</w:t>
                  </w:r>
                  <w:r>
                    <w:rPr>
                      <w:rFonts w:hint="eastAsia" w:ascii="Times New Roman" w:hAnsi="Times New Roman" w:eastAsia="宋体"/>
                      <w:color w:val="auto"/>
                      <w:sz w:val="21"/>
                      <w:szCs w:val="21"/>
                      <w:lang w:val="en-US" w:eastAsia="zh-CN"/>
                    </w:rPr>
                    <w:t>表5污染物特别排放限制和表9污染物浓度限值</w:t>
                  </w:r>
                  <w:r>
                    <w:rPr>
                      <w:rFonts w:hint="default" w:ascii="Times New Roman" w:hAnsi="Times New Roman" w:eastAsia="宋体"/>
                      <w:color w:val="auto"/>
                      <w:sz w:val="21"/>
                      <w:szCs w:val="21"/>
                      <w:lang w:val="zh-CN" w:eastAsia="zh-CN"/>
                    </w:rPr>
                    <w:t>要求</w:t>
                  </w:r>
                </w:p>
              </w:tc>
            </w:tr>
            <w:tr w14:paraId="13DC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656" w:type="dxa"/>
                  <w:vMerge w:val="continue"/>
                  <w:tcBorders>
                    <w:tl2br w:val="nil"/>
                    <w:tr2bl w:val="nil"/>
                  </w:tcBorders>
                  <w:noWrap w:val="0"/>
                  <w:vAlign w:val="center"/>
                </w:tcPr>
                <w:p w14:paraId="2AC772C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1222" w:type="dxa"/>
                  <w:vMerge w:val="continue"/>
                  <w:tcBorders>
                    <w:tl2br w:val="nil"/>
                    <w:tr2bl w:val="nil"/>
                  </w:tcBorders>
                  <w:noWrap w:val="0"/>
                  <w:vAlign w:val="center"/>
                </w:tcPr>
                <w:p w14:paraId="3782E7D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c>
                <w:tcPr>
                  <w:tcW w:w="1388" w:type="dxa"/>
                  <w:tcBorders>
                    <w:tl2br w:val="nil"/>
                    <w:tr2bl w:val="nil"/>
                  </w:tcBorders>
                  <w:noWrap w:val="0"/>
                  <w:vAlign w:val="center"/>
                </w:tcPr>
                <w:p w14:paraId="3528EC6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default" w:ascii="Times New Roman" w:hAnsi="Times New Roman" w:eastAsia="宋体"/>
                      <w:color w:val="auto"/>
                      <w:sz w:val="21"/>
                      <w:szCs w:val="21"/>
                      <w:lang w:val="zh-CN" w:eastAsia="zh-CN"/>
                    </w:rPr>
                    <w:t>颗粒物</w:t>
                  </w:r>
                </w:p>
              </w:tc>
              <w:tc>
                <w:tcPr>
                  <w:tcW w:w="2723" w:type="dxa"/>
                  <w:tcBorders>
                    <w:tl2br w:val="nil"/>
                    <w:tr2bl w:val="nil"/>
                  </w:tcBorders>
                  <w:shd w:val="clear" w:color="auto" w:fill="auto"/>
                  <w:noWrap w:val="0"/>
                  <w:vAlign w:val="center"/>
                </w:tcPr>
                <w:p w14:paraId="1207F49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r>
                    <w:rPr>
                      <w:rFonts w:hint="eastAsia" w:ascii="Times New Roman" w:hAnsi="Times New Roman" w:eastAsia="宋体"/>
                      <w:color w:val="auto"/>
                      <w:sz w:val="21"/>
                      <w:szCs w:val="21"/>
                      <w:lang w:val="en-US" w:eastAsia="zh-CN"/>
                    </w:rPr>
                    <w:t>袋式</w:t>
                  </w:r>
                  <w:r>
                    <w:rPr>
                      <w:rFonts w:hint="default" w:ascii="Times New Roman" w:hAnsi="Times New Roman" w:eastAsia="宋体"/>
                      <w:color w:val="auto"/>
                      <w:sz w:val="21"/>
                      <w:szCs w:val="21"/>
                      <w:lang w:val="zh-CN" w:eastAsia="zh-CN"/>
                    </w:rPr>
                    <w:t>除尘</w:t>
                  </w:r>
                </w:p>
              </w:tc>
              <w:tc>
                <w:tcPr>
                  <w:tcW w:w="2489" w:type="dxa"/>
                  <w:vMerge w:val="continue"/>
                  <w:tcBorders>
                    <w:tl2br w:val="nil"/>
                    <w:tr2bl w:val="nil"/>
                  </w:tcBorders>
                  <w:noWrap w:val="0"/>
                  <w:vAlign w:val="center"/>
                </w:tcPr>
                <w:p w14:paraId="3073EF1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zh-CN" w:eastAsia="zh-CN"/>
                    </w:rPr>
                  </w:pPr>
                </w:p>
              </w:tc>
            </w:tr>
            <w:tr w14:paraId="193B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vMerge w:val="continue"/>
                  <w:tcBorders>
                    <w:tl2br w:val="nil"/>
                    <w:tr2bl w:val="nil"/>
                  </w:tcBorders>
                  <w:noWrap w:val="0"/>
                  <w:vAlign w:val="center"/>
                </w:tcPr>
                <w:p w14:paraId="1A53B80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1222" w:type="dxa"/>
                  <w:tcBorders>
                    <w:tl2br w:val="nil"/>
                    <w:tr2bl w:val="nil"/>
                  </w:tcBorders>
                  <w:noWrap w:val="0"/>
                  <w:vAlign w:val="center"/>
                </w:tcPr>
                <w:p w14:paraId="3AD2045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修边粉碎废气</w:t>
                  </w:r>
                </w:p>
              </w:tc>
              <w:tc>
                <w:tcPr>
                  <w:tcW w:w="1388" w:type="dxa"/>
                  <w:tcBorders>
                    <w:tl2br w:val="nil"/>
                    <w:tr2bl w:val="nil"/>
                  </w:tcBorders>
                  <w:noWrap w:val="0"/>
                  <w:vAlign w:val="center"/>
                </w:tcPr>
                <w:p w14:paraId="05077FD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颗粒物</w:t>
                  </w:r>
                </w:p>
              </w:tc>
              <w:tc>
                <w:tcPr>
                  <w:tcW w:w="2723" w:type="dxa"/>
                  <w:tcBorders>
                    <w:tl2br w:val="nil"/>
                    <w:tr2bl w:val="nil"/>
                  </w:tcBorders>
                  <w:noWrap w:val="0"/>
                  <w:vAlign w:val="center"/>
                </w:tcPr>
                <w:p w14:paraId="7D90496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袋式</w:t>
                  </w:r>
                  <w:r>
                    <w:rPr>
                      <w:rFonts w:hint="default" w:ascii="Times New Roman" w:hAnsi="Times New Roman" w:eastAsia="宋体"/>
                      <w:color w:val="auto"/>
                      <w:sz w:val="21"/>
                      <w:szCs w:val="21"/>
                      <w:lang w:val="zh-CN" w:eastAsia="zh-CN"/>
                    </w:rPr>
                    <w:t>除尘</w:t>
                  </w:r>
                </w:p>
              </w:tc>
              <w:tc>
                <w:tcPr>
                  <w:tcW w:w="2489" w:type="dxa"/>
                  <w:vMerge w:val="continue"/>
                  <w:tcBorders>
                    <w:tl2br w:val="nil"/>
                    <w:tr2bl w:val="nil"/>
                  </w:tcBorders>
                  <w:noWrap w:val="0"/>
                  <w:vAlign w:val="center"/>
                </w:tcPr>
                <w:p w14:paraId="10BFBE80">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1CE92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656" w:type="dxa"/>
                  <w:vMerge w:val="continue"/>
                  <w:tcBorders>
                    <w:tl2br w:val="nil"/>
                    <w:tr2bl w:val="nil"/>
                  </w:tcBorders>
                  <w:noWrap w:val="0"/>
                  <w:vAlign w:val="center"/>
                </w:tcPr>
                <w:p w14:paraId="058E328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1222" w:type="dxa"/>
                  <w:tcBorders>
                    <w:tl2br w:val="nil"/>
                    <w:tr2bl w:val="nil"/>
                  </w:tcBorders>
                  <w:noWrap w:val="0"/>
                  <w:vAlign w:val="center"/>
                </w:tcPr>
                <w:p w14:paraId="39ECFBF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焊接</w:t>
                  </w:r>
                  <w:r>
                    <w:rPr>
                      <w:rFonts w:hint="eastAsia"/>
                      <w:color w:val="auto"/>
                      <w:sz w:val="21"/>
                      <w:szCs w:val="21"/>
                      <w:lang w:val="en-US" w:eastAsia="zh-CN"/>
                    </w:rPr>
                    <w:t>、</w:t>
                  </w:r>
                  <w:r>
                    <w:rPr>
                      <w:rFonts w:hint="eastAsia" w:ascii="Times New Roman" w:hAnsi="Times New Roman" w:eastAsia="宋体"/>
                      <w:color w:val="auto"/>
                      <w:sz w:val="21"/>
                      <w:szCs w:val="21"/>
                      <w:lang w:val="en-US" w:eastAsia="zh-CN"/>
                    </w:rPr>
                    <w:t>打磨废气</w:t>
                  </w:r>
                </w:p>
              </w:tc>
              <w:tc>
                <w:tcPr>
                  <w:tcW w:w="1388" w:type="dxa"/>
                  <w:tcBorders>
                    <w:tl2br w:val="nil"/>
                    <w:tr2bl w:val="nil"/>
                  </w:tcBorders>
                  <w:noWrap w:val="0"/>
                  <w:vAlign w:val="center"/>
                </w:tcPr>
                <w:p w14:paraId="47326E3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颗粒物</w:t>
                  </w:r>
                </w:p>
              </w:tc>
              <w:tc>
                <w:tcPr>
                  <w:tcW w:w="2723" w:type="dxa"/>
                  <w:tcBorders>
                    <w:tl2br w:val="nil"/>
                    <w:tr2bl w:val="nil"/>
                  </w:tcBorders>
                  <w:noWrap w:val="0"/>
                  <w:vAlign w:val="center"/>
                </w:tcPr>
                <w:p w14:paraId="67D918A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袋式</w:t>
                  </w:r>
                  <w:r>
                    <w:rPr>
                      <w:rFonts w:hint="default" w:ascii="Times New Roman" w:hAnsi="Times New Roman" w:eastAsia="宋体"/>
                      <w:color w:val="auto"/>
                      <w:sz w:val="21"/>
                      <w:szCs w:val="21"/>
                      <w:lang w:val="zh-CN" w:eastAsia="zh-CN"/>
                    </w:rPr>
                    <w:t>除尘</w:t>
                  </w:r>
                </w:p>
              </w:tc>
              <w:tc>
                <w:tcPr>
                  <w:tcW w:w="2489" w:type="dxa"/>
                  <w:vMerge w:val="continue"/>
                  <w:tcBorders>
                    <w:tl2br w:val="nil"/>
                    <w:tr2bl w:val="nil"/>
                  </w:tcBorders>
                  <w:noWrap w:val="0"/>
                  <w:vAlign w:val="center"/>
                </w:tcPr>
                <w:p w14:paraId="5D258D6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6C1A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vMerge w:val="continue"/>
                  <w:tcBorders>
                    <w:tl2br w:val="nil"/>
                    <w:tr2bl w:val="nil"/>
                  </w:tcBorders>
                  <w:noWrap w:val="0"/>
                  <w:vAlign w:val="center"/>
                </w:tcPr>
                <w:p w14:paraId="65DF389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1222" w:type="dxa"/>
                  <w:tcBorders>
                    <w:tl2br w:val="nil"/>
                    <w:tr2bl w:val="nil"/>
                  </w:tcBorders>
                  <w:noWrap w:val="0"/>
                  <w:vAlign w:val="center"/>
                </w:tcPr>
                <w:p w14:paraId="0CD9F1C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吹塑工序</w:t>
                  </w:r>
                </w:p>
              </w:tc>
              <w:tc>
                <w:tcPr>
                  <w:tcW w:w="1388" w:type="dxa"/>
                  <w:tcBorders>
                    <w:tl2br w:val="nil"/>
                    <w:tr2bl w:val="nil"/>
                  </w:tcBorders>
                  <w:noWrap w:val="0"/>
                  <w:vAlign w:val="center"/>
                </w:tcPr>
                <w:p w14:paraId="15ABCC8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臭气浓度</w:t>
                  </w:r>
                </w:p>
              </w:tc>
              <w:tc>
                <w:tcPr>
                  <w:tcW w:w="2723" w:type="dxa"/>
                  <w:tcBorders>
                    <w:tl2br w:val="nil"/>
                    <w:tr2bl w:val="nil"/>
                  </w:tcBorders>
                  <w:noWrap w:val="0"/>
                  <w:vAlign w:val="center"/>
                </w:tcPr>
                <w:p w14:paraId="001433E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二级活性炭吸附</w:t>
                  </w:r>
                </w:p>
              </w:tc>
              <w:tc>
                <w:tcPr>
                  <w:tcW w:w="2489" w:type="dxa"/>
                  <w:tcBorders>
                    <w:tl2br w:val="nil"/>
                    <w:tr2bl w:val="nil"/>
                  </w:tcBorders>
                  <w:noWrap w:val="0"/>
                  <w:vAlign w:val="center"/>
                </w:tcPr>
                <w:p w14:paraId="120AD87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zh-CN" w:eastAsia="zh-CN"/>
                    </w:rPr>
                    <w:t>《恶臭污染物排放标准》(GB14554-1993)</w:t>
                  </w:r>
                </w:p>
              </w:tc>
            </w:tr>
            <w:tr w14:paraId="37F6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tcBorders>
                    <w:tl2br w:val="nil"/>
                    <w:tr2bl w:val="nil"/>
                  </w:tcBorders>
                  <w:noWrap w:val="0"/>
                  <w:vAlign w:val="center"/>
                </w:tcPr>
                <w:p w14:paraId="388870F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废水</w:t>
                  </w:r>
                </w:p>
              </w:tc>
              <w:tc>
                <w:tcPr>
                  <w:tcW w:w="1222" w:type="dxa"/>
                  <w:tcBorders>
                    <w:tl2br w:val="nil"/>
                    <w:tr2bl w:val="nil"/>
                  </w:tcBorders>
                  <w:noWrap w:val="0"/>
                  <w:vAlign w:val="center"/>
                </w:tcPr>
                <w:p w14:paraId="2D80C2A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生活污水</w:t>
                  </w:r>
                </w:p>
              </w:tc>
              <w:tc>
                <w:tcPr>
                  <w:tcW w:w="1388" w:type="dxa"/>
                  <w:tcBorders>
                    <w:tl2br w:val="nil"/>
                    <w:tr2bl w:val="nil"/>
                  </w:tcBorders>
                  <w:noWrap w:val="0"/>
                  <w:vAlign w:val="center"/>
                </w:tcPr>
                <w:p w14:paraId="305BB66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COD、BOD</w:t>
                  </w:r>
                  <w:r>
                    <w:rPr>
                      <w:rFonts w:hint="default" w:ascii="Times New Roman" w:hAnsi="Times New Roman" w:eastAsia="宋体"/>
                      <w:color w:val="auto"/>
                      <w:sz w:val="21"/>
                      <w:szCs w:val="21"/>
                      <w:vertAlign w:val="subscript"/>
                      <w:lang w:val="zh-CN" w:eastAsia="zh-CN"/>
                    </w:rPr>
                    <w:t>5</w:t>
                  </w:r>
                  <w:r>
                    <w:rPr>
                      <w:rFonts w:hint="default" w:ascii="Times New Roman" w:hAnsi="Times New Roman" w:eastAsia="宋体"/>
                      <w:color w:val="auto"/>
                      <w:sz w:val="21"/>
                      <w:szCs w:val="21"/>
                      <w:lang w:val="zh-CN" w:eastAsia="zh-CN"/>
                    </w:rPr>
                    <w:t>、NH</w:t>
                  </w:r>
                  <w:r>
                    <w:rPr>
                      <w:rFonts w:hint="default" w:ascii="Times New Roman" w:hAnsi="Times New Roman" w:eastAsia="宋体"/>
                      <w:color w:val="auto"/>
                      <w:sz w:val="21"/>
                      <w:szCs w:val="21"/>
                      <w:vertAlign w:val="subscript"/>
                      <w:lang w:val="zh-CN" w:eastAsia="zh-CN"/>
                    </w:rPr>
                    <w:t>3</w:t>
                  </w:r>
                  <w:r>
                    <w:rPr>
                      <w:rFonts w:hint="default" w:ascii="Times New Roman" w:hAnsi="Times New Roman" w:eastAsia="宋体"/>
                      <w:color w:val="auto"/>
                      <w:sz w:val="21"/>
                      <w:szCs w:val="21"/>
                      <w:lang w:val="zh-CN" w:eastAsia="zh-CN"/>
                    </w:rPr>
                    <w:t>-N、SS</w:t>
                  </w:r>
                </w:p>
              </w:tc>
              <w:tc>
                <w:tcPr>
                  <w:tcW w:w="2723" w:type="dxa"/>
                  <w:tcBorders>
                    <w:tl2br w:val="nil"/>
                    <w:tr2bl w:val="nil"/>
                  </w:tcBorders>
                  <w:noWrap w:val="0"/>
                  <w:vAlign w:val="center"/>
                </w:tcPr>
                <w:p w14:paraId="184650F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zh-CN" w:eastAsia="zh-CN"/>
                    </w:rPr>
                    <w:t>经</w:t>
                  </w:r>
                  <w:r>
                    <w:rPr>
                      <w:rFonts w:hint="eastAsia" w:ascii="Times New Roman" w:hAnsi="Times New Roman" w:eastAsia="宋体"/>
                      <w:color w:val="auto"/>
                      <w:sz w:val="21"/>
                      <w:szCs w:val="21"/>
                      <w:lang w:val="en-US" w:eastAsia="zh-CN"/>
                    </w:rPr>
                    <w:t>现有污水处理站</w:t>
                  </w:r>
                  <w:r>
                    <w:rPr>
                      <w:rFonts w:hint="default" w:ascii="Times New Roman" w:hAnsi="Times New Roman" w:eastAsia="宋体"/>
                      <w:color w:val="auto"/>
                      <w:sz w:val="21"/>
                      <w:szCs w:val="21"/>
                      <w:lang w:val="zh-CN" w:eastAsia="zh-CN"/>
                    </w:rPr>
                    <w:t>处理达标后全部回用</w:t>
                  </w:r>
                </w:p>
              </w:tc>
              <w:tc>
                <w:tcPr>
                  <w:tcW w:w="2489" w:type="dxa"/>
                  <w:tcBorders>
                    <w:tl2br w:val="nil"/>
                    <w:tr2bl w:val="nil"/>
                  </w:tcBorders>
                  <w:noWrap w:val="0"/>
                  <w:vAlign w:val="center"/>
                </w:tcPr>
                <w:p w14:paraId="51778504">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《城市污水再生利用工业用水水质》</w:t>
                  </w:r>
                  <w:r>
                    <w:rPr>
                      <w:rFonts w:hint="default" w:ascii="Times New Roman" w:hAnsi="Times New Roman" w:eastAsia="宋体"/>
                      <w:color w:val="auto"/>
                      <w:sz w:val="21"/>
                      <w:szCs w:val="21"/>
                      <w:lang w:val="en-US" w:eastAsia="zh-CN"/>
                    </w:rPr>
                    <w:t>(GB/T19923-20</w:t>
                  </w:r>
                  <w:r>
                    <w:rPr>
                      <w:rFonts w:hint="eastAsia" w:ascii="Times New Roman" w:hAnsi="Times New Roman" w:eastAsia="宋体"/>
                      <w:color w:val="auto"/>
                      <w:sz w:val="21"/>
                      <w:szCs w:val="21"/>
                      <w:lang w:val="en-US" w:eastAsia="zh-CN"/>
                    </w:rPr>
                    <w:t>24</w:t>
                  </w:r>
                  <w:r>
                    <w:rPr>
                      <w:rFonts w:hint="default" w:ascii="Times New Roman" w:hAnsi="Times New Roman" w:eastAsia="宋体"/>
                      <w:color w:val="auto"/>
                      <w:sz w:val="21"/>
                      <w:szCs w:val="21"/>
                      <w:lang w:val="en-US" w:eastAsia="zh-CN"/>
                    </w:rPr>
                    <w:t>)</w:t>
                  </w:r>
                  <w:r>
                    <w:rPr>
                      <w:rFonts w:hint="eastAsia" w:ascii="Times New Roman" w:hAnsi="Times New Roman" w:eastAsia="宋体"/>
                      <w:color w:val="auto"/>
                      <w:sz w:val="21"/>
                      <w:szCs w:val="21"/>
                      <w:lang w:val="en-US" w:eastAsia="zh-CN"/>
                    </w:rPr>
                    <w:t>中表</w:t>
                  </w:r>
                  <w:r>
                    <w:rPr>
                      <w:rFonts w:hint="default" w:ascii="Times New Roman" w:hAnsi="Times New Roman" w:eastAsia="宋体"/>
                      <w:color w:val="auto"/>
                      <w:sz w:val="21"/>
                      <w:szCs w:val="21"/>
                      <w:lang w:val="en-US" w:eastAsia="zh-CN"/>
                    </w:rPr>
                    <w:t>1</w:t>
                  </w:r>
                  <w:r>
                    <w:rPr>
                      <w:rFonts w:hint="eastAsia" w:ascii="Times New Roman" w:hAnsi="Times New Roman" w:eastAsia="宋体"/>
                      <w:color w:val="auto"/>
                      <w:sz w:val="21"/>
                      <w:szCs w:val="21"/>
                      <w:lang w:val="en-US" w:eastAsia="zh-CN"/>
                    </w:rPr>
                    <w:t>限值要求</w:t>
                  </w:r>
                </w:p>
              </w:tc>
            </w:tr>
            <w:tr w14:paraId="5A78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tcBorders>
                    <w:tl2br w:val="nil"/>
                    <w:tr2bl w:val="nil"/>
                  </w:tcBorders>
                  <w:noWrap w:val="0"/>
                  <w:vAlign w:val="center"/>
                </w:tcPr>
                <w:p w14:paraId="6CDBA32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噪声</w:t>
                  </w:r>
                </w:p>
              </w:tc>
              <w:tc>
                <w:tcPr>
                  <w:tcW w:w="1222" w:type="dxa"/>
                  <w:tcBorders>
                    <w:tl2br w:val="nil"/>
                    <w:tr2bl w:val="nil"/>
                  </w:tcBorders>
                  <w:noWrap w:val="0"/>
                  <w:vAlign w:val="center"/>
                </w:tcPr>
                <w:p w14:paraId="3CD1B49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生产设备</w:t>
                  </w:r>
                </w:p>
              </w:tc>
              <w:tc>
                <w:tcPr>
                  <w:tcW w:w="1388" w:type="dxa"/>
                  <w:tcBorders>
                    <w:tl2br w:val="nil"/>
                    <w:tr2bl w:val="nil"/>
                  </w:tcBorders>
                  <w:noWrap w:val="0"/>
                  <w:vAlign w:val="center"/>
                </w:tcPr>
                <w:p w14:paraId="7C7518C7">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等效A声级</w:t>
                  </w:r>
                </w:p>
              </w:tc>
              <w:tc>
                <w:tcPr>
                  <w:tcW w:w="2723" w:type="dxa"/>
                  <w:tcBorders>
                    <w:tl2br w:val="nil"/>
                    <w:tr2bl w:val="nil"/>
                  </w:tcBorders>
                  <w:noWrap w:val="0"/>
                  <w:vAlign w:val="center"/>
                </w:tcPr>
                <w:p w14:paraId="7F2B074D">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选用高效低噪声设备、安装减振底座等</w:t>
                  </w:r>
                </w:p>
              </w:tc>
              <w:tc>
                <w:tcPr>
                  <w:tcW w:w="2489" w:type="dxa"/>
                  <w:tcBorders>
                    <w:tl2br w:val="nil"/>
                    <w:tr2bl w:val="nil"/>
                  </w:tcBorders>
                  <w:noWrap w:val="0"/>
                  <w:vAlign w:val="center"/>
                </w:tcPr>
                <w:p w14:paraId="778442D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《工业企业厂界环境噪声排放标准》（GB12348-2008）中3类标准</w:t>
                  </w:r>
                  <w:r>
                    <w:rPr>
                      <w:rFonts w:hint="eastAsia" w:ascii="Times New Roman" w:hAnsi="Times New Roman" w:eastAsia="宋体"/>
                      <w:color w:val="auto"/>
                      <w:sz w:val="21"/>
                      <w:szCs w:val="21"/>
                      <w:lang w:val="en-US" w:eastAsia="zh-CN"/>
                    </w:rPr>
                    <w:t>。</w:t>
                  </w:r>
                </w:p>
              </w:tc>
            </w:tr>
            <w:tr w14:paraId="7C9A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vMerge w:val="restart"/>
                  <w:tcBorders>
                    <w:tl2br w:val="nil"/>
                    <w:tr2bl w:val="nil"/>
                  </w:tcBorders>
                  <w:noWrap w:val="0"/>
                  <w:vAlign w:val="center"/>
                </w:tcPr>
                <w:p w14:paraId="75428FA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固废</w:t>
                  </w:r>
                </w:p>
              </w:tc>
              <w:tc>
                <w:tcPr>
                  <w:tcW w:w="2610" w:type="dxa"/>
                  <w:gridSpan w:val="2"/>
                  <w:tcBorders>
                    <w:tl2br w:val="nil"/>
                    <w:tr2bl w:val="nil"/>
                  </w:tcBorders>
                  <w:noWrap w:val="0"/>
                  <w:vAlign w:val="center"/>
                </w:tcPr>
                <w:p w14:paraId="53AAE93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塑料生产废料</w:t>
                  </w:r>
                </w:p>
              </w:tc>
              <w:tc>
                <w:tcPr>
                  <w:tcW w:w="2723" w:type="dxa"/>
                  <w:tcBorders>
                    <w:tl2br w:val="nil"/>
                    <w:tr2bl w:val="nil"/>
                  </w:tcBorders>
                  <w:noWrap w:val="0"/>
                  <w:vAlign w:val="center"/>
                </w:tcPr>
                <w:p w14:paraId="57C2108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内部回收利用</w:t>
                  </w:r>
                </w:p>
              </w:tc>
              <w:tc>
                <w:tcPr>
                  <w:tcW w:w="2489" w:type="dxa"/>
                  <w:tcBorders>
                    <w:tl2br w:val="nil"/>
                    <w:tr2bl w:val="nil"/>
                  </w:tcBorders>
                  <w:noWrap w:val="0"/>
                  <w:vAlign w:val="center"/>
                </w:tcPr>
                <w:p w14:paraId="2331950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不外排</w:t>
                  </w:r>
                </w:p>
              </w:tc>
            </w:tr>
            <w:tr w14:paraId="2383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vMerge w:val="continue"/>
                  <w:tcBorders>
                    <w:tl2br w:val="nil"/>
                    <w:tr2bl w:val="nil"/>
                  </w:tcBorders>
                  <w:noWrap w:val="0"/>
                  <w:vAlign w:val="center"/>
                </w:tcPr>
                <w:p w14:paraId="1E43307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610" w:type="dxa"/>
                  <w:gridSpan w:val="2"/>
                  <w:tcBorders>
                    <w:tl2br w:val="nil"/>
                    <w:tr2bl w:val="nil"/>
                  </w:tcBorders>
                  <w:noWrap w:val="0"/>
                  <w:vAlign w:val="center"/>
                </w:tcPr>
                <w:p w14:paraId="5301A92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钢材切割废料</w:t>
                  </w:r>
                </w:p>
              </w:tc>
              <w:tc>
                <w:tcPr>
                  <w:tcW w:w="2723" w:type="dxa"/>
                  <w:tcBorders>
                    <w:tl2br w:val="nil"/>
                    <w:tr2bl w:val="nil"/>
                  </w:tcBorders>
                  <w:noWrap w:val="0"/>
                  <w:vAlign w:val="center"/>
                </w:tcPr>
                <w:p w14:paraId="4EB63FB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外售</w:t>
                  </w:r>
                </w:p>
              </w:tc>
              <w:tc>
                <w:tcPr>
                  <w:tcW w:w="2489" w:type="dxa"/>
                  <w:tcBorders>
                    <w:tl2br w:val="nil"/>
                    <w:tr2bl w:val="nil"/>
                  </w:tcBorders>
                  <w:noWrap w:val="0"/>
                  <w:vAlign w:val="center"/>
                </w:tcPr>
                <w:p w14:paraId="04C3168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不外排</w:t>
                  </w:r>
                </w:p>
              </w:tc>
            </w:tr>
            <w:tr w14:paraId="6FC1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vMerge w:val="continue"/>
                  <w:tcBorders>
                    <w:tl2br w:val="nil"/>
                    <w:tr2bl w:val="nil"/>
                  </w:tcBorders>
                  <w:noWrap w:val="0"/>
                  <w:vAlign w:val="center"/>
                </w:tcPr>
                <w:p w14:paraId="2B9B087A">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610" w:type="dxa"/>
                  <w:gridSpan w:val="2"/>
                  <w:tcBorders>
                    <w:tl2br w:val="nil"/>
                    <w:tr2bl w:val="nil"/>
                  </w:tcBorders>
                  <w:noWrap w:val="0"/>
                  <w:vAlign w:val="center"/>
                </w:tcPr>
                <w:p w14:paraId="50E8C90C">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除尘器收集粉尘</w:t>
                  </w:r>
                </w:p>
              </w:tc>
              <w:tc>
                <w:tcPr>
                  <w:tcW w:w="2723" w:type="dxa"/>
                  <w:tcBorders>
                    <w:tl2br w:val="nil"/>
                    <w:tr2bl w:val="nil"/>
                  </w:tcBorders>
                  <w:noWrap w:val="0"/>
                  <w:vAlign w:val="center"/>
                </w:tcPr>
                <w:p w14:paraId="537CD2B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外售</w:t>
                  </w:r>
                </w:p>
              </w:tc>
              <w:tc>
                <w:tcPr>
                  <w:tcW w:w="2489" w:type="dxa"/>
                  <w:tcBorders>
                    <w:tl2br w:val="nil"/>
                    <w:tr2bl w:val="nil"/>
                  </w:tcBorders>
                  <w:noWrap w:val="0"/>
                  <w:vAlign w:val="center"/>
                </w:tcPr>
                <w:p w14:paraId="6163638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不外排</w:t>
                  </w:r>
                </w:p>
              </w:tc>
            </w:tr>
            <w:tr w14:paraId="2B67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vMerge w:val="continue"/>
                  <w:tcBorders>
                    <w:tl2br w:val="nil"/>
                    <w:tr2bl w:val="nil"/>
                  </w:tcBorders>
                  <w:noWrap w:val="0"/>
                  <w:vAlign w:val="center"/>
                </w:tcPr>
                <w:p w14:paraId="50D5085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610" w:type="dxa"/>
                  <w:gridSpan w:val="2"/>
                  <w:tcBorders>
                    <w:tl2br w:val="nil"/>
                    <w:tr2bl w:val="nil"/>
                  </w:tcBorders>
                  <w:noWrap w:val="0"/>
                  <w:vAlign w:val="center"/>
                </w:tcPr>
                <w:p w14:paraId="50606DB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废机油、废润滑油</w:t>
                  </w:r>
                </w:p>
              </w:tc>
              <w:tc>
                <w:tcPr>
                  <w:tcW w:w="2723" w:type="dxa"/>
                  <w:tcBorders>
                    <w:tl2br w:val="nil"/>
                    <w:tr2bl w:val="nil"/>
                  </w:tcBorders>
                  <w:noWrap w:val="0"/>
                  <w:vAlign w:val="center"/>
                </w:tcPr>
                <w:p w14:paraId="3983948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本公司处置</w:t>
                  </w:r>
                </w:p>
              </w:tc>
              <w:tc>
                <w:tcPr>
                  <w:tcW w:w="2489" w:type="dxa"/>
                  <w:vMerge w:val="restart"/>
                  <w:tcBorders>
                    <w:tl2br w:val="nil"/>
                    <w:tr2bl w:val="nil"/>
                  </w:tcBorders>
                  <w:noWrap w:val="0"/>
                  <w:vAlign w:val="center"/>
                </w:tcPr>
                <w:p w14:paraId="233E9CF2">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《危险废物贮存污染控制标准》（GB18597-20</w:t>
                  </w:r>
                  <w:r>
                    <w:rPr>
                      <w:rFonts w:hint="eastAsia" w:ascii="Times New Roman" w:hAnsi="Times New Roman" w:eastAsia="宋体"/>
                      <w:color w:val="auto"/>
                      <w:sz w:val="21"/>
                      <w:szCs w:val="21"/>
                      <w:lang w:val="en-US" w:eastAsia="zh-CN"/>
                    </w:rPr>
                    <w:t>23</w:t>
                  </w:r>
                  <w:r>
                    <w:rPr>
                      <w:rFonts w:hint="default" w:ascii="Times New Roman" w:hAnsi="Times New Roman" w:eastAsia="宋体"/>
                      <w:color w:val="auto"/>
                      <w:sz w:val="21"/>
                      <w:szCs w:val="21"/>
                      <w:lang w:val="zh-CN" w:eastAsia="zh-CN"/>
                    </w:rPr>
                    <w:t>）要求</w:t>
                  </w:r>
                </w:p>
              </w:tc>
            </w:tr>
            <w:tr w14:paraId="2B70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vMerge w:val="continue"/>
                  <w:tcBorders>
                    <w:tl2br w:val="nil"/>
                    <w:tr2bl w:val="nil"/>
                  </w:tcBorders>
                  <w:noWrap w:val="0"/>
                  <w:vAlign w:val="center"/>
                </w:tcPr>
                <w:p w14:paraId="485B6F75">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610" w:type="dxa"/>
                  <w:gridSpan w:val="2"/>
                  <w:tcBorders>
                    <w:tl2br w:val="nil"/>
                    <w:tr2bl w:val="nil"/>
                  </w:tcBorders>
                  <w:noWrap w:val="0"/>
                  <w:vAlign w:val="center"/>
                </w:tcPr>
                <w:p w14:paraId="78B584F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废活性炭</w:t>
                  </w:r>
                </w:p>
              </w:tc>
              <w:tc>
                <w:tcPr>
                  <w:tcW w:w="2723" w:type="dxa"/>
                  <w:tcBorders>
                    <w:tl2br w:val="nil"/>
                    <w:tr2bl w:val="nil"/>
                  </w:tcBorders>
                  <w:noWrap w:val="0"/>
                  <w:vAlign w:val="center"/>
                </w:tcPr>
                <w:p w14:paraId="616FE4C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本公司处置</w:t>
                  </w:r>
                </w:p>
              </w:tc>
              <w:tc>
                <w:tcPr>
                  <w:tcW w:w="2489" w:type="dxa"/>
                  <w:vMerge w:val="continue"/>
                  <w:tcBorders>
                    <w:tl2br w:val="nil"/>
                    <w:tr2bl w:val="nil"/>
                  </w:tcBorders>
                  <w:noWrap w:val="0"/>
                  <w:vAlign w:val="center"/>
                </w:tcPr>
                <w:p w14:paraId="39454F96">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4FCF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vMerge w:val="continue"/>
                  <w:tcBorders>
                    <w:tl2br w:val="nil"/>
                    <w:tr2bl w:val="nil"/>
                  </w:tcBorders>
                  <w:noWrap w:val="0"/>
                  <w:vAlign w:val="center"/>
                </w:tcPr>
                <w:p w14:paraId="2F5B8ADF">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610" w:type="dxa"/>
                  <w:gridSpan w:val="2"/>
                  <w:tcBorders>
                    <w:tl2br w:val="nil"/>
                    <w:tr2bl w:val="nil"/>
                  </w:tcBorders>
                  <w:noWrap w:val="0"/>
                  <w:vAlign w:val="center"/>
                </w:tcPr>
                <w:p w14:paraId="69E1F2AE">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zh-CN" w:eastAsia="zh-CN"/>
                    </w:rPr>
                    <w:t>废模具清洗</w:t>
                  </w:r>
                  <w:r>
                    <w:rPr>
                      <w:rFonts w:hint="eastAsia" w:ascii="Times New Roman" w:hAnsi="Times New Roman" w:eastAsia="宋体"/>
                      <w:color w:val="auto"/>
                      <w:sz w:val="21"/>
                      <w:szCs w:val="21"/>
                      <w:lang w:val="en-US" w:eastAsia="zh-CN"/>
                    </w:rPr>
                    <w:t>液</w:t>
                  </w:r>
                </w:p>
              </w:tc>
              <w:tc>
                <w:tcPr>
                  <w:tcW w:w="2723" w:type="dxa"/>
                  <w:tcBorders>
                    <w:tl2br w:val="nil"/>
                    <w:tr2bl w:val="nil"/>
                  </w:tcBorders>
                  <w:noWrap w:val="0"/>
                  <w:vAlign w:val="center"/>
                </w:tcPr>
                <w:p w14:paraId="016DC05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本公司处置</w:t>
                  </w:r>
                </w:p>
              </w:tc>
              <w:tc>
                <w:tcPr>
                  <w:tcW w:w="2489" w:type="dxa"/>
                  <w:vMerge w:val="continue"/>
                  <w:tcBorders>
                    <w:tl2br w:val="nil"/>
                    <w:tr2bl w:val="nil"/>
                  </w:tcBorders>
                  <w:noWrap w:val="0"/>
                  <w:vAlign w:val="center"/>
                </w:tcPr>
                <w:p w14:paraId="4D3B0E03">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4302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vMerge w:val="continue"/>
                  <w:tcBorders>
                    <w:tl2br w:val="nil"/>
                    <w:tr2bl w:val="nil"/>
                  </w:tcBorders>
                  <w:noWrap w:val="0"/>
                  <w:vAlign w:val="center"/>
                </w:tcPr>
                <w:p w14:paraId="5D3D17D1">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610" w:type="dxa"/>
                  <w:gridSpan w:val="2"/>
                  <w:tcBorders>
                    <w:tl2br w:val="nil"/>
                    <w:tr2bl w:val="nil"/>
                  </w:tcBorders>
                  <w:noWrap w:val="0"/>
                  <w:vAlign w:val="center"/>
                </w:tcPr>
                <w:p w14:paraId="15862A2B">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UV光催化废灯管</w:t>
                  </w:r>
                </w:p>
              </w:tc>
              <w:tc>
                <w:tcPr>
                  <w:tcW w:w="2723" w:type="dxa"/>
                  <w:tcBorders>
                    <w:tl2br w:val="nil"/>
                    <w:tr2bl w:val="nil"/>
                  </w:tcBorders>
                  <w:noWrap w:val="0"/>
                  <w:vAlign w:val="center"/>
                </w:tcPr>
                <w:p w14:paraId="56C61F29">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本公司处置</w:t>
                  </w:r>
                </w:p>
              </w:tc>
              <w:tc>
                <w:tcPr>
                  <w:tcW w:w="2489" w:type="dxa"/>
                  <w:vMerge w:val="continue"/>
                  <w:tcBorders>
                    <w:tl2br w:val="nil"/>
                    <w:tr2bl w:val="nil"/>
                  </w:tcBorders>
                  <w:noWrap w:val="0"/>
                  <w:vAlign w:val="center"/>
                </w:tcPr>
                <w:p w14:paraId="0B85615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eastAsia" w:ascii="Times New Roman" w:hAnsi="Times New Roman" w:eastAsia="宋体"/>
                      <w:color w:val="auto"/>
                      <w:sz w:val="21"/>
                      <w:szCs w:val="21"/>
                      <w:lang w:val="en-US" w:eastAsia="zh-CN"/>
                    </w:rPr>
                  </w:pPr>
                </w:p>
              </w:tc>
            </w:tr>
            <w:tr w14:paraId="6679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 w:type="dxa"/>
                  <w:vMerge w:val="continue"/>
                  <w:tcBorders>
                    <w:tl2br w:val="nil"/>
                    <w:tr2bl w:val="nil"/>
                  </w:tcBorders>
                  <w:noWrap w:val="0"/>
                  <w:vAlign w:val="center"/>
                </w:tcPr>
                <w:p w14:paraId="55913658">
                  <w:pPr>
                    <w:pStyle w:val="67"/>
                    <w:keepNext w:val="0"/>
                    <w:keepLines w:val="0"/>
                    <w:pageBreakBefore w:val="0"/>
                    <w:suppressLineNumbers w:val="0"/>
                    <w:kinsoku/>
                    <w:overflowPunct/>
                    <w:bidi w:val="0"/>
                    <w:spacing w:before="0" w:beforeAutospacing="0" w:after="0" w:afterLines="0" w:afterAutospacing="0"/>
                    <w:ind w:left="0" w:right="0"/>
                    <w:textAlignment w:val="auto"/>
                    <w:rPr>
                      <w:rFonts w:hint="default" w:ascii="Times New Roman" w:hAnsi="Times New Roman" w:eastAsia="宋体"/>
                      <w:color w:val="auto"/>
                      <w:sz w:val="21"/>
                      <w:szCs w:val="21"/>
                      <w:lang w:val="en-US" w:eastAsia="zh-CN"/>
                    </w:rPr>
                  </w:pPr>
                </w:p>
              </w:tc>
              <w:tc>
                <w:tcPr>
                  <w:tcW w:w="2610" w:type="dxa"/>
                  <w:gridSpan w:val="2"/>
                  <w:tcBorders>
                    <w:tl2br w:val="nil"/>
                    <w:tr2bl w:val="nil"/>
                  </w:tcBorders>
                  <w:shd w:val="clear"/>
                  <w:noWrap w:val="0"/>
                  <w:vAlign w:val="center"/>
                </w:tcPr>
                <w:p w14:paraId="2B0A562C">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eastAsia="宋体"/>
                      <w:color w:val="auto"/>
                      <w:sz w:val="21"/>
                      <w:szCs w:val="21"/>
                      <w:lang w:val="zh-CN" w:eastAsia="zh-CN"/>
                    </w:rPr>
                    <w:t>员工生活</w:t>
                  </w:r>
                </w:p>
              </w:tc>
              <w:tc>
                <w:tcPr>
                  <w:tcW w:w="2723" w:type="dxa"/>
                  <w:tcBorders>
                    <w:tl2br w:val="nil"/>
                    <w:tr2bl w:val="nil"/>
                  </w:tcBorders>
                  <w:shd w:val="clear"/>
                  <w:noWrap w:val="0"/>
                  <w:vAlign w:val="center"/>
                </w:tcPr>
                <w:p w14:paraId="7ED04D67">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eastAsia="宋体"/>
                      <w:color w:val="auto"/>
                      <w:sz w:val="21"/>
                      <w:szCs w:val="21"/>
                      <w:lang w:val="zh-CN" w:eastAsia="zh-CN"/>
                    </w:rPr>
                    <w:t>生活垃圾经垃圾箱收集后委托环卫部门定期清运</w:t>
                  </w:r>
                </w:p>
              </w:tc>
              <w:tc>
                <w:tcPr>
                  <w:tcW w:w="2489" w:type="dxa"/>
                  <w:tcBorders>
                    <w:tl2br w:val="nil"/>
                    <w:tr2bl w:val="nil"/>
                  </w:tcBorders>
                  <w:shd w:val="clear"/>
                  <w:noWrap w:val="0"/>
                  <w:vAlign w:val="center"/>
                </w:tcPr>
                <w:p w14:paraId="33F2912F">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eastAsia="宋体"/>
                      <w:color w:val="auto"/>
                      <w:sz w:val="21"/>
                      <w:szCs w:val="21"/>
                      <w:lang w:val="zh-CN" w:eastAsia="zh-CN"/>
                    </w:rPr>
                    <w:t>不外排</w:t>
                  </w:r>
                </w:p>
              </w:tc>
            </w:tr>
          </w:tbl>
          <w:p w14:paraId="7B832778">
            <w:pPr>
              <w:pStyle w:val="7"/>
              <w:keepNext w:val="0"/>
              <w:keepLines w:val="0"/>
              <w:pageBreakBefore w:val="0"/>
              <w:suppressLineNumbers w:val="0"/>
              <w:kinsoku/>
              <w:overflowPunct/>
              <w:bidi w:val="0"/>
              <w:spacing w:before="0" w:beforeAutospacing="0" w:after="0" w:afterLines="0" w:afterAutospacing="0"/>
              <w:ind w:left="0" w:leftChars="0" w:right="0" w:firstLine="0" w:firstLineChars="0"/>
              <w:jc w:val="both"/>
              <w:textAlignment w:val="auto"/>
              <w:rPr>
                <w:rFonts w:hint="default"/>
                <w:color w:val="auto"/>
                <w:lang w:val="en-US" w:eastAsia="zh-CN"/>
              </w:rPr>
            </w:pPr>
          </w:p>
        </w:tc>
      </w:tr>
    </w:tbl>
    <w:p w14:paraId="2327EE7A">
      <w:pPr>
        <w:keepNext w:val="0"/>
        <w:keepLines w:val="0"/>
        <w:pageBreakBefore w:val="0"/>
        <w:kinsoku/>
        <w:overflowPunct/>
        <w:bidi w:val="0"/>
        <w:adjustRightInd w:val="0"/>
        <w:snapToGrid w:val="0"/>
        <w:spacing w:beforeAutospacing="0" w:after="0" w:afterLines="0" w:afterAutospacing="0" w:line="360" w:lineRule="auto"/>
        <w:textAlignment w:val="auto"/>
        <w:rPr>
          <w:rFonts w:ascii="Times New Roman" w:hAnsi="Times New Roman" w:eastAsia="宋体"/>
          <w:b/>
          <w:color w:val="auto"/>
          <w:kern w:val="0"/>
          <w:sz w:val="28"/>
          <w:szCs w:val="28"/>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A85D7E1">
      <w:pPr>
        <w:pStyle w:val="21"/>
        <w:keepNext w:val="0"/>
        <w:keepLines w:val="0"/>
        <w:pageBreakBefore w:val="0"/>
        <w:kinsoku/>
        <w:overflowPunct/>
        <w:bidi w:val="0"/>
        <w:spacing w:before="0" w:beforeAutospacing="0" w:after="0" w:afterLines="0" w:afterAutospacing="0"/>
        <w:jc w:val="center"/>
        <w:textAlignment w:val="auto"/>
        <w:outlineLvl w:val="0"/>
        <w:rPr>
          <w:rFonts w:ascii="Times New Roman" w:hAnsi="Times New Roman" w:eastAsia="宋体" w:cs="Times New Roman"/>
          <w:snapToGrid w:val="0"/>
          <w:color w:val="auto"/>
          <w:sz w:val="30"/>
          <w:szCs w:val="30"/>
        </w:rPr>
      </w:pPr>
      <w:r>
        <w:rPr>
          <w:rFonts w:ascii="Times New Roman" w:hAnsi="Times New Roman" w:eastAsia="宋体" w:cs="Times New Roman"/>
          <w:snapToGrid w:val="0"/>
          <w:color w:val="auto"/>
          <w:sz w:val="30"/>
          <w:szCs w:val="30"/>
        </w:rPr>
        <w:t>五、</w:t>
      </w:r>
      <w:bookmarkStart w:id="7" w:name="_Hlk54167917"/>
      <w:r>
        <w:rPr>
          <w:rFonts w:ascii="Times New Roman" w:hAnsi="Times New Roman" w:eastAsia="宋体" w:cs="Times New Roman"/>
          <w:snapToGrid w:val="0"/>
          <w:color w:val="auto"/>
          <w:sz w:val="30"/>
          <w:szCs w:val="30"/>
        </w:rPr>
        <w:t>环境保护措施监督检查清单</w:t>
      </w:r>
      <w:bookmarkEnd w:id="7"/>
    </w:p>
    <w:tbl>
      <w:tblPr>
        <w:tblStyle w:val="24"/>
        <w:tblW w:w="499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1662"/>
        <w:gridCol w:w="1732"/>
        <w:gridCol w:w="1560"/>
        <w:gridCol w:w="12"/>
        <w:gridCol w:w="2535"/>
      </w:tblGrid>
      <w:tr w14:paraId="7D1C1E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94" w:type="pct"/>
            <w:tcBorders>
              <w:tl2br w:val="single" w:color="auto" w:sz="4" w:space="0"/>
            </w:tcBorders>
            <w:noWrap w:val="0"/>
            <w:vAlign w:val="center"/>
          </w:tcPr>
          <w:p w14:paraId="1604642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内容</w:t>
            </w:r>
          </w:p>
          <w:p w14:paraId="6B59424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要素</w:t>
            </w:r>
          </w:p>
        </w:tc>
        <w:tc>
          <w:tcPr>
            <w:tcW w:w="976" w:type="pct"/>
            <w:noWrap w:val="0"/>
            <w:vAlign w:val="center"/>
          </w:tcPr>
          <w:p w14:paraId="095E8F5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排放口</w:t>
            </w:r>
            <w:r>
              <w:rPr>
                <w:rFonts w:hint="eastAsia" w:ascii="Times New Roman" w:hAnsi="Times New Roman" w:eastAsia="宋体" w:cs="Times New Roman"/>
                <w:b w:val="0"/>
                <w:bCs w:val="0"/>
                <w:color w:val="auto"/>
                <w:sz w:val="24"/>
                <w:szCs w:val="24"/>
                <w:lang w:val="zh-CN" w:eastAsia="zh-CN"/>
              </w:rPr>
              <w:t>（</w:t>
            </w:r>
            <w:r>
              <w:rPr>
                <w:rFonts w:hint="default" w:ascii="Times New Roman" w:hAnsi="Times New Roman" w:eastAsia="宋体" w:cs="Times New Roman"/>
                <w:b w:val="0"/>
                <w:bCs w:val="0"/>
                <w:color w:val="auto"/>
                <w:sz w:val="24"/>
                <w:szCs w:val="24"/>
                <w:lang w:val="zh-CN" w:eastAsia="zh-CN"/>
              </w:rPr>
              <w:t>编号、</w:t>
            </w:r>
          </w:p>
          <w:p w14:paraId="1229F2C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名称</w:t>
            </w:r>
            <w:r>
              <w:rPr>
                <w:rFonts w:hint="eastAsia" w:ascii="Times New Roman" w:hAnsi="Times New Roman" w:eastAsia="宋体" w:cs="Times New Roman"/>
                <w:b w:val="0"/>
                <w:bCs w:val="0"/>
                <w:color w:val="auto"/>
                <w:sz w:val="24"/>
                <w:szCs w:val="24"/>
                <w:lang w:val="zh-CN" w:eastAsia="zh-CN"/>
              </w:rPr>
              <w:t>）</w:t>
            </w:r>
            <w:r>
              <w:rPr>
                <w:rFonts w:hint="default" w:ascii="Times New Roman" w:hAnsi="Times New Roman" w:eastAsia="宋体" w:cs="Times New Roman"/>
                <w:b w:val="0"/>
                <w:bCs w:val="0"/>
                <w:color w:val="auto"/>
                <w:sz w:val="24"/>
                <w:szCs w:val="24"/>
                <w:lang w:val="zh-CN" w:eastAsia="zh-CN"/>
              </w:rPr>
              <w:t>/污染源</w:t>
            </w:r>
          </w:p>
        </w:tc>
        <w:tc>
          <w:tcPr>
            <w:tcW w:w="1017" w:type="pct"/>
            <w:noWrap w:val="0"/>
            <w:vAlign w:val="center"/>
          </w:tcPr>
          <w:p w14:paraId="33EB036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污染物项目</w:t>
            </w:r>
          </w:p>
        </w:tc>
        <w:tc>
          <w:tcPr>
            <w:tcW w:w="916" w:type="pct"/>
            <w:noWrap w:val="0"/>
            <w:vAlign w:val="center"/>
          </w:tcPr>
          <w:p w14:paraId="7E4C5E4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环境保护措施</w:t>
            </w:r>
          </w:p>
        </w:tc>
        <w:tc>
          <w:tcPr>
            <w:tcW w:w="1495" w:type="pct"/>
            <w:gridSpan w:val="2"/>
            <w:noWrap w:val="0"/>
            <w:vAlign w:val="center"/>
          </w:tcPr>
          <w:p w14:paraId="49A2B7C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执行标准</w:t>
            </w:r>
          </w:p>
        </w:tc>
      </w:tr>
      <w:tr w14:paraId="21665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594" w:type="pct"/>
            <w:vMerge w:val="restart"/>
            <w:noWrap w:val="0"/>
            <w:vAlign w:val="center"/>
          </w:tcPr>
          <w:p w14:paraId="16257EF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大气环境</w:t>
            </w:r>
          </w:p>
        </w:tc>
        <w:tc>
          <w:tcPr>
            <w:tcW w:w="976" w:type="pct"/>
            <w:vMerge w:val="restart"/>
            <w:noWrap w:val="0"/>
            <w:vAlign w:val="center"/>
          </w:tcPr>
          <w:p w14:paraId="564543A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en-US" w:eastAsia="zh-CN"/>
              </w:rPr>
              <w:t>DA001</w:t>
            </w:r>
          </w:p>
        </w:tc>
        <w:tc>
          <w:tcPr>
            <w:tcW w:w="1017" w:type="pct"/>
            <w:noWrap w:val="0"/>
            <w:vAlign w:val="center"/>
          </w:tcPr>
          <w:p w14:paraId="44953BB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非甲烷总烃</w:t>
            </w:r>
          </w:p>
        </w:tc>
        <w:tc>
          <w:tcPr>
            <w:tcW w:w="916" w:type="pct"/>
            <w:vMerge w:val="restart"/>
            <w:noWrap w:val="0"/>
            <w:vAlign w:val="center"/>
          </w:tcPr>
          <w:p w14:paraId="3E79229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集气罩</w:t>
            </w:r>
            <w:r>
              <w:rPr>
                <w:rFonts w:hint="eastAsia" w:ascii="Times New Roman" w:hAnsi="Times New Roman" w:cs="Times New Roman"/>
                <w:color w:val="auto"/>
                <w:sz w:val="24"/>
                <w:szCs w:val="24"/>
                <w:lang w:val="en-US" w:eastAsia="zh-CN"/>
              </w:rPr>
              <w:t>+</w:t>
            </w:r>
            <w:r>
              <w:rPr>
                <w:rFonts w:hint="eastAsia" w:cs="Times New Roman"/>
                <w:color w:val="auto"/>
                <w:sz w:val="24"/>
                <w:szCs w:val="24"/>
                <w:lang w:val="en-US" w:eastAsia="zh-CN"/>
              </w:rPr>
              <w:t>袋式</w:t>
            </w:r>
            <w:r>
              <w:rPr>
                <w:rFonts w:hint="default" w:ascii="Times New Roman" w:hAnsi="Times New Roman" w:eastAsia="宋体" w:cs="Times New Roman"/>
                <w:b w:val="0"/>
                <w:bCs w:val="0"/>
                <w:color w:val="auto"/>
                <w:sz w:val="24"/>
                <w:szCs w:val="24"/>
                <w:lang w:val="zh-CN" w:eastAsia="zh-CN"/>
              </w:rPr>
              <w:t>除尘器</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光催化</w:t>
            </w:r>
            <w:r>
              <w:rPr>
                <w:rFonts w:hint="eastAsia" w:ascii="Times New Roman" w:hAnsi="Times New Roman" w:cs="Times New Roman"/>
                <w:color w:val="auto"/>
                <w:sz w:val="24"/>
                <w:szCs w:val="24"/>
                <w:lang w:val="en-US" w:eastAsia="zh-CN"/>
              </w:rPr>
              <w:t>+</w:t>
            </w:r>
            <w:r>
              <w:rPr>
                <w:rFonts w:hint="eastAsia" w:cs="Times New Roman"/>
                <w:color w:val="auto"/>
                <w:sz w:val="24"/>
                <w:szCs w:val="24"/>
                <w:lang w:val="en-US" w:eastAsia="zh-CN"/>
              </w:rPr>
              <w:t>二级</w:t>
            </w:r>
            <w:r>
              <w:rPr>
                <w:rFonts w:hint="eastAsia" w:ascii="Times New Roman" w:hAnsi="Times New Roman" w:eastAsia="宋体" w:cs="Times New Roman"/>
                <w:b w:val="0"/>
                <w:bCs w:val="0"/>
                <w:color w:val="auto"/>
                <w:sz w:val="24"/>
                <w:szCs w:val="24"/>
                <w:lang w:val="en-US" w:eastAsia="zh-CN"/>
              </w:rPr>
              <w:t>活性炭吸附</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b w:val="0"/>
                <w:bCs w:val="0"/>
                <w:color w:val="auto"/>
                <w:sz w:val="24"/>
                <w:szCs w:val="24"/>
                <w:lang w:val="zh-CN" w:eastAsia="zh-CN"/>
              </w:rPr>
              <w:t>15m高排气筒</w:t>
            </w:r>
          </w:p>
        </w:tc>
        <w:tc>
          <w:tcPr>
            <w:tcW w:w="1495" w:type="pct"/>
            <w:gridSpan w:val="2"/>
            <w:vMerge w:val="restart"/>
            <w:noWrap w:val="0"/>
            <w:vAlign w:val="center"/>
          </w:tcPr>
          <w:p w14:paraId="1276E2D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eastAsia" w:ascii="Times New Roman" w:hAnsi="Times New Roman" w:eastAsia="宋体" w:cs="Times New Roman"/>
                <w:b w:val="0"/>
                <w:bCs w:val="0"/>
                <w:color w:val="auto"/>
                <w:sz w:val="24"/>
                <w:szCs w:val="24"/>
                <w:lang w:val="zh-CN" w:eastAsia="zh-CN"/>
              </w:rPr>
              <w:t>《合成树脂工业污染物排放标准》（GB31572-2015）</w:t>
            </w:r>
            <w:r>
              <w:rPr>
                <w:rFonts w:hint="eastAsia" w:ascii="Times New Roman" w:hAnsi="Times New Roman" w:eastAsia="宋体" w:cs="Times New Roman"/>
                <w:color w:val="auto"/>
                <w:kern w:val="0"/>
                <w:sz w:val="24"/>
                <w:szCs w:val="24"/>
                <w:lang w:val="en-US" w:eastAsia="zh-CN"/>
              </w:rPr>
              <w:t>表5污染物特别排放限制和表9</w:t>
            </w:r>
            <w:r>
              <w:rPr>
                <w:rFonts w:hint="eastAsia"/>
                <w:color w:val="auto"/>
                <w:sz w:val="24"/>
                <w:szCs w:val="24"/>
                <w:lang w:val="en-US" w:eastAsia="zh-CN"/>
              </w:rPr>
              <w:t>污染物浓度限值</w:t>
            </w:r>
            <w:r>
              <w:rPr>
                <w:rFonts w:hint="default" w:ascii="Times New Roman" w:hAnsi="Times New Roman" w:eastAsia="宋体" w:cs="Times New Roman"/>
                <w:b w:val="0"/>
                <w:bCs w:val="0"/>
                <w:color w:val="auto"/>
                <w:sz w:val="24"/>
                <w:szCs w:val="24"/>
                <w:lang w:val="zh-CN" w:eastAsia="zh-CN"/>
              </w:rPr>
              <w:t>要求</w:t>
            </w:r>
          </w:p>
        </w:tc>
      </w:tr>
      <w:tr w14:paraId="37456A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94" w:type="pct"/>
            <w:vMerge w:val="continue"/>
            <w:noWrap w:val="0"/>
            <w:vAlign w:val="center"/>
          </w:tcPr>
          <w:p w14:paraId="5D43CB1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976" w:type="pct"/>
            <w:vMerge w:val="continue"/>
            <w:noWrap w:val="0"/>
            <w:vAlign w:val="center"/>
          </w:tcPr>
          <w:p w14:paraId="464323E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1017" w:type="pct"/>
            <w:noWrap w:val="0"/>
            <w:vAlign w:val="center"/>
          </w:tcPr>
          <w:p w14:paraId="1780290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颗粒物</w:t>
            </w:r>
          </w:p>
        </w:tc>
        <w:tc>
          <w:tcPr>
            <w:tcW w:w="916" w:type="pct"/>
            <w:vMerge w:val="continue"/>
            <w:noWrap w:val="0"/>
            <w:vAlign w:val="center"/>
          </w:tcPr>
          <w:p w14:paraId="6DA16A0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1495" w:type="pct"/>
            <w:gridSpan w:val="2"/>
            <w:vMerge w:val="continue"/>
            <w:noWrap w:val="0"/>
            <w:vAlign w:val="center"/>
          </w:tcPr>
          <w:p w14:paraId="366BA3F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r>
      <w:tr w14:paraId="3CCF8C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594" w:type="pct"/>
            <w:vMerge w:val="continue"/>
            <w:noWrap w:val="0"/>
            <w:vAlign w:val="center"/>
          </w:tcPr>
          <w:p w14:paraId="0193B2F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976" w:type="pct"/>
            <w:vMerge w:val="continue"/>
            <w:noWrap w:val="0"/>
            <w:vAlign w:val="center"/>
          </w:tcPr>
          <w:p w14:paraId="445C1F6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1017" w:type="pct"/>
            <w:noWrap w:val="0"/>
            <w:vAlign w:val="center"/>
          </w:tcPr>
          <w:p w14:paraId="15AE121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en-US" w:eastAsia="zh-CN"/>
              </w:rPr>
            </w:pPr>
            <w:r>
              <w:rPr>
                <w:rFonts w:hint="eastAsia" w:cs="Times New Roman"/>
                <w:b w:val="0"/>
                <w:bCs w:val="0"/>
                <w:color w:val="auto"/>
                <w:sz w:val="24"/>
                <w:szCs w:val="24"/>
                <w:lang w:val="en-US" w:eastAsia="zh-CN"/>
              </w:rPr>
              <w:t>臭气浓度</w:t>
            </w:r>
          </w:p>
        </w:tc>
        <w:tc>
          <w:tcPr>
            <w:tcW w:w="916" w:type="pct"/>
            <w:vMerge w:val="continue"/>
            <w:noWrap w:val="0"/>
            <w:vAlign w:val="center"/>
          </w:tcPr>
          <w:p w14:paraId="112AB4B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4"/>
                <w:szCs w:val="24"/>
                <w:lang w:val="zh-CN" w:eastAsia="zh-CN"/>
              </w:rPr>
            </w:pPr>
          </w:p>
        </w:tc>
        <w:tc>
          <w:tcPr>
            <w:tcW w:w="1495" w:type="pct"/>
            <w:gridSpan w:val="2"/>
            <w:noWrap w:val="0"/>
            <w:vAlign w:val="center"/>
          </w:tcPr>
          <w:p w14:paraId="1716316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olor w:val="auto"/>
                <w:sz w:val="24"/>
                <w:szCs w:val="24"/>
                <w:lang w:val="zh-CN" w:eastAsia="zh-CN"/>
              </w:rPr>
              <w:t>《恶臭污染物排放标准》(GB14554-1993)</w:t>
            </w:r>
          </w:p>
        </w:tc>
      </w:tr>
      <w:tr w14:paraId="4FBED9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594" w:type="pct"/>
            <w:noWrap w:val="0"/>
            <w:vAlign w:val="center"/>
          </w:tcPr>
          <w:p w14:paraId="73A5E1A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地表水环境</w:t>
            </w:r>
          </w:p>
        </w:tc>
        <w:tc>
          <w:tcPr>
            <w:tcW w:w="976" w:type="pct"/>
            <w:noWrap w:val="0"/>
            <w:vAlign w:val="center"/>
          </w:tcPr>
          <w:p w14:paraId="2463B8A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color w:val="auto"/>
                <w:sz w:val="24"/>
                <w:szCs w:val="24"/>
                <w:lang w:val="en-US" w:eastAsia="zh-CN"/>
              </w:rPr>
            </w:pPr>
            <w:r>
              <w:rPr>
                <w:rFonts w:hint="default" w:ascii="Times New Roman" w:hAnsi="Times New Roman" w:eastAsia="宋体" w:cs="Times New Roman"/>
                <w:b w:val="0"/>
                <w:bCs w:val="0"/>
                <w:color w:val="auto"/>
                <w:sz w:val="24"/>
                <w:szCs w:val="24"/>
                <w:lang w:val="zh-CN" w:eastAsia="zh-CN"/>
              </w:rPr>
              <w:t>生活污水</w:t>
            </w:r>
          </w:p>
        </w:tc>
        <w:tc>
          <w:tcPr>
            <w:tcW w:w="1017" w:type="pct"/>
            <w:noWrap w:val="0"/>
            <w:vAlign w:val="center"/>
          </w:tcPr>
          <w:p w14:paraId="7D61861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COD、BOD</w:t>
            </w:r>
            <w:r>
              <w:rPr>
                <w:rFonts w:hint="default" w:ascii="Times New Roman" w:hAnsi="Times New Roman" w:eastAsia="宋体" w:cs="Times New Roman"/>
                <w:b w:val="0"/>
                <w:bCs w:val="0"/>
                <w:color w:val="auto"/>
                <w:sz w:val="24"/>
                <w:szCs w:val="24"/>
                <w:vertAlign w:val="subscript"/>
                <w:lang w:val="zh-CN" w:eastAsia="zh-CN"/>
              </w:rPr>
              <w:t>5</w:t>
            </w:r>
            <w:r>
              <w:rPr>
                <w:rFonts w:hint="default" w:ascii="Times New Roman" w:hAnsi="Times New Roman" w:eastAsia="宋体" w:cs="Times New Roman"/>
                <w:b w:val="0"/>
                <w:bCs w:val="0"/>
                <w:color w:val="auto"/>
                <w:sz w:val="24"/>
                <w:szCs w:val="24"/>
                <w:lang w:val="zh-CN" w:eastAsia="zh-CN"/>
              </w:rPr>
              <w:t>、NH</w:t>
            </w:r>
            <w:r>
              <w:rPr>
                <w:rFonts w:hint="default" w:ascii="Times New Roman" w:hAnsi="Times New Roman" w:eastAsia="宋体" w:cs="Times New Roman"/>
                <w:b w:val="0"/>
                <w:bCs w:val="0"/>
                <w:color w:val="auto"/>
                <w:sz w:val="24"/>
                <w:szCs w:val="24"/>
                <w:vertAlign w:val="subscript"/>
                <w:lang w:val="zh-CN" w:eastAsia="zh-CN"/>
              </w:rPr>
              <w:t>3</w:t>
            </w:r>
            <w:r>
              <w:rPr>
                <w:rFonts w:hint="default" w:ascii="Times New Roman" w:hAnsi="Times New Roman" w:eastAsia="宋体" w:cs="Times New Roman"/>
                <w:b w:val="0"/>
                <w:bCs w:val="0"/>
                <w:color w:val="auto"/>
                <w:sz w:val="24"/>
                <w:szCs w:val="24"/>
                <w:lang w:val="zh-CN" w:eastAsia="zh-CN"/>
              </w:rPr>
              <w:t>-N、SS</w:t>
            </w:r>
          </w:p>
        </w:tc>
        <w:tc>
          <w:tcPr>
            <w:tcW w:w="916" w:type="pct"/>
            <w:noWrap w:val="0"/>
            <w:vAlign w:val="center"/>
          </w:tcPr>
          <w:p w14:paraId="459B1A9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eastAsia" w:ascii="Times New Roman" w:hAnsi="Times New Roman" w:eastAsia="宋体" w:cs="Times New Roman"/>
                <w:b w:val="0"/>
                <w:bCs w:val="0"/>
                <w:color w:val="auto"/>
                <w:sz w:val="24"/>
                <w:szCs w:val="24"/>
                <w:lang w:val="zh-CN" w:eastAsia="zh-CN"/>
              </w:rPr>
              <w:t>经</w:t>
            </w:r>
            <w:r>
              <w:rPr>
                <w:rFonts w:hint="eastAsia" w:ascii="Times New Roman" w:hAnsi="Times New Roman" w:eastAsia="宋体" w:cs="Times New Roman"/>
                <w:b w:val="0"/>
                <w:bCs w:val="0"/>
                <w:color w:val="auto"/>
                <w:sz w:val="24"/>
                <w:szCs w:val="24"/>
                <w:lang w:val="en-US" w:eastAsia="zh-CN"/>
              </w:rPr>
              <w:t>现有污水处理站</w:t>
            </w:r>
            <w:r>
              <w:rPr>
                <w:rFonts w:hint="default" w:ascii="Times New Roman" w:hAnsi="Times New Roman" w:eastAsia="宋体" w:cs="Times New Roman"/>
                <w:b w:val="0"/>
                <w:bCs w:val="0"/>
                <w:color w:val="auto"/>
                <w:sz w:val="24"/>
                <w:szCs w:val="24"/>
                <w:lang w:val="zh-CN" w:eastAsia="zh-CN"/>
              </w:rPr>
              <w:t>处理达标后全部回用</w:t>
            </w:r>
          </w:p>
        </w:tc>
        <w:tc>
          <w:tcPr>
            <w:tcW w:w="1495" w:type="pct"/>
            <w:gridSpan w:val="2"/>
            <w:noWrap w:val="0"/>
            <w:vAlign w:val="center"/>
          </w:tcPr>
          <w:p w14:paraId="55AD519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eastAsia" w:ascii="Times New Roman" w:hAnsi="Times New Roman" w:eastAsia="宋体" w:cs="Times New Roman"/>
                <w:b w:val="0"/>
                <w:bCs w:val="0"/>
                <w:color w:val="auto"/>
                <w:sz w:val="24"/>
                <w:szCs w:val="24"/>
                <w:lang w:val="en-US" w:eastAsia="zh-CN"/>
              </w:rPr>
              <w:t>《城市污水再生利用工业用水水质》</w:t>
            </w:r>
            <w:r>
              <w:rPr>
                <w:rFonts w:hint="default" w:ascii="Times New Roman" w:hAnsi="Times New Roman" w:eastAsia="宋体" w:cs="Times New Roman"/>
                <w:b w:val="0"/>
                <w:bCs w:val="0"/>
                <w:color w:val="auto"/>
                <w:sz w:val="24"/>
                <w:szCs w:val="24"/>
                <w:lang w:val="en-US" w:eastAsia="zh-CN"/>
              </w:rPr>
              <w:t>(GB/T19923-20</w:t>
            </w:r>
            <w:r>
              <w:rPr>
                <w:rFonts w:hint="eastAsia" w:ascii="Times New Roman" w:hAnsi="Times New Roman" w:eastAsia="宋体" w:cs="Times New Roman"/>
                <w:b w:val="0"/>
                <w:bCs w:val="0"/>
                <w:color w:val="auto"/>
                <w:sz w:val="24"/>
                <w:szCs w:val="24"/>
                <w:lang w:val="en-US" w:eastAsia="zh-CN"/>
              </w:rPr>
              <w:t>24</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中表</w:t>
            </w:r>
            <w:r>
              <w:rPr>
                <w:rFonts w:hint="default" w:ascii="Times New Roman" w:hAnsi="Times New Roman" w:eastAsia="宋体" w:cs="Times New Roman"/>
                <w:b w:val="0"/>
                <w:bCs w:val="0"/>
                <w:color w:val="auto"/>
                <w:sz w:val="24"/>
                <w:szCs w:val="24"/>
                <w:lang w:val="en-US" w:eastAsia="zh-CN"/>
              </w:rPr>
              <w:t>1</w:t>
            </w:r>
            <w:r>
              <w:rPr>
                <w:rFonts w:hint="eastAsia" w:ascii="Times New Roman" w:hAnsi="Times New Roman" w:eastAsia="宋体" w:cs="Times New Roman"/>
                <w:b w:val="0"/>
                <w:bCs w:val="0"/>
                <w:color w:val="auto"/>
                <w:sz w:val="24"/>
                <w:szCs w:val="24"/>
                <w:lang w:val="en-US" w:eastAsia="zh-CN"/>
              </w:rPr>
              <w:t>限值要求</w:t>
            </w:r>
          </w:p>
        </w:tc>
      </w:tr>
      <w:tr w14:paraId="5A429C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94" w:type="pct"/>
            <w:noWrap w:val="0"/>
            <w:vAlign w:val="center"/>
          </w:tcPr>
          <w:p w14:paraId="740DC0A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声环境</w:t>
            </w:r>
          </w:p>
        </w:tc>
        <w:tc>
          <w:tcPr>
            <w:tcW w:w="976" w:type="pct"/>
            <w:noWrap w:val="0"/>
            <w:vAlign w:val="center"/>
          </w:tcPr>
          <w:p w14:paraId="149D303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生产设备</w:t>
            </w:r>
          </w:p>
        </w:tc>
        <w:tc>
          <w:tcPr>
            <w:tcW w:w="1017" w:type="pct"/>
            <w:noWrap w:val="0"/>
            <w:vAlign w:val="center"/>
          </w:tcPr>
          <w:p w14:paraId="3CA6FF2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等效A声级</w:t>
            </w:r>
          </w:p>
        </w:tc>
        <w:tc>
          <w:tcPr>
            <w:tcW w:w="916" w:type="pct"/>
            <w:noWrap w:val="0"/>
            <w:vAlign w:val="center"/>
          </w:tcPr>
          <w:p w14:paraId="3A9ABA9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选用高效低噪声设备、安装减振底座等</w:t>
            </w:r>
          </w:p>
        </w:tc>
        <w:tc>
          <w:tcPr>
            <w:tcW w:w="1495" w:type="pct"/>
            <w:gridSpan w:val="2"/>
            <w:noWrap w:val="0"/>
            <w:vAlign w:val="center"/>
          </w:tcPr>
          <w:p w14:paraId="3347242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《工业企业厂界环境噪声排放标准》（GB12348-2008）</w:t>
            </w:r>
            <w:r>
              <w:rPr>
                <w:rFonts w:hint="eastAsia" w:ascii="Times New Roman" w:hAnsi="Times New Roman" w:eastAsia="宋体" w:cs="Times New Roman"/>
                <w:b w:val="0"/>
                <w:bCs w:val="0"/>
                <w:color w:val="auto"/>
                <w:sz w:val="24"/>
                <w:szCs w:val="24"/>
                <w:lang w:val="en-US" w:eastAsia="zh-CN"/>
              </w:rPr>
              <w:t>3</w:t>
            </w:r>
            <w:r>
              <w:rPr>
                <w:rFonts w:hint="default" w:ascii="Times New Roman" w:hAnsi="Times New Roman" w:eastAsia="宋体" w:cs="Times New Roman"/>
                <w:b w:val="0"/>
                <w:bCs w:val="0"/>
                <w:color w:val="auto"/>
                <w:sz w:val="24"/>
                <w:szCs w:val="24"/>
                <w:lang w:val="zh-CN" w:eastAsia="zh-CN"/>
              </w:rPr>
              <w:t>类标准</w:t>
            </w:r>
          </w:p>
        </w:tc>
      </w:tr>
      <w:tr w14:paraId="5162B3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94" w:type="pct"/>
            <w:noWrap w:val="0"/>
            <w:vAlign w:val="center"/>
          </w:tcPr>
          <w:p w14:paraId="753BA31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电磁辐射</w:t>
            </w:r>
          </w:p>
        </w:tc>
        <w:tc>
          <w:tcPr>
            <w:tcW w:w="976" w:type="pct"/>
            <w:noWrap w:val="0"/>
            <w:vAlign w:val="center"/>
          </w:tcPr>
          <w:p w14:paraId="2A224E5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w:t>
            </w:r>
          </w:p>
        </w:tc>
        <w:tc>
          <w:tcPr>
            <w:tcW w:w="1017" w:type="pct"/>
            <w:noWrap w:val="0"/>
            <w:vAlign w:val="center"/>
          </w:tcPr>
          <w:p w14:paraId="06293AB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w:t>
            </w:r>
          </w:p>
        </w:tc>
        <w:tc>
          <w:tcPr>
            <w:tcW w:w="916" w:type="pct"/>
            <w:noWrap w:val="0"/>
            <w:vAlign w:val="center"/>
          </w:tcPr>
          <w:p w14:paraId="77A99BE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w:t>
            </w:r>
          </w:p>
        </w:tc>
        <w:tc>
          <w:tcPr>
            <w:tcW w:w="1495" w:type="pct"/>
            <w:gridSpan w:val="2"/>
            <w:noWrap w:val="0"/>
            <w:vAlign w:val="center"/>
          </w:tcPr>
          <w:p w14:paraId="1F47EAF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w:t>
            </w:r>
          </w:p>
        </w:tc>
      </w:tr>
      <w:tr w14:paraId="04D196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94" w:type="pct"/>
            <w:vMerge w:val="restart"/>
            <w:noWrap w:val="0"/>
            <w:vAlign w:val="center"/>
          </w:tcPr>
          <w:p w14:paraId="3F26933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固体废物</w:t>
            </w:r>
          </w:p>
        </w:tc>
        <w:tc>
          <w:tcPr>
            <w:tcW w:w="976" w:type="pct"/>
            <w:noWrap w:val="0"/>
            <w:vAlign w:val="center"/>
          </w:tcPr>
          <w:p w14:paraId="2046AED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塑料生产废料</w:t>
            </w:r>
          </w:p>
        </w:tc>
        <w:tc>
          <w:tcPr>
            <w:tcW w:w="1940" w:type="pct"/>
            <w:gridSpan w:val="3"/>
            <w:noWrap w:val="0"/>
            <w:vAlign w:val="center"/>
          </w:tcPr>
          <w:p w14:paraId="3C1F84C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eastAsia" w:ascii="Times New Roman" w:hAnsi="Times New Roman" w:eastAsia="宋体" w:cs="Times New Roman"/>
                <w:b w:val="0"/>
                <w:bCs w:val="0"/>
                <w:color w:val="auto"/>
                <w:sz w:val="24"/>
                <w:szCs w:val="24"/>
                <w:lang w:val="en-US" w:eastAsia="zh-CN"/>
              </w:rPr>
              <w:t>内部回收利用</w:t>
            </w:r>
          </w:p>
        </w:tc>
        <w:tc>
          <w:tcPr>
            <w:tcW w:w="1488" w:type="pct"/>
            <w:noWrap w:val="0"/>
            <w:vAlign w:val="center"/>
          </w:tcPr>
          <w:p w14:paraId="5A498C7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不外排</w:t>
            </w:r>
          </w:p>
        </w:tc>
      </w:tr>
      <w:tr w14:paraId="7DF9E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94" w:type="pct"/>
            <w:vMerge w:val="continue"/>
            <w:noWrap w:val="0"/>
            <w:vAlign w:val="center"/>
          </w:tcPr>
          <w:p w14:paraId="5BA69DA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976" w:type="pct"/>
            <w:noWrap w:val="0"/>
            <w:vAlign w:val="center"/>
          </w:tcPr>
          <w:p w14:paraId="7B5A1C3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钢材切割废料</w:t>
            </w:r>
          </w:p>
        </w:tc>
        <w:tc>
          <w:tcPr>
            <w:tcW w:w="1940" w:type="pct"/>
            <w:gridSpan w:val="3"/>
            <w:noWrap w:val="0"/>
            <w:vAlign w:val="center"/>
          </w:tcPr>
          <w:p w14:paraId="2D3CD4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eastAsia" w:ascii="Times New Roman" w:hAnsi="Times New Roman" w:eastAsia="宋体" w:cs="Times New Roman"/>
                <w:b w:val="0"/>
                <w:bCs w:val="0"/>
                <w:color w:val="auto"/>
                <w:sz w:val="24"/>
                <w:szCs w:val="24"/>
                <w:lang w:val="en-US" w:eastAsia="zh-CN"/>
              </w:rPr>
              <w:t>外售</w:t>
            </w:r>
          </w:p>
        </w:tc>
        <w:tc>
          <w:tcPr>
            <w:tcW w:w="1488" w:type="pct"/>
            <w:noWrap w:val="0"/>
            <w:vAlign w:val="center"/>
          </w:tcPr>
          <w:p w14:paraId="21A549B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不外排</w:t>
            </w:r>
          </w:p>
        </w:tc>
      </w:tr>
      <w:tr w14:paraId="17F6C4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94" w:type="pct"/>
            <w:vMerge w:val="continue"/>
            <w:noWrap w:val="0"/>
            <w:vAlign w:val="center"/>
          </w:tcPr>
          <w:p w14:paraId="7D09B4E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976" w:type="pct"/>
            <w:noWrap w:val="0"/>
            <w:vAlign w:val="center"/>
          </w:tcPr>
          <w:p w14:paraId="0763D30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除尘器收集粉尘</w:t>
            </w:r>
          </w:p>
        </w:tc>
        <w:tc>
          <w:tcPr>
            <w:tcW w:w="1940" w:type="pct"/>
            <w:gridSpan w:val="3"/>
            <w:noWrap w:val="0"/>
            <w:vAlign w:val="center"/>
          </w:tcPr>
          <w:p w14:paraId="500C72C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eastAsia" w:ascii="Times New Roman" w:hAnsi="Times New Roman" w:eastAsia="宋体" w:cs="Times New Roman"/>
                <w:b w:val="0"/>
                <w:bCs w:val="0"/>
                <w:color w:val="auto"/>
                <w:sz w:val="24"/>
                <w:szCs w:val="24"/>
                <w:lang w:val="en-US" w:eastAsia="zh-CN"/>
              </w:rPr>
              <w:t>外售</w:t>
            </w:r>
          </w:p>
        </w:tc>
        <w:tc>
          <w:tcPr>
            <w:tcW w:w="1488" w:type="pct"/>
            <w:noWrap w:val="0"/>
            <w:vAlign w:val="center"/>
          </w:tcPr>
          <w:p w14:paraId="65A57F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不外排</w:t>
            </w:r>
          </w:p>
        </w:tc>
      </w:tr>
      <w:tr w14:paraId="31EAF7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94" w:type="pct"/>
            <w:vMerge w:val="continue"/>
            <w:noWrap w:val="0"/>
            <w:vAlign w:val="center"/>
          </w:tcPr>
          <w:p w14:paraId="64AC408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976" w:type="pct"/>
            <w:noWrap w:val="0"/>
            <w:vAlign w:val="center"/>
          </w:tcPr>
          <w:p w14:paraId="694D1AB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废机油、废润滑油</w:t>
            </w:r>
          </w:p>
        </w:tc>
        <w:tc>
          <w:tcPr>
            <w:tcW w:w="1940" w:type="pct"/>
            <w:gridSpan w:val="3"/>
            <w:noWrap w:val="0"/>
            <w:vAlign w:val="center"/>
          </w:tcPr>
          <w:p w14:paraId="184ABA8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eastAsia" w:ascii="Times New Roman" w:hAnsi="Times New Roman" w:eastAsia="宋体" w:cs="Times New Roman"/>
                <w:b w:val="0"/>
                <w:bCs w:val="0"/>
                <w:color w:val="auto"/>
                <w:sz w:val="24"/>
                <w:szCs w:val="24"/>
                <w:lang w:val="en-US" w:eastAsia="zh-CN"/>
              </w:rPr>
              <w:t>本公司处置</w:t>
            </w:r>
          </w:p>
        </w:tc>
        <w:tc>
          <w:tcPr>
            <w:tcW w:w="1488" w:type="pct"/>
            <w:vMerge w:val="restart"/>
            <w:noWrap w:val="0"/>
            <w:vAlign w:val="center"/>
          </w:tcPr>
          <w:p w14:paraId="7D94F45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《危险废物贮存污染控制标准》（GB18597-20</w:t>
            </w:r>
            <w:r>
              <w:rPr>
                <w:rFonts w:hint="eastAsia" w:cs="Times New Roman"/>
                <w:b w:val="0"/>
                <w:bCs w:val="0"/>
                <w:color w:val="auto"/>
                <w:sz w:val="24"/>
                <w:szCs w:val="24"/>
                <w:lang w:val="en-US" w:eastAsia="zh-CN"/>
              </w:rPr>
              <w:t>23</w:t>
            </w:r>
            <w:r>
              <w:rPr>
                <w:rFonts w:hint="default" w:ascii="Times New Roman" w:hAnsi="Times New Roman" w:eastAsia="宋体" w:cs="Times New Roman"/>
                <w:b w:val="0"/>
                <w:bCs w:val="0"/>
                <w:color w:val="auto"/>
                <w:sz w:val="24"/>
                <w:szCs w:val="24"/>
                <w:lang w:val="zh-CN" w:eastAsia="zh-CN"/>
              </w:rPr>
              <w:t>）要求</w:t>
            </w:r>
          </w:p>
        </w:tc>
      </w:tr>
      <w:tr w14:paraId="41D45A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94" w:type="pct"/>
            <w:vMerge w:val="continue"/>
            <w:noWrap w:val="0"/>
            <w:vAlign w:val="center"/>
          </w:tcPr>
          <w:p w14:paraId="58CF704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976" w:type="pct"/>
            <w:noWrap w:val="0"/>
            <w:vAlign w:val="center"/>
          </w:tcPr>
          <w:p w14:paraId="741785B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废活性炭</w:t>
            </w:r>
          </w:p>
        </w:tc>
        <w:tc>
          <w:tcPr>
            <w:tcW w:w="1940" w:type="pct"/>
            <w:gridSpan w:val="3"/>
            <w:noWrap w:val="0"/>
            <w:vAlign w:val="center"/>
          </w:tcPr>
          <w:p w14:paraId="6942160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eastAsia" w:ascii="Times New Roman" w:hAnsi="Times New Roman" w:eastAsia="宋体" w:cs="Times New Roman"/>
                <w:b w:val="0"/>
                <w:bCs w:val="0"/>
                <w:color w:val="auto"/>
                <w:sz w:val="24"/>
                <w:szCs w:val="24"/>
                <w:lang w:val="en-US" w:eastAsia="zh-CN"/>
              </w:rPr>
              <w:t>本公司处置</w:t>
            </w:r>
          </w:p>
        </w:tc>
        <w:tc>
          <w:tcPr>
            <w:tcW w:w="1488" w:type="pct"/>
            <w:vMerge w:val="continue"/>
            <w:tcBorders/>
            <w:noWrap w:val="0"/>
            <w:vAlign w:val="center"/>
          </w:tcPr>
          <w:p w14:paraId="5C0FA42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r>
      <w:tr w14:paraId="122636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94" w:type="pct"/>
            <w:vMerge w:val="continue"/>
            <w:noWrap w:val="0"/>
            <w:vAlign w:val="center"/>
          </w:tcPr>
          <w:p w14:paraId="24DF283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976" w:type="pct"/>
            <w:noWrap w:val="0"/>
            <w:vAlign w:val="center"/>
          </w:tcPr>
          <w:p w14:paraId="1DEC141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zh-CN" w:eastAsia="zh-CN"/>
              </w:rPr>
              <w:t>废模具清洗</w:t>
            </w:r>
            <w:r>
              <w:rPr>
                <w:rFonts w:hint="eastAsia" w:cs="Times New Roman"/>
                <w:b w:val="0"/>
                <w:bCs w:val="0"/>
                <w:color w:val="auto"/>
                <w:sz w:val="24"/>
                <w:szCs w:val="24"/>
                <w:lang w:val="en-US" w:eastAsia="zh-CN"/>
              </w:rPr>
              <w:t>液</w:t>
            </w:r>
          </w:p>
        </w:tc>
        <w:tc>
          <w:tcPr>
            <w:tcW w:w="1940" w:type="pct"/>
            <w:gridSpan w:val="3"/>
            <w:noWrap w:val="0"/>
            <w:vAlign w:val="center"/>
          </w:tcPr>
          <w:p w14:paraId="013ECF8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本公司处置</w:t>
            </w:r>
          </w:p>
        </w:tc>
        <w:tc>
          <w:tcPr>
            <w:tcW w:w="1488" w:type="pct"/>
            <w:vMerge w:val="continue"/>
            <w:tcBorders/>
            <w:noWrap w:val="0"/>
            <w:vAlign w:val="center"/>
          </w:tcPr>
          <w:p w14:paraId="3A01BB7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r>
      <w:tr w14:paraId="1BA9B9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94" w:type="pct"/>
            <w:vMerge w:val="continue"/>
            <w:noWrap w:val="0"/>
            <w:vAlign w:val="center"/>
          </w:tcPr>
          <w:p w14:paraId="0797AF1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976" w:type="pct"/>
            <w:noWrap w:val="0"/>
            <w:vAlign w:val="center"/>
          </w:tcPr>
          <w:p w14:paraId="5F794F6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eastAsia" w:ascii="Times New Roman" w:hAnsi="Times New Roman" w:eastAsia="宋体" w:cs="Times New Roman"/>
                <w:b w:val="0"/>
                <w:bCs w:val="0"/>
                <w:color w:val="auto"/>
                <w:sz w:val="24"/>
                <w:szCs w:val="24"/>
                <w:lang w:val="en-US" w:eastAsia="zh-CN"/>
              </w:rPr>
              <w:t>UV光催化废灯管</w:t>
            </w:r>
          </w:p>
        </w:tc>
        <w:tc>
          <w:tcPr>
            <w:tcW w:w="1940" w:type="pct"/>
            <w:gridSpan w:val="3"/>
            <w:noWrap w:val="0"/>
            <w:vAlign w:val="center"/>
          </w:tcPr>
          <w:p w14:paraId="019C8E4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本公司处置</w:t>
            </w:r>
          </w:p>
        </w:tc>
        <w:tc>
          <w:tcPr>
            <w:tcW w:w="1488" w:type="pct"/>
            <w:vMerge w:val="continue"/>
            <w:tcBorders/>
            <w:noWrap w:val="0"/>
            <w:vAlign w:val="center"/>
          </w:tcPr>
          <w:p w14:paraId="7ABDBA2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r>
      <w:tr w14:paraId="0EC6EE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594" w:type="pct"/>
            <w:vMerge w:val="continue"/>
            <w:noWrap w:val="0"/>
            <w:vAlign w:val="center"/>
          </w:tcPr>
          <w:p w14:paraId="6C4BF16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p>
        </w:tc>
        <w:tc>
          <w:tcPr>
            <w:tcW w:w="976" w:type="pct"/>
            <w:noWrap w:val="0"/>
            <w:vAlign w:val="center"/>
          </w:tcPr>
          <w:p w14:paraId="33601BE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员工生活</w:t>
            </w:r>
          </w:p>
        </w:tc>
        <w:tc>
          <w:tcPr>
            <w:tcW w:w="1940" w:type="pct"/>
            <w:gridSpan w:val="3"/>
            <w:noWrap w:val="0"/>
            <w:vAlign w:val="center"/>
          </w:tcPr>
          <w:p w14:paraId="523FBE5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生活垃圾经垃圾箱收集后委托环卫部门定期清运</w:t>
            </w:r>
          </w:p>
        </w:tc>
        <w:tc>
          <w:tcPr>
            <w:tcW w:w="1488" w:type="pct"/>
            <w:noWrap w:val="0"/>
            <w:vAlign w:val="center"/>
          </w:tcPr>
          <w:p w14:paraId="591790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不外排</w:t>
            </w:r>
          </w:p>
        </w:tc>
      </w:tr>
      <w:tr w14:paraId="45653C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594" w:type="pct"/>
            <w:noWrap w:val="0"/>
            <w:vAlign w:val="center"/>
          </w:tcPr>
          <w:p w14:paraId="46723DA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土壤及地下水污染防治措施</w:t>
            </w:r>
          </w:p>
        </w:tc>
        <w:tc>
          <w:tcPr>
            <w:tcW w:w="4405" w:type="pct"/>
            <w:gridSpan w:val="5"/>
            <w:noWrap w:val="0"/>
            <w:vAlign w:val="center"/>
          </w:tcPr>
          <w:p w14:paraId="26395FA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根据厂区可能泄漏至地面区域污染物的性质和生产单元的构筑方式，将厂区划分为重点防治污染区、一般防渗区和简单防渗区。针对不同的区域提出相应的防渗要求</w:t>
            </w:r>
          </w:p>
        </w:tc>
      </w:tr>
      <w:tr w14:paraId="5CFBFE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594" w:type="pct"/>
            <w:noWrap w:val="0"/>
            <w:vAlign w:val="center"/>
          </w:tcPr>
          <w:p w14:paraId="4FB1B91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生态保护措施</w:t>
            </w:r>
          </w:p>
        </w:tc>
        <w:tc>
          <w:tcPr>
            <w:tcW w:w="4405" w:type="pct"/>
            <w:gridSpan w:val="5"/>
            <w:noWrap w:val="0"/>
            <w:vAlign w:val="center"/>
          </w:tcPr>
          <w:p w14:paraId="5E2664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w:t>
            </w:r>
          </w:p>
        </w:tc>
      </w:tr>
      <w:tr w14:paraId="1E6D99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594" w:type="pct"/>
            <w:noWrap w:val="0"/>
            <w:vAlign w:val="center"/>
          </w:tcPr>
          <w:p w14:paraId="180AAC4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环境风险防范措施</w:t>
            </w:r>
          </w:p>
        </w:tc>
        <w:tc>
          <w:tcPr>
            <w:tcW w:w="4405" w:type="pct"/>
            <w:gridSpan w:val="5"/>
            <w:shd w:val="clear"/>
            <w:noWrap w:val="0"/>
            <w:vAlign w:val="center"/>
          </w:tcPr>
          <w:p w14:paraId="5F8C4340">
            <w:pPr>
              <w:pStyle w:val="67"/>
              <w:keepNext w:val="0"/>
              <w:keepLines w:val="0"/>
              <w:pageBreakBefore w:val="0"/>
              <w:suppressLineNumbers w:val="0"/>
              <w:kinsoku/>
              <w:overflowPunct/>
              <w:bidi w:val="0"/>
              <w:spacing w:before="0" w:beforeAutospacing="0" w:after="0" w:afterLines="0" w:afterAutospacing="0"/>
              <w:ind w:left="0" w:leftChars="0" w:right="0" w:rightChars="0" w:firstLine="0" w:firstLineChars="0"/>
              <w:textAlignment w:val="auto"/>
              <w:rPr>
                <w:rFonts w:hint="default" w:ascii="Times New Roman" w:hAnsi="Times New Roman" w:eastAsia="宋体" w:cs="Times New Roman"/>
                <w:color w:val="auto"/>
                <w:kern w:val="2"/>
                <w:sz w:val="24"/>
                <w:szCs w:val="24"/>
                <w:lang w:val="zh-CN" w:eastAsia="zh-CN" w:bidi="ar-SA"/>
              </w:rPr>
            </w:pPr>
            <w:r>
              <w:rPr>
                <w:rFonts w:hint="default" w:ascii="Times New Roman" w:hAnsi="Times New Roman" w:eastAsia="宋体" w:cs="Times New Roman"/>
                <w:color w:val="auto"/>
                <w:sz w:val="24"/>
                <w:szCs w:val="24"/>
                <w:lang w:val="zh-CN" w:eastAsia="zh-CN"/>
              </w:rPr>
              <w:t>1.危废库防渗、围堰、分区存放</w:t>
            </w:r>
            <w:r>
              <w:rPr>
                <w:rFonts w:hint="eastAsia" w:ascii="Times New Roman" w:hAnsi="Times New Roman" w:eastAsia="宋体" w:cs="Times New Roman"/>
                <w:color w:val="auto"/>
                <w:sz w:val="24"/>
                <w:szCs w:val="24"/>
                <w:lang w:val="zh-CN" w:eastAsia="zh-CN"/>
              </w:rPr>
              <w:t>，</w:t>
            </w:r>
            <w:r>
              <w:rPr>
                <w:rFonts w:hint="default" w:ascii="Times New Roman" w:hAnsi="Times New Roman" w:eastAsia="宋体" w:cs="Times New Roman"/>
                <w:color w:val="auto"/>
                <w:sz w:val="24"/>
                <w:szCs w:val="24"/>
                <w:lang w:val="zh-CN" w:eastAsia="zh-CN"/>
              </w:rPr>
              <w:t>废机油放置接液托盘</w:t>
            </w:r>
            <w:r>
              <w:rPr>
                <w:rFonts w:hint="eastAsia" w:ascii="Times New Roman" w:hAnsi="Times New Roman" w:eastAsia="宋体" w:cs="Times New Roman"/>
                <w:color w:val="auto"/>
                <w:sz w:val="24"/>
                <w:szCs w:val="24"/>
                <w:lang w:val="zh-CN" w:eastAsia="zh-CN"/>
              </w:rPr>
              <w:t>，</w:t>
            </w:r>
            <w:r>
              <w:rPr>
                <w:rFonts w:hint="eastAsia"/>
                <w:color w:val="auto"/>
                <w:sz w:val="24"/>
                <w:szCs w:val="24"/>
                <w:lang w:val="en-US" w:eastAsia="zh-CN"/>
              </w:rPr>
              <w:t>UV光催化废灯管</w:t>
            </w:r>
            <w:r>
              <w:rPr>
                <w:rFonts w:hint="default" w:ascii="Times New Roman" w:hAnsi="Times New Roman" w:eastAsia="宋体" w:cs="Times New Roman"/>
                <w:color w:val="auto"/>
                <w:sz w:val="24"/>
                <w:szCs w:val="24"/>
                <w:lang w:val="zh-CN" w:eastAsia="zh-CN"/>
              </w:rPr>
              <w:t>采用硬质防碎容器单独存放，轻拿轻放；2.危废库严禁明火，配备灭火器、吸附棉、硫粉、个人防护用品；3.制定泄漏、破碎、火灾应急处置流程；4.编制突发环境事件应急预案，定期应急演练；5.危废全流程台账管理，厂内转运、自行合规处置。</w:t>
            </w:r>
            <w:r>
              <w:rPr>
                <w:rFonts w:hint="eastAsia" w:ascii="Times New Roman" w:hAnsi="Times New Roman" w:eastAsia="宋体" w:cs="Times New Roman"/>
                <w:color w:val="auto"/>
                <w:sz w:val="24"/>
                <w:szCs w:val="24"/>
                <w:lang w:val="en-US" w:eastAsia="zh-CN"/>
              </w:rPr>
              <w:t>全厂建设有1座容积为1000m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lang w:val="en-US" w:eastAsia="zh-CN"/>
              </w:rPr>
              <w:t>的事故水池兼顾消防废水收集池，1座容积为500m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lang w:val="en-US" w:eastAsia="zh-CN"/>
              </w:rPr>
              <w:t>的初期雨水收集池。</w:t>
            </w:r>
          </w:p>
        </w:tc>
      </w:tr>
      <w:tr w14:paraId="0608C3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594" w:type="pct"/>
            <w:noWrap w:val="0"/>
            <w:vAlign w:val="center"/>
          </w:tcPr>
          <w:p w14:paraId="7A2580E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其他环境管理要求</w:t>
            </w:r>
          </w:p>
        </w:tc>
        <w:tc>
          <w:tcPr>
            <w:tcW w:w="4405" w:type="pct"/>
            <w:gridSpan w:val="5"/>
            <w:noWrap w:val="0"/>
            <w:vAlign w:val="center"/>
          </w:tcPr>
          <w:p w14:paraId="6681BFB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无</w:t>
            </w:r>
          </w:p>
        </w:tc>
      </w:tr>
    </w:tbl>
    <w:p w14:paraId="5FF8F92C">
      <w:pPr>
        <w:pStyle w:val="21"/>
        <w:keepNext w:val="0"/>
        <w:keepLines w:val="0"/>
        <w:pageBreakBefore w:val="0"/>
        <w:kinsoku/>
        <w:overflowPunct/>
        <w:bidi w:val="0"/>
        <w:spacing w:before="0" w:beforeAutospacing="0" w:after="0" w:afterLines="0" w:afterAutospacing="0"/>
        <w:jc w:val="center"/>
        <w:textAlignment w:val="auto"/>
        <w:outlineLvl w:val="0"/>
        <w:rPr>
          <w:rFonts w:ascii="Times New Roman" w:hAnsi="Times New Roman" w:eastAsia="宋体"/>
          <w:snapToGrid w:val="0"/>
          <w:color w:val="auto"/>
          <w:sz w:val="30"/>
          <w:szCs w:val="30"/>
        </w:rPr>
      </w:pPr>
      <w:r>
        <w:rPr>
          <w:rFonts w:ascii="Times New Roman" w:hAnsi="Times New Roman" w:eastAsia="宋体"/>
          <w:snapToGrid w:val="0"/>
          <w:color w:val="auto"/>
        </w:rPr>
        <w:br w:type="page"/>
      </w:r>
      <w:r>
        <w:rPr>
          <w:rFonts w:ascii="Times New Roman" w:hAnsi="Times New Roman" w:eastAsia="宋体" w:cs="Times New Roman"/>
          <w:snapToGrid w:val="0"/>
          <w:color w:val="auto"/>
          <w:sz w:val="30"/>
          <w:szCs w:val="30"/>
        </w:rPr>
        <w:t>六、结论</w:t>
      </w:r>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F4747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5000" w:type="pct"/>
            <w:noWrap w:val="0"/>
            <w:vAlign w:val="top"/>
          </w:tcPr>
          <w:p w14:paraId="417FDF2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一、结论</w:t>
            </w:r>
          </w:p>
          <w:p w14:paraId="69FF74E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综上所述，本项目符合国家产业政策，选址合理。项目正常生产期间产生的废水、废气、噪声、固体废弃物经采取合理有效的治理措施后，均可达标排放，对周围环境影响较小。因此，从环保角度看，项目的建设是可行的。</w:t>
            </w:r>
          </w:p>
          <w:p w14:paraId="2840502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二、建议</w:t>
            </w:r>
          </w:p>
          <w:p w14:paraId="1F2E91E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1、在生产工艺确定的前提下，应选用机械化、自动化程度高的设备；在选购原料和新设备时，应注重设备的环保性能。</w:t>
            </w:r>
          </w:p>
          <w:p w14:paraId="276904D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2、进一步推行清洁生产，加强管理，严格执行有利于清洁生产的管理条例，实行对员工主动参与清洁生产的激励措施等。</w:t>
            </w:r>
          </w:p>
          <w:p w14:paraId="6A06A31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3、加强环保设施的维护和管理，保证设备正常运行。</w:t>
            </w:r>
          </w:p>
          <w:p w14:paraId="1987E9F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Lines="0" w:afterAutospacing="0" w:line="360" w:lineRule="auto"/>
              <w:ind w:left="0" w:right="0" w:firstLine="480" w:firstLineChars="200"/>
              <w:jc w:val="left"/>
              <w:textAlignment w:val="auto"/>
              <w:rPr>
                <w:rFonts w:hint="default" w:ascii="Times New Roman" w:hAnsi="Times New Roman" w:eastAsia="宋体"/>
                <w:color w:val="auto"/>
                <w:sz w:val="24"/>
              </w:rPr>
            </w:pPr>
            <w:r>
              <w:rPr>
                <w:rFonts w:hint="default" w:ascii="Times New Roman" w:hAnsi="Times New Roman" w:eastAsia="宋体" w:cs="Times New Roman"/>
                <w:color w:val="auto"/>
                <w:szCs w:val="21"/>
                <w:lang w:val="en-US" w:eastAsia="zh-CN"/>
              </w:rPr>
              <w:t>4、评价结论仅对以上的工程方案、建设规模、生产工艺及项目总体布局负责，若项目的工程方案、建设规模、生产工艺及项目总体布局发生大的变化时，应另行评价。</w:t>
            </w:r>
          </w:p>
        </w:tc>
      </w:tr>
    </w:tbl>
    <w:p w14:paraId="437975BB">
      <w:pPr>
        <w:pStyle w:val="21"/>
        <w:keepNext w:val="0"/>
        <w:keepLines w:val="0"/>
        <w:pageBreakBefore w:val="0"/>
        <w:kinsoku/>
        <w:overflowPunct/>
        <w:bidi w:val="0"/>
        <w:adjustRightInd w:val="0"/>
        <w:snapToGrid w:val="0"/>
        <w:spacing w:before="0" w:beforeAutospacing="0" w:after="0" w:afterLines="0" w:afterAutospacing="0"/>
        <w:textAlignment w:val="auto"/>
        <w:outlineLvl w:val="0"/>
        <w:rPr>
          <w:rFonts w:ascii="Times New Roman" w:hAnsi="Times New Roman" w:eastAsia="宋体"/>
          <w:snapToGrid w:val="0"/>
          <w:color w:val="auto"/>
          <w:sz w:val="32"/>
          <w:szCs w:val="32"/>
        </w:rPr>
        <w:sectPr>
          <w:footerReference r:id="rId8" w:type="default"/>
          <w:pgSz w:w="11906" w:h="16838"/>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p w14:paraId="2107B4BD">
      <w:pPr>
        <w:pStyle w:val="21"/>
        <w:keepNext w:val="0"/>
        <w:keepLines w:val="0"/>
        <w:pageBreakBefore w:val="0"/>
        <w:kinsoku/>
        <w:overflowPunct/>
        <w:bidi w:val="0"/>
        <w:adjustRightInd w:val="0"/>
        <w:snapToGrid w:val="0"/>
        <w:spacing w:before="0" w:beforeAutospacing="0" w:after="0" w:afterLines="0" w:afterAutospacing="0"/>
        <w:textAlignment w:val="auto"/>
        <w:outlineLvl w:val="0"/>
        <w:rPr>
          <w:rFonts w:ascii="Times New Roman" w:hAnsi="Times New Roman" w:eastAsia="宋体"/>
          <w:snapToGrid w:val="0"/>
          <w:color w:val="auto"/>
          <w:sz w:val="32"/>
          <w:szCs w:val="32"/>
        </w:rPr>
      </w:pPr>
      <w:r>
        <w:rPr>
          <w:rFonts w:ascii="Times New Roman" w:hAnsi="Times New Roman" w:eastAsia="宋体"/>
          <w:snapToGrid w:val="0"/>
          <w:color w:val="auto"/>
          <w:sz w:val="32"/>
          <w:szCs w:val="32"/>
        </w:rPr>
        <w:t>附表</w:t>
      </w:r>
    </w:p>
    <w:p w14:paraId="31FF28D7">
      <w:pPr>
        <w:pStyle w:val="21"/>
        <w:keepNext w:val="0"/>
        <w:keepLines w:val="0"/>
        <w:pageBreakBefore w:val="0"/>
        <w:widowControl/>
        <w:kinsoku/>
        <w:wordWrap/>
        <w:overflowPunct/>
        <w:topLinePunct w:val="0"/>
        <w:autoSpaceDE w:val="0"/>
        <w:autoSpaceDN w:val="0"/>
        <w:bidi w:val="0"/>
        <w:adjustRightInd w:val="0"/>
        <w:snapToGrid w:val="0"/>
        <w:spacing w:before="0" w:beforeAutospacing="0" w:after="0" w:afterLines="0" w:afterAutospacing="0"/>
        <w:jc w:val="center"/>
        <w:textAlignment w:val="auto"/>
        <w:outlineLvl w:val="9"/>
        <w:rPr>
          <w:rFonts w:ascii="Times New Roman" w:hAnsi="Times New Roman" w:eastAsia="宋体" w:cs="Times New Roman"/>
          <w:snapToGrid w:val="0"/>
          <w:color w:val="auto"/>
          <w:sz w:val="30"/>
          <w:szCs w:val="30"/>
        </w:rPr>
      </w:pPr>
      <w:r>
        <w:rPr>
          <w:rFonts w:ascii="Times New Roman" w:hAnsi="Times New Roman" w:eastAsia="宋体" w:cs="Times New Roman"/>
          <w:snapToGrid w:val="0"/>
          <w:color w:val="auto"/>
          <w:sz w:val="30"/>
          <w:szCs w:val="30"/>
        </w:rPr>
        <w:t>建设项目污染物排放量汇总表</w:t>
      </w:r>
    </w:p>
    <w:tbl>
      <w:tblPr>
        <w:tblStyle w:val="24"/>
        <w:tblW w:w="1443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36"/>
        <w:gridCol w:w="2069"/>
        <w:gridCol w:w="1701"/>
        <w:gridCol w:w="1276"/>
        <w:gridCol w:w="1701"/>
        <w:gridCol w:w="1559"/>
        <w:gridCol w:w="1880"/>
        <w:gridCol w:w="1996"/>
        <w:gridCol w:w="1314"/>
      </w:tblGrid>
      <w:tr w14:paraId="66DB1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tcBorders>
              <w:tl2br w:val="single" w:color="auto" w:sz="4" w:space="0"/>
            </w:tcBorders>
            <w:noWrap w:val="0"/>
            <w:tcMar>
              <w:left w:w="28" w:type="dxa"/>
              <w:right w:w="28" w:type="dxa"/>
            </w:tcMar>
            <w:vAlign w:val="center"/>
          </w:tcPr>
          <w:p w14:paraId="7AAD640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项目</w:t>
            </w:r>
          </w:p>
          <w:p w14:paraId="2270F48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p w14:paraId="29BF634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分类</w:t>
            </w:r>
          </w:p>
        </w:tc>
        <w:tc>
          <w:tcPr>
            <w:tcW w:w="2069" w:type="dxa"/>
            <w:noWrap w:val="0"/>
            <w:tcMar>
              <w:left w:w="28" w:type="dxa"/>
              <w:right w:w="28" w:type="dxa"/>
            </w:tcMar>
            <w:vAlign w:val="center"/>
          </w:tcPr>
          <w:p w14:paraId="7E2BC67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污染物名称</w:t>
            </w:r>
          </w:p>
        </w:tc>
        <w:tc>
          <w:tcPr>
            <w:tcW w:w="1701" w:type="dxa"/>
            <w:noWrap w:val="0"/>
            <w:tcMar>
              <w:left w:w="28" w:type="dxa"/>
              <w:right w:w="28" w:type="dxa"/>
            </w:tcMar>
            <w:vAlign w:val="center"/>
          </w:tcPr>
          <w:p w14:paraId="7426024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现有工程</w:t>
            </w:r>
          </w:p>
          <w:p w14:paraId="1E04E09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排放量（固体废物产生量）</w:t>
            </w:r>
            <w:r>
              <w:rPr>
                <w:rFonts w:hint="default" w:ascii="Times New Roman" w:hAnsi="Times New Roman" w:eastAsia="宋体" w:cs="Times New Roman"/>
                <w:b w:val="0"/>
                <w:bCs w:val="0"/>
                <w:color w:val="auto"/>
                <w:szCs w:val="21"/>
                <w:lang w:val="zh-CN" w:eastAsia="zh-CN"/>
              </w:rPr>
              <w:fldChar w:fldCharType="begin"/>
            </w:r>
            <w:r>
              <w:rPr>
                <w:rFonts w:hint="default" w:ascii="Times New Roman" w:hAnsi="Times New Roman" w:eastAsia="宋体" w:cs="Times New Roman"/>
                <w:b w:val="0"/>
                <w:bCs w:val="0"/>
                <w:color w:val="auto"/>
                <w:szCs w:val="21"/>
                <w:lang w:val="zh-CN" w:eastAsia="zh-CN"/>
              </w:rPr>
              <w:instrText xml:space="preserve"> = 1 \* GB3 \* MERGEFORMAT </w:instrText>
            </w:r>
            <w:r>
              <w:rPr>
                <w:rFonts w:hint="default" w:ascii="Times New Roman" w:hAnsi="Times New Roman" w:eastAsia="宋体" w:cs="Times New Roman"/>
                <w:b w:val="0"/>
                <w:bCs w:val="0"/>
                <w:color w:val="auto"/>
                <w:szCs w:val="21"/>
                <w:lang w:val="zh-CN" w:eastAsia="zh-CN"/>
              </w:rPr>
              <w:fldChar w:fldCharType="separate"/>
            </w:r>
            <w:r>
              <w:rPr>
                <w:rFonts w:hint="eastAsia" w:ascii="Times New Roman" w:hAnsi="Times New Roman" w:eastAsia="宋体" w:cs="Times New Roman"/>
                <w:b w:val="0"/>
                <w:bCs w:val="0"/>
                <w:color w:val="auto"/>
                <w:szCs w:val="21"/>
                <w:lang w:val="zh-CN" w:eastAsia="zh-CN"/>
              </w:rPr>
              <w:t>①</w:t>
            </w:r>
            <w:r>
              <w:rPr>
                <w:rFonts w:hint="default" w:ascii="Times New Roman" w:hAnsi="Times New Roman" w:eastAsia="宋体" w:cs="Times New Roman"/>
                <w:b w:val="0"/>
                <w:bCs w:val="0"/>
                <w:color w:val="auto"/>
                <w:szCs w:val="21"/>
                <w:lang w:val="zh-CN" w:eastAsia="zh-CN"/>
              </w:rPr>
              <w:fldChar w:fldCharType="end"/>
            </w:r>
          </w:p>
        </w:tc>
        <w:tc>
          <w:tcPr>
            <w:tcW w:w="1276" w:type="dxa"/>
            <w:noWrap w:val="0"/>
            <w:tcMar>
              <w:left w:w="28" w:type="dxa"/>
              <w:right w:w="28" w:type="dxa"/>
            </w:tcMar>
            <w:vAlign w:val="center"/>
          </w:tcPr>
          <w:p w14:paraId="38E7E31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现有工程</w:t>
            </w:r>
          </w:p>
          <w:p w14:paraId="578541F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许可排放量</w:t>
            </w:r>
          </w:p>
          <w:p w14:paraId="048F0A4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fldChar w:fldCharType="begin"/>
            </w:r>
            <w:r>
              <w:rPr>
                <w:rFonts w:hint="default" w:ascii="Times New Roman" w:hAnsi="Times New Roman" w:eastAsia="宋体" w:cs="Times New Roman"/>
                <w:b w:val="0"/>
                <w:bCs w:val="0"/>
                <w:color w:val="auto"/>
                <w:szCs w:val="21"/>
                <w:lang w:val="zh-CN" w:eastAsia="zh-CN"/>
              </w:rPr>
              <w:instrText xml:space="preserve"> = 2 \* GB3 \* MERGEFORMAT </w:instrText>
            </w:r>
            <w:r>
              <w:rPr>
                <w:rFonts w:hint="default" w:ascii="Times New Roman" w:hAnsi="Times New Roman" w:eastAsia="宋体" w:cs="Times New Roman"/>
                <w:b w:val="0"/>
                <w:bCs w:val="0"/>
                <w:color w:val="auto"/>
                <w:szCs w:val="21"/>
                <w:lang w:val="zh-CN" w:eastAsia="zh-CN"/>
              </w:rPr>
              <w:fldChar w:fldCharType="separate"/>
            </w:r>
            <w:r>
              <w:rPr>
                <w:rFonts w:hint="eastAsia" w:ascii="Times New Roman" w:hAnsi="Times New Roman" w:eastAsia="宋体" w:cs="Times New Roman"/>
                <w:b w:val="0"/>
                <w:bCs w:val="0"/>
                <w:color w:val="auto"/>
                <w:szCs w:val="21"/>
                <w:lang w:val="zh-CN" w:eastAsia="zh-CN"/>
              </w:rPr>
              <w:t>②</w:t>
            </w:r>
            <w:r>
              <w:rPr>
                <w:rFonts w:hint="default" w:ascii="Times New Roman" w:hAnsi="Times New Roman" w:eastAsia="宋体" w:cs="Times New Roman"/>
                <w:b w:val="0"/>
                <w:bCs w:val="0"/>
                <w:color w:val="auto"/>
                <w:szCs w:val="21"/>
                <w:lang w:val="zh-CN" w:eastAsia="zh-CN"/>
              </w:rPr>
              <w:fldChar w:fldCharType="end"/>
            </w:r>
          </w:p>
        </w:tc>
        <w:tc>
          <w:tcPr>
            <w:tcW w:w="1701" w:type="dxa"/>
            <w:noWrap w:val="0"/>
            <w:tcMar>
              <w:left w:w="28" w:type="dxa"/>
              <w:right w:w="28" w:type="dxa"/>
            </w:tcMar>
            <w:vAlign w:val="center"/>
          </w:tcPr>
          <w:p w14:paraId="77BE279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在建工程</w:t>
            </w:r>
          </w:p>
          <w:p w14:paraId="6AB9E82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排放量（固体废物产生量）</w:t>
            </w:r>
            <w:r>
              <w:rPr>
                <w:rFonts w:hint="default" w:ascii="Times New Roman" w:hAnsi="Times New Roman" w:eastAsia="宋体" w:cs="Times New Roman"/>
                <w:b w:val="0"/>
                <w:bCs w:val="0"/>
                <w:color w:val="auto"/>
                <w:szCs w:val="21"/>
                <w:lang w:val="zh-CN" w:eastAsia="zh-CN"/>
              </w:rPr>
              <w:fldChar w:fldCharType="begin"/>
            </w:r>
            <w:r>
              <w:rPr>
                <w:rFonts w:hint="default" w:ascii="Times New Roman" w:hAnsi="Times New Roman" w:eastAsia="宋体" w:cs="Times New Roman"/>
                <w:b w:val="0"/>
                <w:bCs w:val="0"/>
                <w:color w:val="auto"/>
                <w:szCs w:val="21"/>
                <w:lang w:val="zh-CN" w:eastAsia="zh-CN"/>
              </w:rPr>
              <w:instrText xml:space="preserve"> = 3 \* GB3 \* MERGEFORMAT </w:instrText>
            </w:r>
            <w:r>
              <w:rPr>
                <w:rFonts w:hint="default" w:ascii="Times New Roman" w:hAnsi="Times New Roman" w:eastAsia="宋体" w:cs="Times New Roman"/>
                <w:b w:val="0"/>
                <w:bCs w:val="0"/>
                <w:color w:val="auto"/>
                <w:szCs w:val="21"/>
                <w:lang w:val="zh-CN" w:eastAsia="zh-CN"/>
              </w:rPr>
              <w:fldChar w:fldCharType="separate"/>
            </w:r>
            <w:r>
              <w:rPr>
                <w:rFonts w:hint="eastAsia" w:ascii="Times New Roman" w:hAnsi="Times New Roman" w:eastAsia="宋体" w:cs="Times New Roman"/>
                <w:b w:val="0"/>
                <w:bCs w:val="0"/>
                <w:color w:val="auto"/>
                <w:szCs w:val="21"/>
                <w:lang w:val="zh-CN" w:eastAsia="zh-CN"/>
              </w:rPr>
              <w:t>③</w:t>
            </w:r>
            <w:r>
              <w:rPr>
                <w:rFonts w:hint="default" w:ascii="Times New Roman" w:hAnsi="Times New Roman" w:eastAsia="宋体" w:cs="Times New Roman"/>
                <w:b w:val="0"/>
                <w:bCs w:val="0"/>
                <w:color w:val="auto"/>
                <w:szCs w:val="21"/>
                <w:lang w:val="zh-CN" w:eastAsia="zh-CN"/>
              </w:rPr>
              <w:fldChar w:fldCharType="end"/>
            </w:r>
          </w:p>
        </w:tc>
        <w:tc>
          <w:tcPr>
            <w:tcW w:w="1559" w:type="dxa"/>
            <w:noWrap w:val="0"/>
            <w:tcMar>
              <w:left w:w="28" w:type="dxa"/>
              <w:right w:w="28" w:type="dxa"/>
            </w:tcMar>
            <w:vAlign w:val="center"/>
          </w:tcPr>
          <w:p w14:paraId="7D071DA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本项目</w:t>
            </w:r>
          </w:p>
          <w:p w14:paraId="73CC2F8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排放量（固体废物产生量）</w:t>
            </w:r>
            <w:r>
              <w:rPr>
                <w:rFonts w:hint="default" w:ascii="Times New Roman" w:hAnsi="Times New Roman" w:eastAsia="宋体" w:cs="Times New Roman"/>
                <w:b w:val="0"/>
                <w:bCs w:val="0"/>
                <w:color w:val="auto"/>
                <w:szCs w:val="21"/>
                <w:lang w:val="zh-CN" w:eastAsia="zh-CN"/>
              </w:rPr>
              <w:fldChar w:fldCharType="begin"/>
            </w:r>
            <w:r>
              <w:rPr>
                <w:rFonts w:hint="default" w:ascii="Times New Roman" w:hAnsi="Times New Roman" w:eastAsia="宋体" w:cs="Times New Roman"/>
                <w:b w:val="0"/>
                <w:bCs w:val="0"/>
                <w:color w:val="auto"/>
                <w:szCs w:val="21"/>
                <w:lang w:val="zh-CN" w:eastAsia="zh-CN"/>
              </w:rPr>
              <w:instrText xml:space="preserve"> = 4 \* GB3 \* MERGEFORMAT </w:instrText>
            </w:r>
            <w:r>
              <w:rPr>
                <w:rFonts w:hint="default" w:ascii="Times New Roman" w:hAnsi="Times New Roman" w:eastAsia="宋体" w:cs="Times New Roman"/>
                <w:b w:val="0"/>
                <w:bCs w:val="0"/>
                <w:color w:val="auto"/>
                <w:szCs w:val="21"/>
                <w:lang w:val="zh-CN" w:eastAsia="zh-CN"/>
              </w:rPr>
              <w:fldChar w:fldCharType="separate"/>
            </w:r>
            <w:r>
              <w:rPr>
                <w:rFonts w:hint="eastAsia" w:ascii="Times New Roman" w:hAnsi="Times New Roman" w:eastAsia="宋体" w:cs="Times New Roman"/>
                <w:b w:val="0"/>
                <w:bCs w:val="0"/>
                <w:color w:val="auto"/>
                <w:szCs w:val="21"/>
                <w:lang w:val="zh-CN" w:eastAsia="zh-CN"/>
              </w:rPr>
              <w:t>④</w:t>
            </w:r>
            <w:r>
              <w:rPr>
                <w:rFonts w:hint="default" w:ascii="Times New Roman" w:hAnsi="Times New Roman" w:eastAsia="宋体" w:cs="Times New Roman"/>
                <w:b w:val="0"/>
                <w:bCs w:val="0"/>
                <w:color w:val="auto"/>
                <w:szCs w:val="21"/>
                <w:lang w:val="zh-CN" w:eastAsia="zh-CN"/>
              </w:rPr>
              <w:fldChar w:fldCharType="end"/>
            </w:r>
          </w:p>
        </w:tc>
        <w:tc>
          <w:tcPr>
            <w:tcW w:w="1880" w:type="dxa"/>
            <w:noWrap w:val="0"/>
            <w:tcMar>
              <w:left w:w="28" w:type="dxa"/>
              <w:right w:w="28" w:type="dxa"/>
            </w:tcMar>
            <w:vAlign w:val="center"/>
          </w:tcPr>
          <w:p w14:paraId="03E4943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以新带老削减量</w:t>
            </w:r>
          </w:p>
          <w:p w14:paraId="19628AA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（新建项目不填）</w:t>
            </w:r>
            <w:r>
              <w:rPr>
                <w:rFonts w:hint="default" w:ascii="Times New Roman" w:hAnsi="Times New Roman" w:eastAsia="宋体" w:cs="Times New Roman"/>
                <w:b w:val="0"/>
                <w:bCs w:val="0"/>
                <w:color w:val="auto"/>
                <w:szCs w:val="21"/>
                <w:lang w:val="zh-CN" w:eastAsia="zh-CN"/>
              </w:rPr>
              <w:fldChar w:fldCharType="begin"/>
            </w:r>
            <w:r>
              <w:rPr>
                <w:rFonts w:hint="default" w:ascii="Times New Roman" w:hAnsi="Times New Roman" w:eastAsia="宋体" w:cs="Times New Roman"/>
                <w:b w:val="0"/>
                <w:bCs w:val="0"/>
                <w:color w:val="auto"/>
                <w:szCs w:val="21"/>
                <w:lang w:val="zh-CN" w:eastAsia="zh-CN"/>
              </w:rPr>
              <w:instrText xml:space="preserve"> = 5 \* GB3 \* MERGEFORMAT </w:instrText>
            </w:r>
            <w:r>
              <w:rPr>
                <w:rFonts w:hint="default" w:ascii="Times New Roman" w:hAnsi="Times New Roman" w:eastAsia="宋体" w:cs="Times New Roman"/>
                <w:b w:val="0"/>
                <w:bCs w:val="0"/>
                <w:color w:val="auto"/>
                <w:szCs w:val="21"/>
                <w:lang w:val="zh-CN" w:eastAsia="zh-CN"/>
              </w:rPr>
              <w:fldChar w:fldCharType="separate"/>
            </w:r>
            <w:r>
              <w:rPr>
                <w:rFonts w:hint="eastAsia" w:ascii="Times New Roman" w:hAnsi="Times New Roman" w:eastAsia="宋体" w:cs="Times New Roman"/>
                <w:b w:val="0"/>
                <w:bCs w:val="0"/>
                <w:color w:val="auto"/>
                <w:szCs w:val="21"/>
                <w:lang w:val="zh-CN" w:eastAsia="zh-CN"/>
              </w:rPr>
              <w:t>⑤</w:t>
            </w:r>
            <w:r>
              <w:rPr>
                <w:rFonts w:hint="default" w:ascii="Times New Roman" w:hAnsi="Times New Roman" w:eastAsia="宋体" w:cs="Times New Roman"/>
                <w:b w:val="0"/>
                <w:bCs w:val="0"/>
                <w:color w:val="auto"/>
                <w:szCs w:val="21"/>
                <w:lang w:val="zh-CN" w:eastAsia="zh-CN"/>
              </w:rPr>
              <w:fldChar w:fldCharType="end"/>
            </w:r>
          </w:p>
        </w:tc>
        <w:tc>
          <w:tcPr>
            <w:tcW w:w="1996" w:type="dxa"/>
            <w:noWrap w:val="0"/>
            <w:tcMar>
              <w:left w:w="28" w:type="dxa"/>
              <w:right w:w="28" w:type="dxa"/>
            </w:tcMar>
            <w:vAlign w:val="center"/>
          </w:tcPr>
          <w:p w14:paraId="3764C3B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本项目建成后</w:t>
            </w:r>
          </w:p>
          <w:p w14:paraId="624FBD9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全厂排放量（固体废物产生量）</w:t>
            </w:r>
            <w:r>
              <w:rPr>
                <w:rFonts w:hint="default" w:ascii="Times New Roman" w:hAnsi="Times New Roman" w:eastAsia="宋体" w:cs="Times New Roman"/>
                <w:b w:val="0"/>
                <w:bCs w:val="0"/>
                <w:color w:val="auto"/>
                <w:szCs w:val="21"/>
                <w:lang w:val="zh-CN" w:eastAsia="zh-CN"/>
              </w:rPr>
              <w:fldChar w:fldCharType="begin"/>
            </w:r>
            <w:r>
              <w:rPr>
                <w:rFonts w:hint="default" w:ascii="Times New Roman" w:hAnsi="Times New Roman" w:eastAsia="宋体" w:cs="Times New Roman"/>
                <w:b w:val="0"/>
                <w:bCs w:val="0"/>
                <w:color w:val="auto"/>
                <w:szCs w:val="21"/>
                <w:lang w:val="zh-CN" w:eastAsia="zh-CN"/>
              </w:rPr>
              <w:instrText xml:space="preserve"> = 6 \* GB3 \* MERGEFORMAT </w:instrText>
            </w:r>
            <w:r>
              <w:rPr>
                <w:rFonts w:hint="default" w:ascii="Times New Roman" w:hAnsi="Times New Roman" w:eastAsia="宋体" w:cs="Times New Roman"/>
                <w:b w:val="0"/>
                <w:bCs w:val="0"/>
                <w:color w:val="auto"/>
                <w:szCs w:val="21"/>
                <w:lang w:val="zh-CN" w:eastAsia="zh-CN"/>
              </w:rPr>
              <w:fldChar w:fldCharType="separate"/>
            </w:r>
            <w:r>
              <w:rPr>
                <w:rFonts w:hint="eastAsia" w:ascii="Times New Roman" w:hAnsi="Times New Roman" w:eastAsia="宋体" w:cs="Times New Roman"/>
                <w:b w:val="0"/>
                <w:bCs w:val="0"/>
                <w:color w:val="auto"/>
                <w:szCs w:val="21"/>
                <w:lang w:val="zh-CN" w:eastAsia="zh-CN"/>
              </w:rPr>
              <w:t>⑥</w:t>
            </w:r>
            <w:r>
              <w:rPr>
                <w:rFonts w:hint="default" w:ascii="Times New Roman" w:hAnsi="Times New Roman" w:eastAsia="宋体" w:cs="Times New Roman"/>
                <w:b w:val="0"/>
                <w:bCs w:val="0"/>
                <w:color w:val="auto"/>
                <w:szCs w:val="21"/>
                <w:lang w:val="zh-CN" w:eastAsia="zh-CN"/>
              </w:rPr>
              <w:fldChar w:fldCharType="end"/>
            </w:r>
          </w:p>
        </w:tc>
        <w:tc>
          <w:tcPr>
            <w:tcW w:w="1314" w:type="dxa"/>
            <w:noWrap w:val="0"/>
            <w:tcMar>
              <w:left w:w="28" w:type="dxa"/>
              <w:right w:w="28" w:type="dxa"/>
            </w:tcMar>
            <w:vAlign w:val="center"/>
          </w:tcPr>
          <w:p w14:paraId="72FCCE8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变化量</w:t>
            </w:r>
          </w:p>
          <w:p w14:paraId="6CFAB0E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fldChar w:fldCharType="begin"/>
            </w:r>
            <w:r>
              <w:rPr>
                <w:rFonts w:hint="default" w:ascii="Times New Roman" w:hAnsi="Times New Roman" w:eastAsia="宋体" w:cs="Times New Roman"/>
                <w:b w:val="0"/>
                <w:bCs w:val="0"/>
                <w:color w:val="auto"/>
                <w:szCs w:val="21"/>
                <w:lang w:val="zh-CN" w:eastAsia="zh-CN"/>
              </w:rPr>
              <w:instrText xml:space="preserve"> = 7 \* GB3 \* MERGEFORMAT </w:instrText>
            </w:r>
            <w:r>
              <w:rPr>
                <w:rFonts w:hint="default" w:ascii="Times New Roman" w:hAnsi="Times New Roman" w:eastAsia="宋体" w:cs="Times New Roman"/>
                <w:b w:val="0"/>
                <w:bCs w:val="0"/>
                <w:color w:val="auto"/>
                <w:szCs w:val="21"/>
                <w:lang w:val="zh-CN" w:eastAsia="zh-CN"/>
              </w:rPr>
              <w:fldChar w:fldCharType="separate"/>
            </w:r>
            <w:r>
              <w:rPr>
                <w:rFonts w:hint="eastAsia" w:ascii="Times New Roman" w:hAnsi="Times New Roman" w:eastAsia="宋体" w:cs="Times New Roman"/>
                <w:b w:val="0"/>
                <w:bCs w:val="0"/>
                <w:color w:val="auto"/>
                <w:szCs w:val="21"/>
                <w:lang w:val="zh-CN" w:eastAsia="zh-CN"/>
              </w:rPr>
              <w:t>⑦</w:t>
            </w:r>
            <w:r>
              <w:rPr>
                <w:rFonts w:hint="default" w:ascii="Times New Roman" w:hAnsi="Times New Roman" w:eastAsia="宋体" w:cs="Times New Roman"/>
                <w:b w:val="0"/>
                <w:bCs w:val="0"/>
                <w:color w:val="auto"/>
                <w:szCs w:val="21"/>
                <w:lang w:val="zh-CN" w:eastAsia="zh-CN"/>
              </w:rPr>
              <w:fldChar w:fldCharType="end"/>
            </w:r>
          </w:p>
        </w:tc>
      </w:tr>
      <w:tr w14:paraId="3A3048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restart"/>
            <w:noWrap w:val="0"/>
            <w:vAlign w:val="center"/>
          </w:tcPr>
          <w:p w14:paraId="11597A0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废气</w:t>
            </w:r>
          </w:p>
        </w:tc>
        <w:tc>
          <w:tcPr>
            <w:tcW w:w="2069" w:type="dxa"/>
            <w:noWrap w:val="0"/>
            <w:vAlign w:val="center"/>
          </w:tcPr>
          <w:p w14:paraId="55E49BD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非甲烷总烃</w:t>
            </w:r>
          </w:p>
        </w:tc>
        <w:tc>
          <w:tcPr>
            <w:tcW w:w="1701" w:type="dxa"/>
            <w:noWrap w:val="0"/>
            <w:vAlign w:val="center"/>
          </w:tcPr>
          <w:p w14:paraId="6139E66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276" w:type="dxa"/>
            <w:noWrap w:val="0"/>
            <w:vAlign w:val="center"/>
          </w:tcPr>
          <w:p w14:paraId="666A20C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701" w:type="dxa"/>
            <w:noWrap w:val="0"/>
            <w:vAlign w:val="center"/>
          </w:tcPr>
          <w:p w14:paraId="67E9204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559" w:type="dxa"/>
            <w:noWrap w:val="0"/>
            <w:vAlign w:val="center"/>
          </w:tcPr>
          <w:p w14:paraId="4C1658D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0.596</w:t>
            </w:r>
            <w:r>
              <w:rPr>
                <w:rFonts w:hint="eastAsia" w:ascii="Times New Roman" w:hAnsi="Times New Roman" w:eastAsia="宋体" w:cs="Times New Roman"/>
                <w:b w:val="0"/>
                <w:bCs w:val="0"/>
                <w:color w:val="auto"/>
                <w:szCs w:val="21"/>
                <w:lang w:val="en-US" w:eastAsia="zh-CN"/>
              </w:rPr>
              <w:t>t/a</w:t>
            </w:r>
          </w:p>
        </w:tc>
        <w:tc>
          <w:tcPr>
            <w:tcW w:w="1880" w:type="dxa"/>
            <w:noWrap w:val="0"/>
            <w:vAlign w:val="center"/>
          </w:tcPr>
          <w:p w14:paraId="5A99642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996" w:type="dxa"/>
            <w:noWrap w:val="0"/>
            <w:vAlign w:val="center"/>
          </w:tcPr>
          <w:p w14:paraId="503A9A1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cs="Times New Roman"/>
                <w:b w:val="0"/>
                <w:bCs w:val="0"/>
                <w:color w:val="auto"/>
                <w:szCs w:val="21"/>
                <w:lang w:val="en-US" w:eastAsia="zh-CN"/>
              </w:rPr>
              <w:t>0.596</w:t>
            </w:r>
            <w:r>
              <w:rPr>
                <w:rFonts w:hint="eastAsia" w:ascii="Times New Roman" w:hAnsi="Times New Roman" w:eastAsia="宋体" w:cs="Times New Roman"/>
                <w:b w:val="0"/>
                <w:bCs w:val="0"/>
                <w:color w:val="auto"/>
                <w:szCs w:val="21"/>
                <w:lang w:val="en-US" w:eastAsia="zh-CN"/>
              </w:rPr>
              <w:t>t/a</w:t>
            </w:r>
          </w:p>
        </w:tc>
        <w:tc>
          <w:tcPr>
            <w:tcW w:w="1314" w:type="dxa"/>
            <w:noWrap w:val="0"/>
            <w:vAlign w:val="center"/>
          </w:tcPr>
          <w:p w14:paraId="28F41D2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cs="Times New Roman"/>
                <w:b w:val="0"/>
                <w:bCs w:val="0"/>
                <w:color w:val="auto"/>
                <w:szCs w:val="21"/>
                <w:lang w:val="en-US" w:eastAsia="zh-CN"/>
              </w:rPr>
              <w:t>+0.596</w:t>
            </w:r>
            <w:r>
              <w:rPr>
                <w:rFonts w:hint="eastAsia" w:ascii="Times New Roman" w:hAnsi="Times New Roman" w:eastAsia="宋体" w:cs="Times New Roman"/>
                <w:b w:val="0"/>
                <w:bCs w:val="0"/>
                <w:color w:val="auto"/>
                <w:szCs w:val="21"/>
                <w:lang w:val="en-US" w:eastAsia="zh-CN"/>
              </w:rPr>
              <w:t>t/a</w:t>
            </w:r>
          </w:p>
        </w:tc>
      </w:tr>
      <w:tr w14:paraId="453BC3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continue"/>
            <w:noWrap w:val="0"/>
            <w:vAlign w:val="center"/>
          </w:tcPr>
          <w:p w14:paraId="034C466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tc>
        <w:tc>
          <w:tcPr>
            <w:tcW w:w="2069" w:type="dxa"/>
            <w:noWrap w:val="0"/>
            <w:vAlign w:val="center"/>
          </w:tcPr>
          <w:p w14:paraId="1D19334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颗粒物</w:t>
            </w:r>
          </w:p>
        </w:tc>
        <w:tc>
          <w:tcPr>
            <w:tcW w:w="1701" w:type="dxa"/>
            <w:noWrap w:val="0"/>
            <w:vAlign w:val="center"/>
          </w:tcPr>
          <w:p w14:paraId="7B9599B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276" w:type="dxa"/>
            <w:noWrap w:val="0"/>
            <w:vAlign w:val="center"/>
          </w:tcPr>
          <w:p w14:paraId="786CE1A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701" w:type="dxa"/>
            <w:noWrap w:val="0"/>
            <w:vAlign w:val="center"/>
          </w:tcPr>
          <w:p w14:paraId="77A3F45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559" w:type="dxa"/>
            <w:noWrap w:val="0"/>
            <w:vAlign w:val="center"/>
          </w:tcPr>
          <w:p w14:paraId="271DB8D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1.032</w:t>
            </w:r>
            <w:r>
              <w:rPr>
                <w:rFonts w:hint="eastAsia" w:ascii="Times New Roman" w:hAnsi="Times New Roman" w:eastAsia="宋体" w:cs="Times New Roman"/>
                <w:b w:val="0"/>
                <w:bCs w:val="0"/>
                <w:color w:val="auto"/>
                <w:szCs w:val="21"/>
                <w:lang w:val="en-US" w:eastAsia="zh-CN"/>
              </w:rPr>
              <w:t>t/a</w:t>
            </w:r>
          </w:p>
        </w:tc>
        <w:tc>
          <w:tcPr>
            <w:tcW w:w="1880" w:type="dxa"/>
            <w:noWrap w:val="0"/>
            <w:vAlign w:val="center"/>
          </w:tcPr>
          <w:p w14:paraId="3843007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996" w:type="dxa"/>
            <w:noWrap w:val="0"/>
            <w:vAlign w:val="center"/>
          </w:tcPr>
          <w:p w14:paraId="39BD44E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cs="Times New Roman"/>
                <w:b w:val="0"/>
                <w:bCs w:val="0"/>
                <w:color w:val="auto"/>
                <w:szCs w:val="21"/>
                <w:lang w:val="en-US" w:eastAsia="zh-CN"/>
              </w:rPr>
              <w:t>1.032</w:t>
            </w:r>
            <w:r>
              <w:rPr>
                <w:rFonts w:hint="eastAsia" w:ascii="Times New Roman" w:hAnsi="Times New Roman" w:eastAsia="宋体" w:cs="Times New Roman"/>
                <w:b w:val="0"/>
                <w:bCs w:val="0"/>
                <w:color w:val="auto"/>
                <w:szCs w:val="21"/>
                <w:lang w:val="en-US" w:eastAsia="zh-CN"/>
              </w:rPr>
              <w:t>t/a</w:t>
            </w:r>
          </w:p>
        </w:tc>
        <w:tc>
          <w:tcPr>
            <w:tcW w:w="1314" w:type="dxa"/>
            <w:noWrap w:val="0"/>
            <w:vAlign w:val="center"/>
          </w:tcPr>
          <w:p w14:paraId="5457CCD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cs="Times New Roman"/>
                <w:b w:val="0"/>
                <w:bCs w:val="0"/>
                <w:color w:val="auto"/>
                <w:szCs w:val="21"/>
                <w:lang w:val="en-US" w:eastAsia="zh-CN"/>
              </w:rPr>
              <w:t>+1.032</w:t>
            </w:r>
            <w:r>
              <w:rPr>
                <w:rFonts w:hint="eastAsia" w:ascii="Times New Roman" w:hAnsi="Times New Roman" w:eastAsia="宋体" w:cs="Times New Roman"/>
                <w:b w:val="0"/>
                <w:bCs w:val="0"/>
                <w:color w:val="auto"/>
                <w:szCs w:val="21"/>
                <w:lang w:val="en-US" w:eastAsia="zh-CN"/>
              </w:rPr>
              <w:t>t/a</w:t>
            </w:r>
          </w:p>
        </w:tc>
      </w:tr>
      <w:tr w14:paraId="1E2C32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restart"/>
            <w:noWrap w:val="0"/>
            <w:vAlign w:val="center"/>
          </w:tcPr>
          <w:p w14:paraId="6F4E0F3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废水</w:t>
            </w:r>
          </w:p>
        </w:tc>
        <w:tc>
          <w:tcPr>
            <w:tcW w:w="2069" w:type="dxa"/>
            <w:noWrap w:val="0"/>
            <w:vAlign w:val="center"/>
          </w:tcPr>
          <w:p w14:paraId="628DB50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COD</w:t>
            </w:r>
          </w:p>
        </w:tc>
        <w:tc>
          <w:tcPr>
            <w:tcW w:w="1701" w:type="dxa"/>
            <w:noWrap w:val="0"/>
            <w:vAlign w:val="center"/>
          </w:tcPr>
          <w:p w14:paraId="23DF49F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276" w:type="dxa"/>
            <w:noWrap w:val="0"/>
            <w:vAlign w:val="center"/>
          </w:tcPr>
          <w:p w14:paraId="7ACC12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701" w:type="dxa"/>
            <w:noWrap w:val="0"/>
            <w:vAlign w:val="center"/>
          </w:tcPr>
          <w:p w14:paraId="0E27AC8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559" w:type="dxa"/>
            <w:noWrap w:val="0"/>
            <w:vAlign w:val="center"/>
          </w:tcPr>
          <w:p w14:paraId="780A8D0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880" w:type="dxa"/>
            <w:noWrap w:val="0"/>
            <w:vAlign w:val="center"/>
          </w:tcPr>
          <w:p w14:paraId="3329112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996" w:type="dxa"/>
            <w:noWrap w:val="0"/>
            <w:vAlign w:val="center"/>
          </w:tcPr>
          <w:p w14:paraId="2028F66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314" w:type="dxa"/>
            <w:noWrap w:val="0"/>
            <w:vAlign w:val="center"/>
          </w:tcPr>
          <w:p w14:paraId="5B228CF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r>
      <w:tr w14:paraId="2DBA73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continue"/>
            <w:noWrap w:val="0"/>
            <w:vAlign w:val="center"/>
          </w:tcPr>
          <w:p w14:paraId="74E37C3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tc>
        <w:tc>
          <w:tcPr>
            <w:tcW w:w="2069" w:type="dxa"/>
            <w:noWrap w:val="0"/>
            <w:vAlign w:val="center"/>
          </w:tcPr>
          <w:p w14:paraId="153C676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SS</w:t>
            </w:r>
          </w:p>
        </w:tc>
        <w:tc>
          <w:tcPr>
            <w:tcW w:w="1701" w:type="dxa"/>
            <w:noWrap w:val="0"/>
            <w:vAlign w:val="center"/>
          </w:tcPr>
          <w:p w14:paraId="3306E0E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276" w:type="dxa"/>
            <w:noWrap w:val="0"/>
            <w:vAlign w:val="center"/>
          </w:tcPr>
          <w:p w14:paraId="771755D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701" w:type="dxa"/>
            <w:noWrap w:val="0"/>
            <w:vAlign w:val="center"/>
          </w:tcPr>
          <w:p w14:paraId="7DAF5D8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559" w:type="dxa"/>
            <w:noWrap w:val="0"/>
            <w:vAlign w:val="center"/>
          </w:tcPr>
          <w:p w14:paraId="5C307D2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880" w:type="dxa"/>
            <w:noWrap w:val="0"/>
            <w:vAlign w:val="center"/>
          </w:tcPr>
          <w:p w14:paraId="21BCDE1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996" w:type="dxa"/>
            <w:noWrap w:val="0"/>
            <w:vAlign w:val="center"/>
          </w:tcPr>
          <w:p w14:paraId="5CEFDAA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314" w:type="dxa"/>
            <w:noWrap w:val="0"/>
            <w:vAlign w:val="center"/>
          </w:tcPr>
          <w:p w14:paraId="1985629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r>
      <w:tr w14:paraId="5DCA78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continue"/>
            <w:noWrap w:val="0"/>
            <w:vAlign w:val="center"/>
          </w:tcPr>
          <w:p w14:paraId="4CBBC53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tc>
        <w:tc>
          <w:tcPr>
            <w:tcW w:w="2069" w:type="dxa"/>
            <w:noWrap w:val="0"/>
            <w:vAlign w:val="center"/>
          </w:tcPr>
          <w:p w14:paraId="61C9002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NH</w:t>
            </w:r>
            <w:r>
              <w:rPr>
                <w:rFonts w:hint="default" w:ascii="Times New Roman" w:hAnsi="Times New Roman" w:eastAsia="宋体" w:cs="Times New Roman"/>
                <w:b w:val="0"/>
                <w:bCs w:val="0"/>
                <w:color w:val="auto"/>
                <w:szCs w:val="21"/>
                <w:vertAlign w:val="subscript"/>
                <w:lang w:val="zh-CN" w:eastAsia="zh-CN"/>
              </w:rPr>
              <w:t>3</w:t>
            </w:r>
            <w:r>
              <w:rPr>
                <w:rFonts w:hint="default" w:ascii="Times New Roman" w:hAnsi="Times New Roman" w:eastAsia="宋体" w:cs="Times New Roman"/>
                <w:b w:val="0"/>
                <w:bCs w:val="0"/>
                <w:color w:val="auto"/>
                <w:szCs w:val="21"/>
                <w:lang w:val="zh-CN" w:eastAsia="zh-CN"/>
              </w:rPr>
              <w:t>-N</w:t>
            </w:r>
          </w:p>
        </w:tc>
        <w:tc>
          <w:tcPr>
            <w:tcW w:w="1701" w:type="dxa"/>
            <w:noWrap w:val="0"/>
            <w:vAlign w:val="center"/>
          </w:tcPr>
          <w:p w14:paraId="70428A8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276" w:type="dxa"/>
            <w:noWrap w:val="0"/>
            <w:vAlign w:val="center"/>
          </w:tcPr>
          <w:p w14:paraId="1A1D49C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701" w:type="dxa"/>
            <w:noWrap w:val="0"/>
            <w:vAlign w:val="center"/>
          </w:tcPr>
          <w:p w14:paraId="62213E5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559" w:type="dxa"/>
            <w:noWrap w:val="0"/>
            <w:vAlign w:val="center"/>
          </w:tcPr>
          <w:p w14:paraId="092F329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880" w:type="dxa"/>
            <w:noWrap w:val="0"/>
            <w:vAlign w:val="center"/>
          </w:tcPr>
          <w:p w14:paraId="75E2577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996" w:type="dxa"/>
            <w:noWrap w:val="0"/>
            <w:vAlign w:val="center"/>
          </w:tcPr>
          <w:p w14:paraId="47CAD85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314" w:type="dxa"/>
            <w:noWrap w:val="0"/>
            <w:vAlign w:val="center"/>
          </w:tcPr>
          <w:p w14:paraId="36BC6A3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r>
      <w:tr w14:paraId="6E570E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continue"/>
            <w:noWrap w:val="0"/>
            <w:vAlign w:val="center"/>
          </w:tcPr>
          <w:p w14:paraId="44259EB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tc>
        <w:tc>
          <w:tcPr>
            <w:tcW w:w="2069" w:type="dxa"/>
            <w:noWrap w:val="0"/>
            <w:vAlign w:val="center"/>
          </w:tcPr>
          <w:p w14:paraId="7DD882A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en-US" w:eastAsia="zh-CN"/>
              </w:rPr>
              <w:t>BOD</w:t>
            </w:r>
            <w:r>
              <w:rPr>
                <w:rFonts w:hint="default" w:ascii="Times New Roman" w:hAnsi="Times New Roman" w:eastAsia="宋体" w:cs="Times New Roman"/>
                <w:b w:val="0"/>
                <w:bCs w:val="0"/>
                <w:color w:val="auto"/>
                <w:szCs w:val="21"/>
                <w:vertAlign w:val="subscript"/>
                <w:lang w:val="en-US" w:eastAsia="zh-CN"/>
              </w:rPr>
              <w:t>5</w:t>
            </w:r>
          </w:p>
        </w:tc>
        <w:tc>
          <w:tcPr>
            <w:tcW w:w="1701" w:type="dxa"/>
            <w:noWrap w:val="0"/>
            <w:vAlign w:val="center"/>
          </w:tcPr>
          <w:p w14:paraId="30D48E9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276" w:type="dxa"/>
            <w:noWrap w:val="0"/>
            <w:vAlign w:val="center"/>
          </w:tcPr>
          <w:p w14:paraId="02F879A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701" w:type="dxa"/>
            <w:noWrap w:val="0"/>
            <w:vAlign w:val="center"/>
          </w:tcPr>
          <w:p w14:paraId="4BD35B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559" w:type="dxa"/>
            <w:noWrap w:val="0"/>
            <w:vAlign w:val="center"/>
          </w:tcPr>
          <w:p w14:paraId="043CC11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880" w:type="dxa"/>
            <w:noWrap w:val="0"/>
            <w:vAlign w:val="center"/>
          </w:tcPr>
          <w:p w14:paraId="5BA59DB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996" w:type="dxa"/>
            <w:noWrap w:val="0"/>
            <w:vAlign w:val="center"/>
          </w:tcPr>
          <w:p w14:paraId="266BB6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314" w:type="dxa"/>
            <w:noWrap w:val="0"/>
            <w:vAlign w:val="center"/>
          </w:tcPr>
          <w:p w14:paraId="6AAAA2E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r>
      <w:tr w14:paraId="31C0E8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restart"/>
            <w:noWrap w:val="0"/>
            <w:vAlign w:val="center"/>
          </w:tcPr>
          <w:p w14:paraId="209B44D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一般工业固体废物</w:t>
            </w:r>
          </w:p>
        </w:tc>
        <w:tc>
          <w:tcPr>
            <w:tcW w:w="2069" w:type="dxa"/>
            <w:noWrap w:val="0"/>
            <w:vAlign w:val="center"/>
          </w:tcPr>
          <w:p w14:paraId="398E48C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en-US" w:eastAsia="zh-CN"/>
              </w:rPr>
              <w:t>塑料生产废料</w:t>
            </w:r>
          </w:p>
        </w:tc>
        <w:tc>
          <w:tcPr>
            <w:tcW w:w="1701" w:type="dxa"/>
            <w:noWrap w:val="0"/>
            <w:vAlign w:val="center"/>
          </w:tcPr>
          <w:p w14:paraId="4357921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276" w:type="dxa"/>
            <w:noWrap w:val="0"/>
            <w:vAlign w:val="center"/>
          </w:tcPr>
          <w:p w14:paraId="6D77E20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701" w:type="dxa"/>
            <w:noWrap w:val="0"/>
            <w:vAlign w:val="center"/>
          </w:tcPr>
          <w:p w14:paraId="6F9A700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559" w:type="dxa"/>
            <w:noWrap w:val="0"/>
            <w:vAlign w:val="center"/>
          </w:tcPr>
          <w:p w14:paraId="2CF2022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272t/a</w:t>
            </w:r>
          </w:p>
        </w:tc>
        <w:tc>
          <w:tcPr>
            <w:tcW w:w="1880" w:type="dxa"/>
            <w:noWrap w:val="0"/>
            <w:vAlign w:val="center"/>
          </w:tcPr>
          <w:p w14:paraId="3E2E26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996" w:type="dxa"/>
            <w:noWrap w:val="0"/>
            <w:vAlign w:val="center"/>
          </w:tcPr>
          <w:p w14:paraId="67BC91D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272t/a</w:t>
            </w:r>
          </w:p>
        </w:tc>
        <w:tc>
          <w:tcPr>
            <w:tcW w:w="1314" w:type="dxa"/>
            <w:noWrap w:val="0"/>
            <w:vAlign w:val="center"/>
          </w:tcPr>
          <w:p w14:paraId="00C44E5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b w:val="0"/>
                <w:bCs w:val="0"/>
                <w:color w:val="auto"/>
                <w:szCs w:val="21"/>
                <w:lang w:val="en-US" w:eastAsia="zh-CN"/>
              </w:rPr>
              <w:t>272t/a</w:t>
            </w:r>
          </w:p>
        </w:tc>
      </w:tr>
      <w:tr w14:paraId="2CBBD2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continue"/>
            <w:noWrap w:val="0"/>
            <w:vAlign w:val="center"/>
          </w:tcPr>
          <w:p w14:paraId="776CAFE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tc>
        <w:tc>
          <w:tcPr>
            <w:tcW w:w="2069" w:type="dxa"/>
            <w:noWrap w:val="0"/>
            <w:vAlign w:val="center"/>
          </w:tcPr>
          <w:p w14:paraId="67E390D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en-US" w:eastAsia="zh-CN"/>
              </w:rPr>
              <w:t>钢材切割废料</w:t>
            </w:r>
          </w:p>
        </w:tc>
        <w:tc>
          <w:tcPr>
            <w:tcW w:w="1701" w:type="dxa"/>
            <w:noWrap w:val="0"/>
            <w:vAlign w:val="center"/>
          </w:tcPr>
          <w:p w14:paraId="55E3168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276" w:type="dxa"/>
            <w:noWrap w:val="0"/>
            <w:vAlign w:val="center"/>
          </w:tcPr>
          <w:p w14:paraId="345C136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701" w:type="dxa"/>
            <w:noWrap w:val="0"/>
            <w:vAlign w:val="center"/>
          </w:tcPr>
          <w:p w14:paraId="39B4B8B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559" w:type="dxa"/>
            <w:noWrap w:val="0"/>
            <w:vAlign w:val="center"/>
          </w:tcPr>
          <w:p w14:paraId="403674B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320t/a</w:t>
            </w:r>
          </w:p>
        </w:tc>
        <w:tc>
          <w:tcPr>
            <w:tcW w:w="1880" w:type="dxa"/>
            <w:noWrap w:val="0"/>
            <w:vAlign w:val="center"/>
          </w:tcPr>
          <w:p w14:paraId="4A68946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996" w:type="dxa"/>
            <w:noWrap w:val="0"/>
            <w:vAlign w:val="center"/>
          </w:tcPr>
          <w:p w14:paraId="0509DBC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320t/a</w:t>
            </w:r>
          </w:p>
        </w:tc>
        <w:tc>
          <w:tcPr>
            <w:tcW w:w="1314" w:type="dxa"/>
            <w:noWrap w:val="0"/>
            <w:vAlign w:val="center"/>
          </w:tcPr>
          <w:p w14:paraId="37E988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b w:val="0"/>
                <w:bCs w:val="0"/>
                <w:color w:val="auto"/>
                <w:szCs w:val="21"/>
                <w:lang w:val="en-US" w:eastAsia="zh-CN"/>
              </w:rPr>
              <w:t>320t/a</w:t>
            </w:r>
          </w:p>
        </w:tc>
      </w:tr>
      <w:tr w14:paraId="0DE779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continue"/>
            <w:noWrap w:val="0"/>
            <w:vAlign w:val="center"/>
          </w:tcPr>
          <w:p w14:paraId="690ADB1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tc>
        <w:tc>
          <w:tcPr>
            <w:tcW w:w="2069" w:type="dxa"/>
            <w:noWrap w:val="0"/>
            <w:vAlign w:val="center"/>
          </w:tcPr>
          <w:p w14:paraId="4A7FAFC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en-US" w:eastAsia="zh-CN"/>
              </w:rPr>
              <w:t>除尘器收集粉尘</w:t>
            </w:r>
          </w:p>
        </w:tc>
        <w:tc>
          <w:tcPr>
            <w:tcW w:w="1701" w:type="dxa"/>
            <w:noWrap w:val="0"/>
            <w:vAlign w:val="center"/>
          </w:tcPr>
          <w:p w14:paraId="5C50F76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276" w:type="dxa"/>
            <w:noWrap w:val="0"/>
            <w:vAlign w:val="center"/>
          </w:tcPr>
          <w:p w14:paraId="1212520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701" w:type="dxa"/>
            <w:noWrap w:val="0"/>
            <w:vAlign w:val="center"/>
          </w:tcPr>
          <w:p w14:paraId="5B6F4DA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559" w:type="dxa"/>
            <w:noWrap w:val="0"/>
            <w:vAlign w:val="center"/>
          </w:tcPr>
          <w:p w14:paraId="4FCD16B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18t/a</w:t>
            </w:r>
          </w:p>
        </w:tc>
        <w:tc>
          <w:tcPr>
            <w:tcW w:w="1880" w:type="dxa"/>
            <w:noWrap w:val="0"/>
            <w:vAlign w:val="center"/>
          </w:tcPr>
          <w:p w14:paraId="0D40792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996" w:type="dxa"/>
            <w:noWrap w:val="0"/>
            <w:vAlign w:val="center"/>
          </w:tcPr>
          <w:p w14:paraId="1CE0A05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18t/a</w:t>
            </w:r>
          </w:p>
        </w:tc>
        <w:tc>
          <w:tcPr>
            <w:tcW w:w="1314" w:type="dxa"/>
            <w:noWrap w:val="0"/>
            <w:vAlign w:val="center"/>
          </w:tcPr>
          <w:p w14:paraId="043F1F3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b w:val="0"/>
                <w:bCs w:val="0"/>
                <w:color w:val="auto"/>
                <w:szCs w:val="21"/>
                <w:lang w:val="en-US" w:eastAsia="zh-CN"/>
              </w:rPr>
              <w:t>18t/a</w:t>
            </w:r>
          </w:p>
        </w:tc>
      </w:tr>
      <w:tr w14:paraId="1B4430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continue"/>
            <w:noWrap w:val="0"/>
            <w:vAlign w:val="center"/>
          </w:tcPr>
          <w:p w14:paraId="76C41B5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tc>
        <w:tc>
          <w:tcPr>
            <w:tcW w:w="2069" w:type="dxa"/>
            <w:noWrap w:val="0"/>
            <w:vAlign w:val="center"/>
          </w:tcPr>
          <w:p w14:paraId="65467BF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生活垃圾</w:t>
            </w:r>
          </w:p>
        </w:tc>
        <w:tc>
          <w:tcPr>
            <w:tcW w:w="1701" w:type="dxa"/>
            <w:noWrap w:val="0"/>
            <w:vAlign w:val="center"/>
          </w:tcPr>
          <w:p w14:paraId="4CBBBD9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276" w:type="dxa"/>
            <w:noWrap w:val="0"/>
            <w:vAlign w:val="center"/>
          </w:tcPr>
          <w:p w14:paraId="00B13CD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701" w:type="dxa"/>
            <w:noWrap w:val="0"/>
            <w:vAlign w:val="center"/>
          </w:tcPr>
          <w:p w14:paraId="2C6547A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559" w:type="dxa"/>
            <w:noWrap w:val="0"/>
            <w:vAlign w:val="center"/>
          </w:tcPr>
          <w:p w14:paraId="41BA7CF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3t/a</w:t>
            </w:r>
          </w:p>
        </w:tc>
        <w:tc>
          <w:tcPr>
            <w:tcW w:w="1880" w:type="dxa"/>
            <w:noWrap w:val="0"/>
            <w:vAlign w:val="center"/>
          </w:tcPr>
          <w:p w14:paraId="7ADAE48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w:t>
            </w:r>
          </w:p>
        </w:tc>
        <w:tc>
          <w:tcPr>
            <w:tcW w:w="1996" w:type="dxa"/>
            <w:noWrap w:val="0"/>
            <w:vAlign w:val="center"/>
          </w:tcPr>
          <w:p w14:paraId="27E8853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3t/a</w:t>
            </w:r>
          </w:p>
        </w:tc>
        <w:tc>
          <w:tcPr>
            <w:tcW w:w="1314" w:type="dxa"/>
            <w:noWrap w:val="0"/>
            <w:vAlign w:val="center"/>
          </w:tcPr>
          <w:p w14:paraId="31970C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b w:val="0"/>
                <w:bCs w:val="0"/>
                <w:color w:val="auto"/>
                <w:szCs w:val="21"/>
                <w:lang w:val="en-US" w:eastAsia="zh-CN"/>
              </w:rPr>
              <w:t>3t/a</w:t>
            </w:r>
          </w:p>
        </w:tc>
      </w:tr>
      <w:tr w14:paraId="0CFD11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restart"/>
            <w:noWrap w:val="0"/>
            <w:vAlign w:val="center"/>
          </w:tcPr>
          <w:p w14:paraId="6F5C1BB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zh-CN" w:eastAsia="zh-CN"/>
              </w:rPr>
              <w:t>危险废物</w:t>
            </w:r>
          </w:p>
        </w:tc>
        <w:tc>
          <w:tcPr>
            <w:tcW w:w="2069" w:type="dxa"/>
            <w:noWrap w:val="0"/>
            <w:vAlign w:val="center"/>
          </w:tcPr>
          <w:p w14:paraId="02BAA7A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default" w:ascii="Times New Roman" w:hAnsi="Times New Roman" w:eastAsia="宋体" w:cs="Times New Roman"/>
                <w:b w:val="0"/>
                <w:bCs w:val="0"/>
                <w:color w:val="auto"/>
                <w:szCs w:val="21"/>
                <w:lang w:val="en-US" w:eastAsia="zh-CN"/>
              </w:rPr>
              <w:t>废机油、废润滑油HW08</w:t>
            </w:r>
          </w:p>
        </w:tc>
        <w:tc>
          <w:tcPr>
            <w:tcW w:w="1701" w:type="dxa"/>
            <w:noWrap w:val="0"/>
            <w:vAlign w:val="center"/>
          </w:tcPr>
          <w:p w14:paraId="53F4D27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w:t>
            </w:r>
          </w:p>
        </w:tc>
        <w:tc>
          <w:tcPr>
            <w:tcW w:w="1276" w:type="dxa"/>
            <w:noWrap w:val="0"/>
            <w:vAlign w:val="center"/>
          </w:tcPr>
          <w:p w14:paraId="4F17513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w:t>
            </w:r>
          </w:p>
        </w:tc>
        <w:tc>
          <w:tcPr>
            <w:tcW w:w="1701" w:type="dxa"/>
            <w:noWrap w:val="0"/>
            <w:vAlign w:val="center"/>
          </w:tcPr>
          <w:p w14:paraId="36A76B0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w:t>
            </w:r>
          </w:p>
        </w:tc>
        <w:tc>
          <w:tcPr>
            <w:tcW w:w="1559" w:type="dxa"/>
            <w:noWrap w:val="0"/>
            <w:vAlign w:val="center"/>
          </w:tcPr>
          <w:p w14:paraId="10FEE02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3t/a</w:t>
            </w:r>
          </w:p>
        </w:tc>
        <w:tc>
          <w:tcPr>
            <w:tcW w:w="1880" w:type="dxa"/>
            <w:noWrap w:val="0"/>
            <w:vAlign w:val="center"/>
          </w:tcPr>
          <w:p w14:paraId="4820805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w:t>
            </w:r>
          </w:p>
        </w:tc>
        <w:tc>
          <w:tcPr>
            <w:tcW w:w="1996" w:type="dxa"/>
            <w:noWrap w:val="0"/>
            <w:vAlign w:val="center"/>
          </w:tcPr>
          <w:p w14:paraId="48D5113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3t/a</w:t>
            </w:r>
          </w:p>
        </w:tc>
        <w:tc>
          <w:tcPr>
            <w:tcW w:w="1314" w:type="dxa"/>
            <w:noWrap w:val="0"/>
            <w:vAlign w:val="center"/>
          </w:tcPr>
          <w:p w14:paraId="6EC1F71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b w:val="0"/>
                <w:bCs w:val="0"/>
                <w:color w:val="auto"/>
                <w:szCs w:val="21"/>
                <w:lang w:val="en-US" w:eastAsia="zh-CN"/>
              </w:rPr>
              <w:t>3t/a</w:t>
            </w:r>
          </w:p>
        </w:tc>
      </w:tr>
      <w:tr w14:paraId="1BA0DA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continue"/>
            <w:tcBorders/>
            <w:noWrap w:val="0"/>
            <w:vAlign w:val="center"/>
          </w:tcPr>
          <w:p w14:paraId="3A34ED0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tc>
        <w:tc>
          <w:tcPr>
            <w:tcW w:w="2069" w:type="dxa"/>
            <w:noWrap w:val="0"/>
            <w:vAlign w:val="center"/>
          </w:tcPr>
          <w:p w14:paraId="21F3F49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废活性炭HW49</w:t>
            </w:r>
          </w:p>
        </w:tc>
        <w:tc>
          <w:tcPr>
            <w:tcW w:w="1701" w:type="dxa"/>
            <w:noWrap w:val="0"/>
            <w:vAlign w:val="center"/>
          </w:tcPr>
          <w:p w14:paraId="0EC1168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w:t>
            </w:r>
          </w:p>
        </w:tc>
        <w:tc>
          <w:tcPr>
            <w:tcW w:w="1276" w:type="dxa"/>
            <w:noWrap w:val="0"/>
            <w:vAlign w:val="center"/>
          </w:tcPr>
          <w:p w14:paraId="63BBBF3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w:t>
            </w:r>
          </w:p>
        </w:tc>
        <w:tc>
          <w:tcPr>
            <w:tcW w:w="1701" w:type="dxa"/>
            <w:noWrap w:val="0"/>
            <w:vAlign w:val="center"/>
          </w:tcPr>
          <w:p w14:paraId="198A984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w:t>
            </w:r>
          </w:p>
        </w:tc>
        <w:tc>
          <w:tcPr>
            <w:tcW w:w="1559" w:type="dxa"/>
            <w:noWrap w:val="0"/>
            <w:vAlign w:val="center"/>
          </w:tcPr>
          <w:p w14:paraId="1E429D1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10.32</w:t>
            </w:r>
            <w:r>
              <w:rPr>
                <w:rFonts w:hint="eastAsia" w:ascii="Times New Roman" w:hAnsi="Times New Roman" w:eastAsia="宋体" w:cs="Times New Roman"/>
                <w:b w:val="0"/>
                <w:bCs w:val="0"/>
                <w:color w:val="auto"/>
                <w:szCs w:val="21"/>
                <w:lang w:val="en-US" w:eastAsia="zh-CN"/>
              </w:rPr>
              <w:t>t/a</w:t>
            </w:r>
          </w:p>
        </w:tc>
        <w:tc>
          <w:tcPr>
            <w:tcW w:w="1880" w:type="dxa"/>
            <w:noWrap w:val="0"/>
            <w:vAlign w:val="center"/>
          </w:tcPr>
          <w:p w14:paraId="639E0A7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w:t>
            </w:r>
          </w:p>
        </w:tc>
        <w:tc>
          <w:tcPr>
            <w:tcW w:w="1996" w:type="dxa"/>
            <w:noWrap w:val="0"/>
            <w:vAlign w:val="center"/>
          </w:tcPr>
          <w:p w14:paraId="72897FC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eastAsia"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10.32</w:t>
            </w:r>
            <w:r>
              <w:rPr>
                <w:rFonts w:hint="eastAsia" w:ascii="Times New Roman" w:hAnsi="Times New Roman" w:eastAsia="宋体" w:cs="Times New Roman"/>
                <w:b w:val="0"/>
                <w:bCs w:val="0"/>
                <w:color w:val="auto"/>
                <w:szCs w:val="21"/>
                <w:lang w:val="en-US" w:eastAsia="zh-CN"/>
              </w:rPr>
              <w:t>t/a</w:t>
            </w:r>
          </w:p>
        </w:tc>
        <w:tc>
          <w:tcPr>
            <w:tcW w:w="1314" w:type="dxa"/>
            <w:noWrap w:val="0"/>
            <w:vAlign w:val="center"/>
          </w:tcPr>
          <w:p w14:paraId="660BE9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cs="Times New Roman"/>
                <w:color w:val="auto"/>
                <w:sz w:val="24"/>
                <w:szCs w:val="24"/>
                <w:lang w:val="en-US" w:eastAsia="zh-CN"/>
              </w:rPr>
              <w:t>+</w:t>
            </w:r>
            <w:r>
              <w:rPr>
                <w:rFonts w:hint="eastAsia" w:cs="Times New Roman"/>
                <w:color w:val="auto"/>
                <w:sz w:val="24"/>
                <w:szCs w:val="24"/>
                <w:lang w:val="en-US" w:eastAsia="zh-CN"/>
              </w:rPr>
              <w:t>10.32</w:t>
            </w:r>
            <w:r>
              <w:rPr>
                <w:rFonts w:hint="eastAsia" w:ascii="Times New Roman" w:hAnsi="Times New Roman" w:eastAsia="宋体" w:cs="Times New Roman"/>
                <w:b w:val="0"/>
                <w:bCs w:val="0"/>
                <w:color w:val="auto"/>
                <w:szCs w:val="21"/>
                <w:lang w:val="en-US" w:eastAsia="zh-CN"/>
              </w:rPr>
              <w:t>t/a</w:t>
            </w:r>
          </w:p>
        </w:tc>
      </w:tr>
      <w:tr w14:paraId="538032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continue"/>
            <w:tcBorders/>
            <w:noWrap w:val="0"/>
            <w:vAlign w:val="center"/>
          </w:tcPr>
          <w:p w14:paraId="431A478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tc>
        <w:tc>
          <w:tcPr>
            <w:tcW w:w="2069" w:type="dxa"/>
            <w:noWrap w:val="0"/>
            <w:vAlign w:val="center"/>
          </w:tcPr>
          <w:p w14:paraId="16F3904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废模具清洗</w:t>
            </w:r>
            <w:r>
              <w:rPr>
                <w:rFonts w:hint="eastAsia" w:cs="Times New Roman"/>
                <w:b w:val="0"/>
                <w:bCs w:val="0"/>
                <w:color w:val="auto"/>
                <w:szCs w:val="21"/>
                <w:lang w:val="en-US" w:eastAsia="zh-CN"/>
              </w:rPr>
              <w:t>液</w:t>
            </w:r>
            <w:r>
              <w:rPr>
                <w:rFonts w:hint="default" w:ascii="Times New Roman" w:hAnsi="Times New Roman" w:eastAsia="宋体" w:cs="Times New Roman"/>
                <w:b w:val="0"/>
                <w:bCs w:val="0"/>
                <w:color w:val="auto"/>
                <w:szCs w:val="21"/>
                <w:lang w:val="en-US" w:eastAsia="zh-CN"/>
              </w:rPr>
              <w:t>HW06</w:t>
            </w:r>
          </w:p>
        </w:tc>
        <w:tc>
          <w:tcPr>
            <w:tcW w:w="1701" w:type="dxa"/>
            <w:noWrap w:val="0"/>
            <w:vAlign w:val="center"/>
          </w:tcPr>
          <w:p w14:paraId="3CCBF1E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w:t>
            </w:r>
          </w:p>
        </w:tc>
        <w:tc>
          <w:tcPr>
            <w:tcW w:w="1276" w:type="dxa"/>
            <w:noWrap w:val="0"/>
            <w:vAlign w:val="center"/>
          </w:tcPr>
          <w:p w14:paraId="7D47C09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w:t>
            </w:r>
          </w:p>
        </w:tc>
        <w:tc>
          <w:tcPr>
            <w:tcW w:w="1701" w:type="dxa"/>
            <w:noWrap w:val="0"/>
            <w:vAlign w:val="center"/>
          </w:tcPr>
          <w:p w14:paraId="599C82B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zh-CN" w:eastAsia="zh-CN"/>
              </w:rPr>
            </w:pPr>
            <w:r>
              <w:rPr>
                <w:rFonts w:hint="eastAsia" w:ascii="Times New Roman" w:hAnsi="Times New Roman" w:eastAsia="宋体" w:cs="Times New Roman"/>
                <w:b w:val="0"/>
                <w:bCs w:val="0"/>
                <w:color w:val="auto"/>
                <w:szCs w:val="21"/>
                <w:lang w:val="en-US" w:eastAsia="zh-CN"/>
              </w:rPr>
              <w:t>/</w:t>
            </w:r>
          </w:p>
        </w:tc>
        <w:tc>
          <w:tcPr>
            <w:tcW w:w="1559" w:type="dxa"/>
            <w:noWrap w:val="0"/>
            <w:vAlign w:val="center"/>
          </w:tcPr>
          <w:p w14:paraId="2EC9BB2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1t/a</w:t>
            </w:r>
          </w:p>
        </w:tc>
        <w:tc>
          <w:tcPr>
            <w:tcW w:w="1880" w:type="dxa"/>
            <w:noWrap w:val="0"/>
            <w:vAlign w:val="center"/>
          </w:tcPr>
          <w:p w14:paraId="3EDDDBE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w:t>
            </w:r>
          </w:p>
        </w:tc>
        <w:tc>
          <w:tcPr>
            <w:tcW w:w="1996" w:type="dxa"/>
            <w:noWrap w:val="0"/>
            <w:vAlign w:val="center"/>
          </w:tcPr>
          <w:p w14:paraId="6CA5CC0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1t/a</w:t>
            </w:r>
          </w:p>
        </w:tc>
        <w:tc>
          <w:tcPr>
            <w:tcW w:w="1314" w:type="dxa"/>
            <w:noWrap w:val="0"/>
            <w:vAlign w:val="center"/>
          </w:tcPr>
          <w:p w14:paraId="0582D46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b w:val="0"/>
                <w:bCs w:val="0"/>
                <w:color w:val="auto"/>
                <w:szCs w:val="21"/>
                <w:lang w:val="en-US" w:eastAsia="zh-CN"/>
              </w:rPr>
              <w:t>1t/a</w:t>
            </w:r>
          </w:p>
        </w:tc>
      </w:tr>
      <w:tr w14:paraId="2AC940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6" w:type="dxa"/>
            <w:vMerge w:val="continue"/>
            <w:tcBorders/>
            <w:noWrap w:val="0"/>
            <w:vAlign w:val="center"/>
          </w:tcPr>
          <w:p w14:paraId="27E5C0A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zh-CN" w:eastAsia="zh-CN"/>
              </w:rPr>
            </w:pPr>
          </w:p>
        </w:tc>
        <w:tc>
          <w:tcPr>
            <w:tcW w:w="2069" w:type="dxa"/>
            <w:noWrap w:val="0"/>
            <w:vAlign w:val="center"/>
          </w:tcPr>
          <w:p w14:paraId="15A8B41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UV光催化废灯管HW29</w:t>
            </w:r>
          </w:p>
        </w:tc>
        <w:tc>
          <w:tcPr>
            <w:tcW w:w="1701" w:type="dxa"/>
            <w:noWrap w:val="0"/>
            <w:vAlign w:val="center"/>
          </w:tcPr>
          <w:p w14:paraId="69A8B42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w:t>
            </w:r>
          </w:p>
        </w:tc>
        <w:tc>
          <w:tcPr>
            <w:tcW w:w="1276" w:type="dxa"/>
            <w:noWrap w:val="0"/>
            <w:vAlign w:val="center"/>
          </w:tcPr>
          <w:p w14:paraId="1A5C743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w:t>
            </w:r>
          </w:p>
        </w:tc>
        <w:tc>
          <w:tcPr>
            <w:tcW w:w="1701" w:type="dxa"/>
            <w:noWrap w:val="0"/>
            <w:vAlign w:val="center"/>
          </w:tcPr>
          <w:p w14:paraId="7AC164C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w:t>
            </w:r>
          </w:p>
        </w:tc>
        <w:tc>
          <w:tcPr>
            <w:tcW w:w="1559" w:type="dxa"/>
            <w:noWrap w:val="0"/>
            <w:vAlign w:val="center"/>
          </w:tcPr>
          <w:p w14:paraId="7EB4912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0.009</w:t>
            </w:r>
          </w:p>
        </w:tc>
        <w:tc>
          <w:tcPr>
            <w:tcW w:w="1880" w:type="dxa"/>
            <w:noWrap w:val="0"/>
            <w:vAlign w:val="center"/>
          </w:tcPr>
          <w:p w14:paraId="5408C22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w:t>
            </w:r>
          </w:p>
        </w:tc>
        <w:tc>
          <w:tcPr>
            <w:tcW w:w="1996" w:type="dxa"/>
            <w:noWrap w:val="0"/>
            <w:vAlign w:val="center"/>
          </w:tcPr>
          <w:p w14:paraId="75C77DF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eastAsia"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0.009</w:t>
            </w:r>
          </w:p>
        </w:tc>
        <w:tc>
          <w:tcPr>
            <w:tcW w:w="1314" w:type="dxa"/>
            <w:noWrap w:val="0"/>
            <w:vAlign w:val="center"/>
          </w:tcPr>
          <w:p w14:paraId="3D4ED66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Lines="0" w:afterAutospacing="0" w:line="240" w:lineRule="auto"/>
              <w:ind w:left="0" w:right="0" w:firstLine="0" w:firstLineChars="0"/>
              <w:jc w:val="center"/>
              <w:textAlignment w:val="auto"/>
              <w:rPr>
                <w:rFonts w:hint="eastAsia" w:ascii="Times New Roman" w:hAnsi="Times New Roman" w:cs="Times New Roman"/>
                <w:color w:val="auto"/>
                <w:sz w:val="24"/>
                <w:szCs w:val="24"/>
                <w:lang w:val="en-US" w:eastAsia="zh-CN"/>
              </w:rPr>
            </w:pPr>
            <w:r>
              <w:rPr>
                <w:rFonts w:hint="eastAsia" w:cs="Times New Roman"/>
                <w:b w:val="0"/>
                <w:bCs w:val="0"/>
                <w:color w:val="auto"/>
                <w:szCs w:val="21"/>
                <w:lang w:val="en-US" w:eastAsia="zh-CN"/>
              </w:rPr>
              <w:t>+0.009</w:t>
            </w:r>
          </w:p>
        </w:tc>
      </w:tr>
    </w:tbl>
    <w:p w14:paraId="68853FDA">
      <w:pPr>
        <w:pStyle w:val="38"/>
        <w:keepNext w:val="0"/>
        <w:keepLines w:val="0"/>
        <w:pageBreakBefore w:val="0"/>
        <w:kinsoku/>
        <w:overflowPunct/>
        <w:bidi w:val="0"/>
        <w:spacing w:beforeLines="0" w:beforeAutospacing="0" w:after="0" w:afterLines="0" w:afterAutospacing="0"/>
        <w:jc w:val="left"/>
        <w:textAlignment w:val="auto"/>
        <w:rPr>
          <w:rFonts w:ascii="Times New Roman" w:hAnsi="Times New Roman" w:eastAsia="宋体"/>
          <w:snapToGrid w:val="0"/>
          <w:color w:val="auto"/>
          <w:spacing w:val="-6"/>
          <w:kern w:val="21"/>
          <w:szCs w:val="21"/>
        </w:rPr>
      </w:pPr>
      <w:r>
        <w:rPr>
          <w:rFonts w:ascii="Times New Roman" w:hAnsi="Times New Roman" w:eastAsia="宋体"/>
          <w:snapToGrid w:val="0"/>
          <w:color w:val="auto"/>
          <w:kern w:val="21"/>
          <w:szCs w:val="21"/>
        </w:rPr>
        <w:t>注：</w:t>
      </w:r>
      <w:r>
        <w:rPr>
          <w:rFonts w:ascii="Times New Roman" w:hAnsi="Times New Roman" w:eastAsia="宋体"/>
          <w:snapToGrid w:val="0"/>
          <w:color w:val="auto"/>
          <w:spacing w:val="-16"/>
          <w:kern w:val="21"/>
          <w:szCs w:val="21"/>
        </w:rPr>
        <w:fldChar w:fldCharType="begin"/>
      </w:r>
      <w:r>
        <w:rPr>
          <w:rFonts w:ascii="Times New Roman" w:hAnsi="Times New Roman" w:eastAsia="宋体"/>
          <w:snapToGrid w:val="0"/>
          <w:color w:val="auto"/>
          <w:spacing w:val="-16"/>
          <w:kern w:val="21"/>
          <w:szCs w:val="21"/>
        </w:rPr>
        <w:instrText xml:space="preserve"> = 6 \* GB3 \* MERGEFORMAT </w:instrText>
      </w:r>
      <w:r>
        <w:rPr>
          <w:rFonts w:ascii="Times New Roman" w:hAnsi="Times New Roman" w:eastAsia="宋体"/>
          <w:snapToGrid w:val="0"/>
          <w:color w:val="auto"/>
          <w:spacing w:val="-16"/>
          <w:kern w:val="21"/>
          <w:szCs w:val="21"/>
        </w:rPr>
        <w:fldChar w:fldCharType="separate"/>
      </w:r>
      <w:r>
        <w:rPr>
          <w:rFonts w:hint="eastAsia" w:hAnsi="宋体" w:eastAsia="宋体" w:cs="宋体"/>
          <w:color w:val="auto"/>
          <w:szCs w:val="21"/>
        </w:rPr>
        <w:t>⑥</w:t>
      </w:r>
      <w:r>
        <w:rPr>
          <w:rFonts w:ascii="Times New Roman" w:hAnsi="Times New Roman" w:eastAsia="宋体"/>
          <w:snapToGrid w:val="0"/>
          <w:color w:val="auto"/>
          <w:spacing w:val="-16"/>
          <w:kern w:val="21"/>
          <w:szCs w:val="21"/>
        </w:rPr>
        <w:fldChar w:fldCharType="end"/>
      </w:r>
      <w:r>
        <w:rPr>
          <w:rFonts w:ascii="Times New Roman" w:hAnsi="Times New Roman" w:eastAsia="宋体"/>
          <w:snapToGrid w:val="0"/>
          <w:color w:val="auto"/>
          <w:spacing w:val="-16"/>
          <w:kern w:val="21"/>
          <w:szCs w:val="21"/>
        </w:rPr>
        <w:t>=</w:t>
      </w:r>
      <w:r>
        <w:rPr>
          <w:rFonts w:ascii="Times New Roman" w:hAnsi="Times New Roman" w:eastAsia="宋体"/>
          <w:snapToGrid w:val="0"/>
          <w:color w:val="auto"/>
          <w:spacing w:val="-6"/>
          <w:kern w:val="21"/>
          <w:szCs w:val="21"/>
        </w:rPr>
        <w:fldChar w:fldCharType="begin"/>
      </w:r>
      <w:r>
        <w:rPr>
          <w:rFonts w:ascii="Times New Roman" w:hAnsi="Times New Roman" w:eastAsia="宋体"/>
          <w:snapToGrid w:val="0"/>
          <w:color w:val="auto"/>
          <w:spacing w:val="-6"/>
          <w:kern w:val="21"/>
          <w:szCs w:val="21"/>
        </w:rPr>
        <w:instrText xml:space="preserve"> = 1 \* GB3 \* MERGEFORMAT </w:instrText>
      </w:r>
      <w:r>
        <w:rPr>
          <w:rFonts w:ascii="Times New Roman" w:hAnsi="Times New Roman" w:eastAsia="宋体"/>
          <w:snapToGrid w:val="0"/>
          <w:color w:val="auto"/>
          <w:spacing w:val="-6"/>
          <w:kern w:val="21"/>
          <w:szCs w:val="21"/>
        </w:rPr>
        <w:fldChar w:fldCharType="separate"/>
      </w:r>
      <w:r>
        <w:rPr>
          <w:rFonts w:hint="eastAsia" w:hAnsi="宋体" w:eastAsia="宋体" w:cs="宋体"/>
          <w:color w:val="auto"/>
          <w:szCs w:val="21"/>
        </w:rPr>
        <w:t>①</w:t>
      </w:r>
      <w:r>
        <w:rPr>
          <w:rFonts w:ascii="Times New Roman" w:hAnsi="Times New Roman" w:eastAsia="宋体"/>
          <w:snapToGrid w:val="0"/>
          <w:color w:val="auto"/>
          <w:spacing w:val="-6"/>
          <w:kern w:val="21"/>
          <w:szCs w:val="21"/>
        </w:rPr>
        <w:fldChar w:fldCharType="end"/>
      </w:r>
      <w:r>
        <w:rPr>
          <w:rFonts w:hint="eastAsia" w:ascii="Times New Roman" w:hAnsi="Times New Roman" w:cs="Times New Roman"/>
          <w:color w:val="auto"/>
          <w:sz w:val="24"/>
          <w:szCs w:val="24"/>
          <w:lang w:val="en-US" w:eastAsia="zh-CN"/>
        </w:rPr>
        <w:t>+</w:t>
      </w:r>
      <w:r>
        <w:rPr>
          <w:rFonts w:ascii="Times New Roman" w:hAnsi="Times New Roman" w:eastAsia="宋体"/>
          <w:snapToGrid w:val="0"/>
          <w:color w:val="auto"/>
          <w:spacing w:val="-6"/>
          <w:kern w:val="21"/>
          <w:szCs w:val="21"/>
        </w:rPr>
        <w:fldChar w:fldCharType="begin"/>
      </w:r>
      <w:r>
        <w:rPr>
          <w:rFonts w:ascii="Times New Roman" w:hAnsi="Times New Roman" w:eastAsia="宋体"/>
          <w:snapToGrid w:val="0"/>
          <w:color w:val="auto"/>
          <w:spacing w:val="-6"/>
          <w:kern w:val="21"/>
          <w:szCs w:val="21"/>
        </w:rPr>
        <w:instrText xml:space="preserve"> = 3 \* GB3 \* MERGEFORMAT </w:instrText>
      </w:r>
      <w:r>
        <w:rPr>
          <w:rFonts w:ascii="Times New Roman" w:hAnsi="Times New Roman" w:eastAsia="宋体"/>
          <w:snapToGrid w:val="0"/>
          <w:color w:val="auto"/>
          <w:spacing w:val="-6"/>
          <w:kern w:val="21"/>
          <w:szCs w:val="21"/>
        </w:rPr>
        <w:fldChar w:fldCharType="separate"/>
      </w:r>
      <w:r>
        <w:rPr>
          <w:rFonts w:hint="eastAsia" w:hAnsi="宋体" w:eastAsia="宋体" w:cs="宋体"/>
          <w:color w:val="auto"/>
          <w:szCs w:val="21"/>
        </w:rPr>
        <w:t>③</w:t>
      </w:r>
      <w:r>
        <w:rPr>
          <w:rFonts w:ascii="Times New Roman" w:hAnsi="Times New Roman" w:eastAsia="宋体"/>
          <w:snapToGrid w:val="0"/>
          <w:color w:val="auto"/>
          <w:spacing w:val="-6"/>
          <w:kern w:val="21"/>
          <w:szCs w:val="21"/>
        </w:rPr>
        <w:fldChar w:fldCharType="end"/>
      </w:r>
      <w:r>
        <w:rPr>
          <w:rFonts w:hint="eastAsia" w:ascii="Times New Roman" w:hAnsi="Times New Roman" w:cs="Times New Roman"/>
          <w:color w:val="auto"/>
          <w:sz w:val="24"/>
          <w:szCs w:val="24"/>
          <w:lang w:val="en-US" w:eastAsia="zh-CN"/>
        </w:rPr>
        <w:t>+</w:t>
      </w:r>
      <w:r>
        <w:rPr>
          <w:rFonts w:ascii="Times New Roman" w:hAnsi="Times New Roman" w:eastAsia="宋体"/>
          <w:snapToGrid w:val="0"/>
          <w:color w:val="auto"/>
          <w:spacing w:val="-6"/>
          <w:kern w:val="21"/>
          <w:szCs w:val="21"/>
        </w:rPr>
        <w:fldChar w:fldCharType="begin"/>
      </w:r>
      <w:r>
        <w:rPr>
          <w:rFonts w:ascii="Times New Roman" w:hAnsi="Times New Roman" w:eastAsia="宋体"/>
          <w:snapToGrid w:val="0"/>
          <w:color w:val="auto"/>
          <w:spacing w:val="-6"/>
          <w:kern w:val="21"/>
          <w:szCs w:val="21"/>
        </w:rPr>
        <w:instrText xml:space="preserve"> = 4 \* GB3 \* MERGEFORMAT </w:instrText>
      </w:r>
      <w:r>
        <w:rPr>
          <w:rFonts w:ascii="Times New Roman" w:hAnsi="Times New Roman" w:eastAsia="宋体"/>
          <w:snapToGrid w:val="0"/>
          <w:color w:val="auto"/>
          <w:spacing w:val="-6"/>
          <w:kern w:val="21"/>
          <w:szCs w:val="21"/>
        </w:rPr>
        <w:fldChar w:fldCharType="separate"/>
      </w:r>
      <w:r>
        <w:rPr>
          <w:rFonts w:hint="eastAsia" w:hAnsi="宋体" w:eastAsia="宋体" w:cs="宋体"/>
          <w:color w:val="auto"/>
          <w:szCs w:val="21"/>
        </w:rPr>
        <w:t>④</w:t>
      </w:r>
      <w:r>
        <w:rPr>
          <w:rFonts w:ascii="Times New Roman" w:hAnsi="Times New Roman" w:eastAsia="宋体"/>
          <w:snapToGrid w:val="0"/>
          <w:color w:val="auto"/>
          <w:spacing w:val="-6"/>
          <w:kern w:val="21"/>
          <w:szCs w:val="21"/>
        </w:rPr>
        <w:fldChar w:fldCharType="end"/>
      </w:r>
      <w:r>
        <w:rPr>
          <w:rFonts w:ascii="Times New Roman" w:hAnsi="Times New Roman" w:eastAsia="宋体"/>
          <w:snapToGrid w:val="0"/>
          <w:color w:val="auto"/>
          <w:spacing w:val="-6"/>
          <w:kern w:val="21"/>
          <w:szCs w:val="21"/>
        </w:rPr>
        <w:t>-</w:t>
      </w:r>
      <w:r>
        <w:rPr>
          <w:rFonts w:ascii="Times New Roman" w:hAnsi="Times New Roman" w:eastAsia="宋体"/>
          <w:snapToGrid w:val="0"/>
          <w:color w:val="auto"/>
          <w:spacing w:val="-16"/>
          <w:kern w:val="21"/>
          <w:szCs w:val="21"/>
        </w:rPr>
        <w:fldChar w:fldCharType="begin"/>
      </w:r>
      <w:r>
        <w:rPr>
          <w:rFonts w:ascii="Times New Roman" w:hAnsi="Times New Roman" w:eastAsia="宋体"/>
          <w:snapToGrid w:val="0"/>
          <w:color w:val="auto"/>
          <w:spacing w:val="-16"/>
          <w:kern w:val="21"/>
          <w:szCs w:val="21"/>
        </w:rPr>
        <w:instrText xml:space="preserve"> = 5 \* GB3 \* MERGEFORMAT </w:instrText>
      </w:r>
      <w:r>
        <w:rPr>
          <w:rFonts w:ascii="Times New Roman" w:hAnsi="Times New Roman" w:eastAsia="宋体"/>
          <w:snapToGrid w:val="0"/>
          <w:color w:val="auto"/>
          <w:spacing w:val="-16"/>
          <w:kern w:val="21"/>
          <w:szCs w:val="21"/>
        </w:rPr>
        <w:fldChar w:fldCharType="separate"/>
      </w:r>
      <w:r>
        <w:rPr>
          <w:rFonts w:hint="eastAsia" w:hAnsi="宋体" w:eastAsia="宋体" w:cs="宋体"/>
          <w:color w:val="auto"/>
          <w:szCs w:val="21"/>
        </w:rPr>
        <w:t>⑤</w:t>
      </w:r>
      <w:r>
        <w:rPr>
          <w:rFonts w:ascii="Times New Roman" w:hAnsi="Times New Roman" w:eastAsia="宋体"/>
          <w:snapToGrid w:val="0"/>
          <w:color w:val="auto"/>
          <w:spacing w:val="-16"/>
          <w:kern w:val="21"/>
          <w:szCs w:val="21"/>
        </w:rPr>
        <w:fldChar w:fldCharType="end"/>
      </w:r>
      <w:r>
        <w:rPr>
          <w:rFonts w:ascii="Times New Roman" w:hAnsi="Times New Roman" w:eastAsia="宋体"/>
          <w:snapToGrid w:val="0"/>
          <w:color w:val="auto"/>
          <w:spacing w:val="-16"/>
          <w:kern w:val="21"/>
          <w:szCs w:val="21"/>
        </w:rPr>
        <w:t>；</w:t>
      </w:r>
      <w:r>
        <w:rPr>
          <w:rFonts w:ascii="Times New Roman" w:hAnsi="Times New Roman" w:eastAsia="宋体"/>
          <w:snapToGrid w:val="0"/>
          <w:color w:val="auto"/>
          <w:spacing w:val="-6"/>
          <w:kern w:val="21"/>
          <w:szCs w:val="21"/>
        </w:rPr>
        <w:fldChar w:fldCharType="begin"/>
      </w:r>
      <w:r>
        <w:rPr>
          <w:rFonts w:ascii="Times New Roman" w:hAnsi="Times New Roman" w:eastAsia="宋体"/>
          <w:snapToGrid w:val="0"/>
          <w:color w:val="auto"/>
          <w:spacing w:val="-6"/>
          <w:kern w:val="21"/>
          <w:szCs w:val="21"/>
        </w:rPr>
        <w:instrText xml:space="preserve"> = 7 \* GB3 \* MERGEFORMAT </w:instrText>
      </w:r>
      <w:r>
        <w:rPr>
          <w:rFonts w:ascii="Times New Roman" w:hAnsi="Times New Roman" w:eastAsia="宋体"/>
          <w:snapToGrid w:val="0"/>
          <w:color w:val="auto"/>
          <w:spacing w:val="-6"/>
          <w:kern w:val="21"/>
          <w:szCs w:val="21"/>
        </w:rPr>
        <w:fldChar w:fldCharType="separate"/>
      </w:r>
      <w:r>
        <w:rPr>
          <w:rFonts w:hint="eastAsia" w:hAnsi="宋体" w:eastAsia="宋体" w:cs="宋体"/>
          <w:color w:val="auto"/>
          <w:szCs w:val="21"/>
        </w:rPr>
        <w:t>⑦</w:t>
      </w:r>
      <w:r>
        <w:rPr>
          <w:rFonts w:ascii="Times New Roman" w:hAnsi="Times New Roman" w:eastAsia="宋体"/>
          <w:snapToGrid w:val="0"/>
          <w:color w:val="auto"/>
          <w:spacing w:val="-6"/>
          <w:kern w:val="21"/>
          <w:szCs w:val="21"/>
        </w:rPr>
        <w:fldChar w:fldCharType="end"/>
      </w:r>
      <w:r>
        <w:rPr>
          <w:rFonts w:ascii="Times New Roman" w:hAnsi="Times New Roman" w:eastAsia="宋体"/>
          <w:snapToGrid w:val="0"/>
          <w:color w:val="auto"/>
          <w:spacing w:val="-6"/>
          <w:kern w:val="21"/>
          <w:szCs w:val="21"/>
        </w:rPr>
        <w:t>=</w:t>
      </w:r>
      <w:r>
        <w:rPr>
          <w:rFonts w:ascii="Times New Roman" w:hAnsi="Times New Roman" w:eastAsia="宋体"/>
          <w:snapToGrid w:val="0"/>
          <w:color w:val="auto"/>
          <w:spacing w:val="-16"/>
          <w:kern w:val="21"/>
          <w:szCs w:val="21"/>
        </w:rPr>
        <w:fldChar w:fldCharType="begin"/>
      </w:r>
      <w:r>
        <w:rPr>
          <w:rFonts w:ascii="Times New Roman" w:hAnsi="Times New Roman" w:eastAsia="宋体"/>
          <w:snapToGrid w:val="0"/>
          <w:color w:val="auto"/>
          <w:spacing w:val="-16"/>
          <w:kern w:val="21"/>
          <w:szCs w:val="21"/>
        </w:rPr>
        <w:instrText xml:space="preserve"> = 6 \* GB3 \* MERGEFORMAT </w:instrText>
      </w:r>
      <w:r>
        <w:rPr>
          <w:rFonts w:ascii="Times New Roman" w:hAnsi="Times New Roman" w:eastAsia="宋体"/>
          <w:snapToGrid w:val="0"/>
          <w:color w:val="auto"/>
          <w:spacing w:val="-16"/>
          <w:kern w:val="21"/>
          <w:szCs w:val="21"/>
        </w:rPr>
        <w:fldChar w:fldCharType="separate"/>
      </w:r>
      <w:r>
        <w:rPr>
          <w:rFonts w:hint="eastAsia" w:hAnsi="宋体" w:eastAsia="宋体" w:cs="宋体"/>
          <w:color w:val="auto"/>
          <w:szCs w:val="21"/>
        </w:rPr>
        <w:t>⑥</w:t>
      </w:r>
      <w:r>
        <w:rPr>
          <w:rFonts w:ascii="Times New Roman" w:hAnsi="Times New Roman" w:eastAsia="宋体"/>
          <w:snapToGrid w:val="0"/>
          <w:color w:val="auto"/>
          <w:spacing w:val="-16"/>
          <w:kern w:val="21"/>
          <w:szCs w:val="21"/>
        </w:rPr>
        <w:fldChar w:fldCharType="end"/>
      </w:r>
      <w:r>
        <w:rPr>
          <w:rFonts w:ascii="Times New Roman" w:hAnsi="Times New Roman" w:eastAsia="宋体"/>
          <w:snapToGrid w:val="0"/>
          <w:color w:val="auto"/>
          <w:spacing w:val="-16"/>
          <w:kern w:val="21"/>
          <w:szCs w:val="21"/>
        </w:rPr>
        <w:t>-</w:t>
      </w:r>
      <w:r>
        <w:rPr>
          <w:rFonts w:ascii="Times New Roman" w:hAnsi="Times New Roman" w:eastAsia="宋体"/>
          <w:snapToGrid w:val="0"/>
          <w:color w:val="auto"/>
          <w:spacing w:val="-6"/>
          <w:kern w:val="21"/>
          <w:szCs w:val="21"/>
        </w:rPr>
        <w:fldChar w:fldCharType="begin"/>
      </w:r>
      <w:r>
        <w:rPr>
          <w:rFonts w:ascii="Times New Roman" w:hAnsi="Times New Roman" w:eastAsia="宋体"/>
          <w:snapToGrid w:val="0"/>
          <w:color w:val="auto"/>
          <w:spacing w:val="-6"/>
          <w:kern w:val="21"/>
          <w:szCs w:val="21"/>
        </w:rPr>
        <w:instrText xml:space="preserve"> = 1 \* GB3 \* MERGEFORMAT </w:instrText>
      </w:r>
      <w:r>
        <w:rPr>
          <w:rFonts w:ascii="Times New Roman" w:hAnsi="Times New Roman" w:eastAsia="宋体"/>
          <w:snapToGrid w:val="0"/>
          <w:color w:val="auto"/>
          <w:spacing w:val="-6"/>
          <w:kern w:val="21"/>
          <w:szCs w:val="21"/>
        </w:rPr>
        <w:fldChar w:fldCharType="separate"/>
      </w:r>
      <w:r>
        <w:rPr>
          <w:rFonts w:hint="eastAsia" w:hAnsi="宋体" w:eastAsia="宋体" w:cs="宋体"/>
          <w:color w:val="auto"/>
          <w:szCs w:val="21"/>
        </w:rPr>
        <w:t>①</w:t>
      </w:r>
      <w:r>
        <w:rPr>
          <w:rFonts w:ascii="Times New Roman" w:hAnsi="Times New Roman" w:eastAsia="宋体"/>
          <w:snapToGrid w:val="0"/>
          <w:color w:val="auto"/>
          <w:spacing w:val="-6"/>
          <w:kern w:val="21"/>
          <w:szCs w:val="21"/>
        </w:rPr>
        <w:fldChar w:fldCharType="end"/>
      </w:r>
    </w:p>
    <w:p w14:paraId="569609E2">
      <w:pPr>
        <w:pStyle w:val="7"/>
        <w:keepNext w:val="0"/>
        <w:keepLines w:val="0"/>
        <w:pageBreakBefore w:val="0"/>
        <w:kinsoku/>
        <w:overflowPunct/>
        <w:bidi w:val="0"/>
        <w:spacing w:beforeAutospacing="0" w:after="0"/>
        <w:ind w:left="0" w:leftChars="0" w:firstLine="0" w:firstLineChars="0"/>
        <w:jc w:val="both"/>
        <w:textAlignment w:val="auto"/>
        <w:rPr>
          <w:color w:val="auto"/>
        </w:rPr>
        <w:sectPr>
          <w:pgSz w:w="16838" w:h="11906" w:orient="landscape"/>
          <w:pgMar w:top="567" w:right="1440" w:bottom="567" w:left="1440" w:header="851" w:footer="850" w:gutter="0"/>
          <w:pgBorders>
            <w:top w:val="none" w:sz="0" w:space="0"/>
            <w:left w:val="none" w:sz="0" w:space="0"/>
            <w:bottom w:val="none" w:sz="0" w:space="0"/>
            <w:right w:val="none" w:sz="0" w:space="0"/>
          </w:pgBorders>
          <w:pgNumType w:fmt="decimal"/>
          <w:cols w:space="720" w:num="1"/>
          <w:docGrid w:linePitch="312" w:charSpace="0"/>
        </w:sectPr>
      </w:pPr>
    </w:p>
    <w:p w14:paraId="6E202656">
      <w:pPr>
        <w:keepNext w:val="0"/>
        <w:keepLines w:val="0"/>
        <w:pageBreakBefore w:val="0"/>
        <w:widowControl w:val="0"/>
        <w:kinsoku/>
        <w:wordWrap/>
        <w:overflowPunct/>
        <w:topLinePunct w:val="0"/>
        <w:autoSpaceDE w:val="0"/>
        <w:autoSpaceDN w:val="0"/>
        <w:bidi w:val="0"/>
        <w:adjustRightInd w:val="0"/>
        <w:snapToGrid w:val="0"/>
        <w:spacing w:beforeAutospacing="0" w:afterAutospacing="0"/>
        <w:jc w:val="left"/>
        <w:textAlignment w:val="auto"/>
        <w:outlineLvl w:val="0"/>
        <w:rPr>
          <w:rFonts w:ascii="Times New Roman" w:hAnsi="Times New Roman" w:eastAsia="宋体" w:cs="Times New Roman"/>
          <w:snapToGrid w:val="0"/>
          <w:color w:val="auto"/>
          <w:kern w:val="0"/>
          <w:sz w:val="32"/>
          <w:szCs w:val="32"/>
        </w:rPr>
      </w:pPr>
      <w:r>
        <w:rPr>
          <w:rFonts w:ascii="Times New Roman" w:hAnsi="Times New Roman" w:eastAsia="宋体" w:cs="Times New Roman"/>
          <w:snapToGrid w:val="0"/>
          <w:color w:val="auto"/>
          <w:kern w:val="0"/>
          <w:sz w:val="32"/>
          <w:szCs w:val="32"/>
        </w:rPr>
        <w:t>附</w:t>
      </w:r>
      <w:r>
        <w:rPr>
          <w:rFonts w:hint="eastAsia" w:ascii="Times New Roman" w:hAnsi="Times New Roman" w:eastAsia="宋体" w:cs="Times New Roman"/>
          <w:snapToGrid w:val="0"/>
          <w:color w:val="auto"/>
          <w:kern w:val="0"/>
          <w:sz w:val="32"/>
          <w:szCs w:val="32"/>
          <w:lang w:val="en-US" w:eastAsia="zh-CN"/>
        </w:rPr>
        <w:t>图1：</w:t>
      </w:r>
      <w:r>
        <w:rPr>
          <w:rFonts w:ascii="Times New Roman" w:hAnsi="Times New Roman" w:eastAsia="宋体" w:cs="Times New Roman"/>
          <w:snapToGrid w:val="0"/>
          <w:color w:val="auto"/>
          <w:kern w:val="0"/>
          <w:sz w:val="32"/>
          <w:szCs w:val="32"/>
        </w:rPr>
        <w:t>项目地理位置图</w:t>
      </w:r>
    </w:p>
    <w:p w14:paraId="6178AA33">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宋体"/>
          <w:snapToGrid w:val="0"/>
          <w:color w:val="auto"/>
          <w:kern w:val="0"/>
          <w:sz w:val="32"/>
          <w:szCs w:val="32"/>
          <w:lang w:eastAsia="zh-CN"/>
        </w:rPr>
      </w:pPr>
      <w:r>
        <w:rPr>
          <w:color w:val="auto"/>
          <w:sz w:val="32"/>
        </w:rPr>
        <mc:AlternateContent>
          <mc:Choice Requires="wps">
            <w:drawing>
              <wp:anchor distT="0" distB="0" distL="114300" distR="114300" simplePos="0" relativeHeight="251659264" behindDoc="0" locked="0" layoutInCell="1" allowOverlap="1">
                <wp:simplePos x="0" y="0"/>
                <wp:positionH relativeFrom="column">
                  <wp:posOffset>1871980</wp:posOffset>
                </wp:positionH>
                <wp:positionV relativeFrom="paragraph">
                  <wp:posOffset>559435</wp:posOffset>
                </wp:positionV>
                <wp:extent cx="793115" cy="273050"/>
                <wp:effectExtent l="39370" t="6350" r="24765" b="215900"/>
                <wp:wrapNone/>
                <wp:docPr id="9" name="矩形标注 9"/>
                <wp:cNvGraphicFramePr/>
                <a:graphic xmlns:a="http://schemas.openxmlformats.org/drawingml/2006/main">
                  <a:graphicData uri="http://schemas.microsoft.com/office/word/2010/wordprocessingShape">
                    <wps:wsp>
                      <wps:cNvSpPr/>
                      <wps:spPr>
                        <a:xfrm>
                          <a:off x="2748280" y="2165350"/>
                          <a:ext cx="793115" cy="273050"/>
                        </a:xfrm>
                        <a:prstGeom prst="wedgeRectCallout">
                          <a:avLst>
                            <a:gd name="adj1" fmla="val -54163"/>
                            <a:gd name="adj2" fmla="val 121627"/>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1CD56B2">
                            <w:pPr>
                              <w:jc w:val="center"/>
                              <w:rPr>
                                <w:rFonts w:hint="default" w:eastAsia="宋体"/>
                                <w:b/>
                                <w:bCs/>
                                <w:lang w:val="en-US" w:eastAsia="zh-CN"/>
                              </w:rPr>
                            </w:pPr>
                            <w:r>
                              <w:rPr>
                                <w:rFonts w:hint="eastAsia"/>
                                <w:b/>
                                <w:bCs/>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47.4pt;margin-top:44.05pt;height:21.5pt;width:62.45pt;z-index:251659264;v-text-anchor:middle;mso-width-relative:page;mso-height-relative:page;" filled="f" stroked="t" coordsize="21600,21600" o:gfxdata="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B6SgbfUAAAACgEAAA8AAAAAAAAAAQAgAAAAIgAAAGRycy9kb3ducmV2LnhtbFBL&#10;AQIUABQAAAAIAIdO4kAgzGLhpQIAAC8FAAAOAAAAAAAAAAEAIAAAACMBAABkcnMvZTJvRG9jLnht&#10;bFBLBQYAAAAABgAGAFkBAAA6BgAAAAA=&#10;" adj="-899,37071">
                <v:fill on="f" focussize="0,0"/>
                <v:stroke weight="1pt" color="#000000 [3213]" joinstyle="round"/>
                <v:imagedata o:title=""/>
                <o:lock v:ext="edit" aspectratio="f"/>
                <v:textbox>
                  <w:txbxContent>
                    <w:p w14:paraId="71CD56B2">
                      <w:pPr>
                        <w:jc w:val="center"/>
                        <w:rPr>
                          <w:rFonts w:hint="default" w:eastAsia="宋体"/>
                          <w:b/>
                          <w:bCs/>
                          <w:lang w:val="en-US" w:eastAsia="zh-CN"/>
                        </w:rPr>
                      </w:pPr>
                      <w:r>
                        <w:rPr>
                          <w:rFonts w:hint="eastAsia"/>
                          <w:b/>
                          <w:bCs/>
                          <w:lang w:val="en-US" w:eastAsia="zh-CN"/>
                        </w:rPr>
                        <w:t>本项目</w:t>
                      </w:r>
                    </w:p>
                  </w:txbxContent>
                </v:textbox>
              </v:shape>
            </w:pict>
          </mc:Fallback>
        </mc:AlternateContent>
      </w:r>
      <w:r>
        <w:rPr>
          <w:rFonts w:ascii="Times New Roman" w:hAnsi="Times New Roman" w:eastAsia="宋体"/>
          <w:snapToGrid w:val="0"/>
          <w:color w:val="auto"/>
          <w:kern w:val="0"/>
          <w:sz w:val="32"/>
          <w:szCs w:val="32"/>
        </w:rPr>
        <w:drawing>
          <wp:inline distT="0" distB="0" distL="114300" distR="114300">
            <wp:extent cx="7760335" cy="5488305"/>
            <wp:effectExtent l="0" t="0" r="12065" b="17145"/>
            <wp:docPr id="5" name="图片 5" descr="278-279鄂托克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78-279鄂托克旗"/>
                    <pic:cNvPicPr>
                      <a:picLocks noChangeAspect="1"/>
                    </pic:cNvPicPr>
                  </pic:nvPicPr>
                  <pic:blipFill>
                    <a:blip r:embed="rId41"/>
                    <a:stretch>
                      <a:fillRect/>
                    </a:stretch>
                  </pic:blipFill>
                  <pic:spPr>
                    <a:xfrm>
                      <a:off x="0" y="0"/>
                      <a:ext cx="7760335" cy="5488305"/>
                    </a:xfrm>
                    <a:prstGeom prst="rect">
                      <a:avLst/>
                    </a:prstGeom>
                  </pic:spPr>
                </pic:pic>
              </a:graphicData>
            </a:graphic>
          </wp:inline>
        </w:drawing>
      </w:r>
      <w:r>
        <w:rPr>
          <w:rFonts w:ascii="Times New Roman" w:hAnsi="Times New Roman" w:eastAsia="宋体"/>
          <w:snapToGrid w:val="0"/>
          <w:color w:val="auto"/>
          <w:kern w:val="0"/>
          <w:sz w:val="32"/>
          <w:szCs w:val="32"/>
        </w:rPr>
        <w:br w:type="page"/>
      </w:r>
    </w:p>
    <w:p w14:paraId="6DC97601">
      <w:pPr>
        <w:keepNext w:val="0"/>
        <w:keepLines w:val="0"/>
        <w:pageBreakBefore w:val="0"/>
        <w:widowControl w:val="0"/>
        <w:kinsoku/>
        <w:wordWrap/>
        <w:overflowPunct/>
        <w:topLinePunct w:val="0"/>
        <w:autoSpaceDE w:val="0"/>
        <w:autoSpaceDN w:val="0"/>
        <w:bidi w:val="0"/>
        <w:adjustRightInd w:val="0"/>
        <w:snapToGrid w:val="0"/>
        <w:spacing w:beforeAutospacing="0" w:afterAutospacing="0"/>
        <w:jc w:val="left"/>
        <w:textAlignment w:val="auto"/>
        <w:outlineLvl w:val="0"/>
        <w:rPr>
          <w:rFonts w:ascii="Times New Roman" w:hAnsi="Times New Roman" w:eastAsia="宋体" w:cs="Times New Roman"/>
          <w:snapToGrid w:val="0"/>
          <w:color w:val="auto"/>
          <w:kern w:val="0"/>
          <w:sz w:val="32"/>
          <w:szCs w:val="32"/>
        </w:rPr>
      </w:pPr>
      <w:r>
        <w:rPr>
          <w:rFonts w:ascii="Times New Roman" w:hAnsi="Times New Roman" w:eastAsia="宋体" w:cs="Times New Roman"/>
          <w:snapToGrid w:val="0"/>
          <w:color w:val="auto"/>
          <w:kern w:val="0"/>
          <w:sz w:val="32"/>
          <w:szCs w:val="32"/>
        </w:rPr>
        <w:t>附</w:t>
      </w:r>
      <w:r>
        <w:rPr>
          <w:rFonts w:hint="eastAsia" w:ascii="Times New Roman" w:hAnsi="Times New Roman" w:eastAsia="宋体" w:cs="Times New Roman"/>
          <w:snapToGrid w:val="0"/>
          <w:color w:val="auto"/>
          <w:kern w:val="0"/>
          <w:sz w:val="32"/>
          <w:szCs w:val="32"/>
          <w:lang w:val="en-US" w:eastAsia="zh-CN"/>
        </w:rPr>
        <w:t>图2：</w:t>
      </w:r>
      <w:r>
        <w:rPr>
          <w:rFonts w:ascii="Times New Roman" w:hAnsi="Times New Roman" w:eastAsia="宋体" w:cs="Times New Roman"/>
          <w:snapToGrid w:val="0"/>
          <w:color w:val="auto"/>
          <w:kern w:val="0"/>
          <w:sz w:val="32"/>
          <w:szCs w:val="32"/>
        </w:rPr>
        <w:t>项目周边环境概况</w:t>
      </w:r>
    </w:p>
    <w:p w14:paraId="43712849">
      <w:pPr>
        <w:pStyle w:val="31"/>
        <w:keepNext w:val="0"/>
        <w:keepLines w:val="0"/>
        <w:pageBreakBefore w:val="0"/>
        <w:kinsoku/>
        <w:overflowPunct/>
        <w:bidi w:val="0"/>
        <w:spacing w:beforeAutospacing="0" w:afterAutospacing="0"/>
        <w:ind w:firstLine="0" w:firstLineChars="0"/>
        <w:jc w:val="center"/>
        <w:textAlignment w:val="auto"/>
        <w:rPr>
          <w:color w:val="auto"/>
        </w:rPr>
        <w:sectPr>
          <w:pgSz w:w="16838" w:h="11906" w:orient="landscape"/>
          <w:pgMar w:top="1083" w:right="1440" w:bottom="1083" w:left="1440" w:header="851" w:footer="850" w:gutter="0"/>
          <w:pgBorders>
            <w:top w:val="none" w:sz="0" w:space="0"/>
            <w:left w:val="none" w:sz="0" w:space="0"/>
            <w:bottom w:val="none" w:sz="0" w:space="0"/>
            <w:right w:val="none" w:sz="0" w:space="0"/>
          </w:pgBorders>
          <w:pgNumType w:fmt="decimal"/>
          <w:cols w:space="720" w:num="1"/>
          <w:docGrid w:linePitch="312" w:charSpace="0"/>
        </w:sectPr>
      </w:pPr>
      <w:r>
        <w:rPr>
          <w:color w:val="auto"/>
        </w:rPr>
        <w:drawing>
          <wp:inline distT="0" distB="0" distL="114300" distR="114300">
            <wp:extent cx="8535670" cy="5386070"/>
            <wp:effectExtent l="0" t="0" r="17780" b="5080"/>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42"/>
                    <a:stretch>
                      <a:fillRect/>
                    </a:stretch>
                  </pic:blipFill>
                  <pic:spPr>
                    <a:xfrm>
                      <a:off x="0" y="0"/>
                      <a:ext cx="8535670" cy="5386070"/>
                    </a:xfrm>
                    <a:prstGeom prst="rect">
                      <a:avLst/>
                    </a:prstGeom>
                    <a:noFill/>
                    <a:ln>
                      <a:noFill/>
                    </a:ln>
                  </pic:spPr>
                </pic:pic>
              </a:graphicData>
            </a:graphic>
          </wp:inline>
        </w:drawing>
      </w:r>
    </w:p>
    <w:p w14:paraId="5EFE7D1E">
      <w:pPr>
        <w:keepNext w:val="0"/>
        <w:keepLines w:val="0"/>
        <w:pageBreakBefore w:val="0"/>
        <w:widowControl w:val="0"/>
        <w:kinsoku/>
        <w:wordWrap/>
        <w:overflowPunct/>
        <w:topLinePunct w:val="0"/>
        <w:autoSpaceDE w:val="0"/>
        <w:autoSpaceDN w:val="0"/>
        <w:bidi w:val="0"/>
        <w:adjustRightInd w:val="0"/>
        <w:snapToGrid w:val="0"/>
        <w:spacing w:beforeAutospacing="0" w:afterAutospacing="0"/>
        <w:jc w:val="left"/>
        <w:textAlignment w:val="auto"/>
        <w:outlineLvl w:val="0"/>
        <w:rPr>
          <w:rFonts w:hint="eastAsia" w:ascii="Times New Roman" w:hAnsi="Times New Roman" w:eastAsia="宋体" w:cs="Times New Roman"/>
          <w:snapToGrid w:val="0"/>
          <w:color w:val="auto"/>
          <w:kern w:val="0"/>
          <w:sz w:val="32"/>
          <w:szCs w:val="32"/>
        </w:rPr>
      </w:pPr>
      <w:r>
        <w:rPr>
          <w:rFonts w:ascii="Times New Roman" w:hAnsi="Times New Roman" w:eastAsia="宋体" w:cs="Times New Roman"/>
          <w:snapToGrid w:val="0"/>
          <w:color w:val="auto"/>
          <w:kern w:val="0"/>
          <w:sz w:val="32"/>
          <w:szCs w:val="32"/>
        </w:rPr>
        <w:t>附</w:t>
      </w:r>
      <w:r>
        <w:rPr>
          <w:rFonts w:hint="eastAsia" w:ascii="Times New Roman" w:hAnsi="Times New Roman" w:eastAsia="宋体" w:cs="Times New Roman"/>
          <w:snapToGrid w:val="0"/>
          <w:color w:val="auto"/>
          <w:kern w:val="0"/>
          <w:sz w:val="32"/>
          <w:szCs w:val="32"/>
          <w:lang w:val="en-US" w:eastAsia="zh-CN"/>
        </w:rPr>
        <w:t>图3：项目与厂区位置关系</w:t>
      </w:r>
      <w:r>
        <w:rPr>
          <w:rFonts w:hint="eastAsia" w:ascii="Times New Roman" w:hAnsi="Times New Roman" w:eastAsia="宋体" w:cs="Times New Roman"/>
          <w:snapToGrid w:val="0"/>
          <w:color w:val="auto"/>
          <w:kern w:val="0"/>
          <w:sz w:val="32"/>
          <w:szCs w:val="32"/>
        </w:rPr>
        <w:t>图</w:t>
      </w:r>
    </w:p>
    <w:p w14:paraId="28728D45">
      <w:pPr>
        <w:keepNext w:val="0"/>
        <w:keepLines w:val="0"/>
        <w:pageBreakBefore w:val="0"/>
        <w:tabs>
          <w:tab w:val="center" w:pos="4870"/>
          <w:tab w:val="right" w:pos="9740"/>
        </w:tabs>
        <w:kinsoku/>
        <w:overflowPunct/>
        <w:bidi w:val="0"/>
        <w:spacing w:beforeAutospacing="0" w:afterAutospacing="0"/>
        <w:jc w:val="left"/>
        <w:textAlignment w:val="auto"/>
        <w:rPr>
          <w:rFonts w:hint="eastAsia"/>
          <w:color w:val="auto"/>
          <w:lang w:val="en-US" w:eastAsia="zh-CN"/>
        </w:rPr>
      </w:pPr>
      <w:r>
        <w:rPr>
          <w:rFonts w:hint="eastAsia"/>
          <w:color w:val="auto"/>
          <w:lang w:val="en-US" w:eastAsia="zh-CN"/>
        </w:rPr>
        <w:tab/>
      </w:r>
      <w:r>
        <w:rPr>
          <w:rFonts w:hint="eastAsia"/>
          <w:color w:val="auto"/>
          <w:lang w:val="en-US" w:eastAsia="zh-CN"/>
        </w:rPr>
        <w:drawing>
          <wp:inline distT="0" distB="0" distL="114300" distR="114300">
            <wp:extent cx="4679950" cy="8145145"/>
            <wp:effectExtent l="0" t="0" r="6350" b="8255"/>
            <wp:docPr id="18" name="图片 18" descr="总平面图_副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总平面图_副本(1)"/>
                    <pic:cNvPicPr>
                      <a:picLocks noChangeAspect="1"/>
                    </pic:cNvPicPr>
                  </pic:nvPicPr>
                  <pic:blipFill>
                    <a:blip r:embed="rId43"/>
                    <a:stretch>
                      <a:fillRect/>
                    </a:stretch>
                  </pic:blipFill>
                  <pic:spPr>
                    <a:xfrm>
                      <a:off x="0" y="0"/>
                      <a:ext cx="4679950" cy="8145145"/>
                    </a:xfrm>
                    <a:prstGeom prst="rect">
                      <a:avLst/>
                    </a:prstGeom>
                  </pic:spPr>
                </pic:pic>
              </a:graphicData>
            </a:graphic>
          </wp:inline>
        </w:drawing>
      </w:r>
      <w:r>
        <w:rPr>
          <w:rFonts w:hint="eastAsia"/>
          <w:color w:val="auto"/>
          <w:lang w:val="en-US" w:eastAsia="zh-CN"/>
        </w:rPr>
        <w:tab/>
      </w:r>
    </w:p>
    <w:p w14:paraId="3FCE88F2">
      <w:pPr>
        <w:pStyle w:val="14"/>
        <w:rPr>
          <w:rFonts w:hint="eastAsia"/>
          <w:color w:val="auto"/>
          <w:lang w:val="en-US" w:eastAsia="zh-CN"/>
        </w:rPr>
      </w:pPr>
    </w:p>
    <w:p w14:paraId="306AF030">
      <w:pPr>
        <w:jc w:val="both"/>
        <w:rPr>
          <w:rFonts w:hint="eastAsia"/>
          <w:color w:val="auto"/>
          <w:lang w:val="en-US" w:eastAsia="zh-CN"/>
        </w:rPr>
        <w:sectPr>
          <w:pgSz w:w="11906" w:h="16838"/>
          <w:pgMar w:top="1440" w:right="1083" w:bottom="1440" w:left="1083" w:header="851" w:footer="850" w:gutter="0"/>
          <w:pgBorders>
            <w:top w:val="none" w:sz="0" w:space="0"/>
            <w:left w:val="none" w:sz="0" w:space="0"/>
            <w:bottom w:val="none" w:sz="0" w:space="0"/>
            <w:right w:val="none" w:sz="0" w:space="0"/>
          </w:pgBorders>
          <w:pgNumType w:fmt="decimal"/>
          <w:cols w:space="720" w:num="1"/>
          <w:docGrid w:linePitch="312" w:charSpace="0"/>
        </w:sectPr>
      </w:pPr>
    </w:p>
    <w:p w14:paraId="3D52AD14">
      <w:pPr>
        <w:keepNext w:val="0"/>
        <w:keepLines w:val="0"/>
        <w:pageBreakBefore w:val="0"/>
        <w:widowControl w:val="0"/>
        <w:kinsoku/>
        <w:wordWrap/>
        <w:overflowPunct/>
        <w:topLinePunct w:val="0"/>
        <w:autoSpaceDE w:val="0"/>
        <w:autoSpaceDN w:val="0"/>
        <w:bidi w:val="0"/>
        <w:adjustRightInd w:val="0"/>
        <w:snapToGrid w:val="0"/>
        <w:spacing w:beforeAutospacing="0" w:afterAutospacing="0"/>
        <w:jc w:val="left"/>
        <w:textAlignment w:val="auto"/>
        <w:outlineLvl w:val="0"/>
        <w:rPr>
          <w:rFonts w:hint="default" w:ascii="Times New Roman" w:hAnsi="Times New Roman" w:eastAsia="宋体" w:cs="Times New Roman"/>
          <w:snapToGrid w:val="0"/>
          <w:color w:val="auto"/>
          <w:kern w:val="0"/>
          <w:sz w:val="32"/>
          <w:szCs w:val="32"/>
          <w:lang w:val="en-US" w:eastAsia="zh-CN"/>
        </w:rPr>
      </w:pPr>
      <w:r>
        <w:rPr>
          <w:rFonts w:hint="eastAsia" w:ascii="Times New Roman" w:hAnsi="Times New Roman" w:eastAsia="宋体" w:cs="Times New Roman"/>
          <w:snapToGrid w:val="0"/>
          <w:color w:val="auto"/>
          <w:kern w:val="0"/>
          <w:sz w:val="32"/>
          <w:szCs w:val="32"/>
          <w:lang w:val="en-US" w:eastAsia="zh-CN"/>
        </w:rPr>
        <w:t>附图4：项目平面布置图</w:t>
      </w:r>
    </w:p>
    <w:p w14:paraId="2E707E12">
      <w:pPr>
        <w:rPr>
          <w:rFonts w:hint="eastAsia" w:ascii="Times New Roman" w:hAnsi="Times New Roman" w:eastAsia="宋体" w:cs="Times New Roman"/>
          <w:snapToGrid w:val="0"/>
          <w:color w:val="auto"/>
          <w:kern w:val="0"/>
          <w:sz w:val="32"/>
          <w:szCs w:val="32"/>
          <w:lang w:val="en-US" w:eastAsia="zh-CN"/>
        </w:rPr>
      </w:pPr>
      <w:r>
        <w:rPr>
          <w:rFonts w:hint="eastAsia" w:ascii="Times New Roman" w:hAnsi="Times New Roman" w:eastAsia="宋体" w:cs="Times New Roman"/>
          <w:snapToGrid w:val="0"/>
          <w:color w:val="auto"/>
          <w:kern w:val="0"/>
          <w:sz w:val="32"/>
          <w:szCs w:val="32"/>
          <w:lang w:val="en-US" w:eastAsia="zh-CN"/>
        </w:rPr>
        <w:drawing>
          <wp:inline distT="0" distB="0" distL="114300" distR="114300">
            <wp:extent cx="8778240" cy="4395470"/>
            <wp:effectExtent l="0" t="0" r="3810" b="5080"/>
            <wp:docPr id="68" name="图片 68" descr="新增塑料包装物制造设备布置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新增塑料包装物制造设备布置图2"/>
                    <pic:cNvPicPr>
                      <a:picLocks noChangeAspect="1"/>
                    </pic:cNvPicPr>
                  </pic:nvPicPr>
                  <pic:blipFill>
                    <a:blip r:embed="rId44"/>
                    <a:stretch>
                      <a:fillRect/>
                    </a:stretch>
                  </pic:blipFill>
                  <pic:spPr>
                    <a:xfrm>
                      <a:off x="0" y="0"/>
                      <a:ext cx="8778240" cy="4395470"/>
                    </a:xfrm>
                    <a:prstGeom prst="rect">
                      <a:avLst/>
                    </a:prstGeom>
                  </pic:spPr>
                </pic:pic>
              </a:graphicData>
            </a:graphic>
          </wp:inline>
        </w:drawing>
      </w:r>
    </w:p>
    <w:p w14:paraId="3DFE523F">
      <w:pPr>
        <w:pStyle w:val="14"/>
        <w:rPr>
          <w:rFonts w:hint="eastAsia"/>
          <w:color w:val="auto"/>
          <w:lang w:val="en-US" w:eastAsia="zh-CN"/>
        </w:rPr>
        <w:sectPr>
          <w:pgSz w:w="16838" w:h="11906" w:orient="landscape"/>
          <w:pgMar w:top="1083" w:right="1440" w:bottom="1083" w:left="1440" w:header="851" w:footer="850" w:gutter="0"/>
          <w:pgBorders>
            <w:top w:val="none" w:sz="0" w:space="0"/>
            <w:left w:val="none" w:sz="0" w:space="0"/>
            <w:bottom w:val="none" w:sz="0" w:space="0"/>
            <w:right w:val="none" w:sz="0" w:space="0"/>
          </w:pgBorders>
          <w:pgNumType w:fmt="decimal"/>
          <w:cols w:space="720" w:num="1"/>
          <w:docGrid w:linePitch="312" w:charSpace="0"/>
        </w:sectPr>
      </w:pPr>
    </w:p>
    <w:p w14:paraId="4EC15FFD">
      <w:pPr>
        <w:pStyle w:val="21"/>
        <w:keepNext w:val="0"/>
        <w:keepLines w:val="0"/>
        <w:pageBreakBefore w:val="0"/>
        <w:kinsoku/>
        <w:overflowPunct/>
        <w:bidi w:val="0"/>
        <w:adjustRightInd w:val="0"/>
        <w:snapToGrid w:val="0"/>
        <w:spacing w:before="0" w:beforeAutospacing="0" w:after="0" w:afterAutospacing="0"/>
        <w:textAlignment w:val="auto"/>
        <w:outlineLvl w:val="0"/>
        <w:rPr>
          <w:rFonts w:hint="eastAsia" w:ascii="Times New Roman" w:hAnsi="Times New Roman" w:eastAsia="宋体"/>
          <w:snapToGrid w:val="0"/>
          <w:color w:val="auto"/>
          <w:sz w:val="32"/>
          <w:szCs w:val="32"/>
          <w:lang w:val="en-US" w:eastAsia="zh-CN"/>
        </w:rPr>
      </w:pPr>
      <w:r>
        <w:rPr>
          <w:rFonts w:hint="eastAsia" w:ascii="Times New Roman" w:hAnsi="Times New Roman" w:eastAsia="宋体"/>
          <w:snapToGrid w:val="0"/>
          <w:color w:val="auto"/>
          <w:sz w:val="32"/>
          <w:szCs w:val="32"/>
          <w:lang w:val="en-US" w:eastAsia="zh-CN"/>
        </w:rPr>
        <w:t>附件</w:t>
      </w:r>
    </w:p>
    <w:p w14:paraId="4F7DA2FB">
      <w:pPr>
        <w:keepNext w:val="0"/>
        <w:keepLines w:val="0"/>
        <w:pageBreakBefore w:val="0"/>
        <w:widowControl w:val="0"/>
        <w:kinsoku/>
        <w:wordWrap/>
        <w:overflowPunct/>
        <w:topLinePunct w:val="0"/>
        <w:autoSpaceDE w:val="0"/>
        <w:autoSpaceDN w:val="0"/>
        <w:bidi w:val="0"/>
        <w:adjustRightInd w:val="0"/>
        <w:snapToGrid w:val="0"/>
        <w:spacing w:beforeAutospacing="0" w:afterAutospacing="0"/>
        <w:jc w:val="left"/>
        <w:textAlignment w:val="auto"/>
        <w:outlineLvl w:val="0"/>
        <w:rPr>
          <w:rFonts w:hint="eastAsia" w:ascii="Times New Roman" w:hAnsi="Times New Roman" w:eastAsia="宋体" w:cs="Times New Roman"/>
          <w:snapToGrid w:val="0"/>
          <w:color w:val="auto"/>
          <w:kern w:val="0"/>
          <w:sz w:val="32"/>
          <w:szCs w:val="32"/>
          <w:lang w:val="en-US" w:eastAsia="zh-CN"/>
        </w:rPr>
      </w:pPr>
      <w:r>
        <w:rPr>
          <w:rFonts w:hint="eastAsia" w:ascii="Times New Roman" w:hAnsi="Times New Roman" w:eastAsia="宋体" w:cs="Times New Roman"/>
          <w:snapToGrid w:val="0"/>
          <w:color w:val="auto"/>
          <w:kern w:val="0"/>
          <w:sz w:val="32"/>
          <w:szCs w:val="32"/>
          <w:lang w:val="en-US" w:eastAsia="zh-CN"/>
        </w:rPr>
        <w:t>附件1：环评委托书</w:t>
      </w:r>
    </w:p>
    <w:p w14:paraId="2F85811D">
      <w:pPr>
        <w:pStyle w:val="14"/>
        <w:rPr>
          <w:rFonts w:hint="eastAsia"/>
          <w:color w:val="auto"/>
          <w:lang w:val="en-US" w:eastAsia="zh-CN"/>
        </w:rPr>
      </w:pPr>
      <w:r>
        <w:rPr>
          <w:color w:val="auto"/>
        </w:rPr>
        <w:drawing>
          <wp:inline distT="0" distB="0" distL="114300" distR="114300">
            <wp:extent cx="5448935" cy="7902575"/>
            <wp:effectExtent l="0" t="0" r="18415" b="3175"/>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45"/>
                    <a:stretch>
                      <a:fillRect/>
                    </a:stretch>
                  </pic:blipFill>
                  <pic:spPr>
                    <a:xfrm>
                      <a:off x="0" y="0"/>
                      <a:ext cx="5448935" cy="7902575"/>
                    </a:xfrm>
                    <a:prstGeom prst="rect">
                      <a:avLst/>
                    </a:prstGeom>
                    <a:noFill/>
                    <a:ln>
                      <a:noFill/>
                    </a:ln>
                  </pic:spPr>
                </pic:pic>
              </a:graphicData>
            </a:graphic>
          </wp:inline>
        </w:drawing>
      </w:r>
    </w:p>
    <w:p w14:paraId="79919550">
      <w:pPr>
        <w:keepNext w:val="0"/>
        <w:keepLines w:val="0"/>
        <w:pageBreakBefore w:val="0"/>
        <w:widowControl w:val="0"/>
        <w:kinsoku/>
        <w:wordWrap/>
        <w:overflowPunct/>
        <w:topLinePunct w:val="0"/>
        <w:autoSpaceDE w:val="0"/>
        <w:autoSpaceDN w:val="0"/>
        <w:bidi w:val="0"/>
        <w:adjustRightInd w:val="0"/>
        <w:snapToGrid w:val="0"/>
        <w:spacing w:beforeAutospacing="0" w:afterAutospacing="0"/>
        <w:jc w:val="left"/>
        <w:textAlignment w:val="auto"/>
        <w:outlineLvl w:val="0"/>
        <w:rPr>
          <w:color w:val="auto"/>
        </w:rPr>
        <w:sectPr>
          <w:pgSz w:w="11906" w:h="16838"/>
          <w:pgMar w:top="1440" w:right="1083" w:bottom="1440" w:left="1083" w:header="851" w:footer="850" w:gutter="0"/>
          <w:pgBorders>
            <w:top w:val="none" w:sz="0" w:space="0"/>
            <w:left w:val="none" w:sz="0" w:space="0"/>
            <w:bottom w:val="none" w:sz="0" w:space="0"/>
            <w:right w:val="none" w:sz="0" w:space="0"/>
          </w:pgBorders>
          <w:pgNumType w:fmt="decimal"/>
          <w:cols w:space="720" w:num="1"/>
          <w:docGrid w:linePitch="312" w:charSpace="0"/>
        </w:sectPr>
      </w:pPr>
      <w:r>
        <w:rPr>
          <w:rFonts w:hint="eastAsia" w:ascii="Times New Roman" w:hAnsi="Times New Roman" w:eastAsia="宋体" w:cs="Times New Roman"/>
          <w:snapToGrid w:val="0"/>
          <w:color w:val="auto"/>
          <w:kern w:val="0"/>
          <w:sz w:val="32"/>
          <w:szCs w:val="32"/>
          <w:lang w:val="en-US" w:eastAsia="zh-CN"/>
        </w:rPr>
        <w:t>附件2：清蓝危废制桶项目备案告知书</w:t>
      </w:r>
      <w:r>
        <w:rPr>
          <w:color w:val="auto"/>
        </w:rPr>
        <w:drawing>
          <wp:inline distT="0" distB="0" distL="114300" distR="114300">
            <wp:extent cx="5935345" cy="8415020"/>
            <wp:effectExtent l="0" t="0" r="8255" b="5080"/>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46"/>
                    <a:stretch>
                      <a:fillRect/>
                    </a:stretch>
                  </pic:blipFill>
                  <pic:spPr>
                    <a:xfrm>
                      <a:off x="0" y="0"/>
                      <a:ext cx="5935345" cy="8415020"/>
                    </a:xfrm>
                    <a:prstGeom prst="rect">
                      <a:avLst/>
                    </a:prstGeom>
                    <a:noFill/>
                    <a:ln>
                      <a:noFill/>
                    </a:ln>
                  </pic:spPr>
                </pic:pic>
              </a:graphicData>
            </a:graphic>
          </wp:inline>
        </w:drawing>
      </w:r>
    </w:p>
    <w:p w14:paraId="69A86A17">
      <w:pPr>
        <w:keepNext w:val="0"/>
        <w:keepLines w:val="0"/>
        <w:pageBreakBefore w:val="0"/>
        <w:widowControl w:val="0"/>
        <w:kinsoku/>
        <w:wordWrap/>
        <w:overflowPunct/>
        <w:topLinePunct w:val="0"/>
        <w:autoSpaceDE w:val="0"/>
        <w:autoSpaceDN w:val="0"/>
        <w:bidi w:val="0"/>
        <w:adjustRightInd w:val="0"/>
        <w:snapToGrid w:val="0"/>
        <w:spacing w:beforeAutospacing="0" w:afterAutospacing="0"/>
        <w:jc w:val="left"/>
        <w:textAlignment w:val="auto"/>
        <w:outlineLvl w:val="0"/>
        <w:rPr>
          <w:rFonts w:hint="eastAsia" w:ascii="Times New Roman" w:hAnsi="Times New Roman" w:eastAsia="宋体" w:cs="Times New Roman"/>
          <w:snapToGrid w:val="0"/>
          <w:color w:val="auto"/>
          <w:kern w:val="0"/>
          <w:sz w:val="32"/>
          <w:szCs w:val="32"/>
          <w:lang w:val="en-US" w:eastAsia="zh-CN"/>
        </w:rPr>
      </w:pPr>
      <w:r>
        <w:rPr>
          <w:rFonts w:hint="eastAsia" w:ascii="Times New Roman" w:hAnsi="Times New Roman" w:eastAsia="宋体" w:cs="Times New Roman"/>
          <w:snapToGrid w:val="0"/>
          <w:color w:val="auto"/>
          <w:kern w:val="0"/>
          <w:sz w:val="32"/>
          <w:szCs w:val="32"/>
          <w:lang w:val="en-US" w:eastAsia="zh-CN"/>
        </w:rPr>
        <w:t>附件3：美力坚清蓝危废处置有限公司资质</w:t>
      </w:r>
    </w:p>
    <w:p w14:paraId="77B872F6">
      <w:pPr>
        <w:pStyle w:val="14"/>
        <w:rPr>
          <w:rFonts w:hint="eastAsia" w:ascii="Times New Roman" w:hAnsi="Times New Roman" w:eastAsia="宋体" w:cs="Times New Roman"/>
          <w:snapToGrid w:val="0"/>
          <w:color w:val="auto"/>
          <w:kern w:val="0"/>
          <w:sz w:val="32"/>
          <w:szCs w:val="32"/>
          <w:lang w:val="en-US" w:eastAsia="zh-CN"/>
        </w:rPr>
      </w:pPr>
      <w:r>
        <w:rPr>
          <w:color w:val="auto"/>
        </w:rPr>
        <w:drawing>
          <wp:inline distT="0" distB="0" distL="114300" distR="114300">
            <wp:extent cx="7654925" cy="5419090"/>
            <wp:effectExtent l="0" t="0" r="3175" b="1016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47"/>
                    <a:stretch>
                      <a:fillRect/>
                    </a:stretch>
                  </pic:blipFill>
                  <pic:spPr>
                    <a:xfrm>
                      <a:off x="0" y="0"/>
                      <a:ext cx="7654925" cy="5419090"/>
                    </a:xfrm>
                    <a:prstGeom prst="rect">
                      <a:avLst/>
                    </a:prstGeom>
                    <a:noFill/>
                    <a:ln>
                      <a:noFill/>
                    </a:ln>
                  </pic:spPr>
                </pic:pic>
              </a:graphicData>
            </a:graphic>
          </wp:inline>
        </w:drawing>
      </w:r>
      <w:r>
        <w:rPr>
          <w:color w:val="auto"/>
        </w:rPr>
        <w:drawing>
          <wp:inline distT="0" distB="0" distL="114300" distR="114300">
            <wp:extent cx="7952740" cy="5598795"/>
            <wp:effectExtent l="0" t="0" r="10160" b="1905"/>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48"/>
                    <a:stretch>
                      <a:fillRect/>
                    </a:stretch>
                  </pic:blipFill>
                  <pic:spPr>
                    <a:xfrm>
                      <a:off x="0" y="0"/>
                      <a:ext cx="7952740" cy="5598795"/>
                    </a:xfrm>
                    <a:prstGeom prst="rect">
                      <a:avLst/>
                    </a:prstGeom>
                    <a:noFill/>
                    <a:ln>
                      <a:noFill/>
                    </a:ln>
                  </pic:spPr>
                </pic:pic>
              </a:graphicData>
            </a:graphic>
          </wp:inline>
        </w:drawing>
      </w:r>
      <w:r>
        <w:rPr>
          <w:color w:val="auto"/>
        </w:rPr>
        <w:drawing>
          <wp:inline distT="0" distB="0" distL="114300" distR="114300">
            <wp:extent cx="8336915" cy="5843905"/>
            <wp:effectExtent l="0" t="0" r="6985" b="4445"/>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49"/>
                    <a:stretch>
                      <a:fillRect/>
                    </a:stretch>
                  </pic:blipFill>
                  <pic:spPr>
                    <a:xfrm>
                      <a:off x="0" y="0"/>
                      <a:ext cx="8336915" cy="5843905"/>
                    </a:xfrm>
                    <a:prstGeom prst="rect">
                      <a:avLst/>
                    </a:prstGeom>
                    <a:noFill/>
                    <a:ln>
                      <a:noFill/>
                    </a:ln>
                  </pic:spPr>
                </pic:pic>
              </a:graphicData>
            </a:graphic>
          </wp:inline>
        </w:drawing>
      </w:r>
    </w:p>
    <w:p w14:paraId="0D232FF4">
      <w:pPr>
        <w:rPr>
          <w:rFonts w:hint="eastAsia"/>
          <w:color w:val="auto"/>
          <w:lang w:val="en-US" w:eastAsia="zh-CN"/>
        </w:rPr>
        <w:sectPr>
          <w:pgSz w:w="16838" w:h="11906" w:orient="landscape"/>
          <w:pgMar w:top="1083" w:right="1440" w:bottom="1083" w:left="1440" w:header="851" w:footer="850" w:gutter="0"/>
          <w:pgBorders>
            <w:top w:val="none" w:sz="0" w:space="0"/>
            <w:left w:val="none" w:sz="0" w:space="0"/>
            <w:bottom w:val="none" w:sz="0" w:space="0"/>
            <w:right w:val="none" w:sz="0" w:space="0"/>
          </w:pgBorders>
          <w:pgNumType w:fmt="decimal"/>
          <w:cols w:space="720" w:num="1"/>
          <w:docGrid w:linePitch="312" w:charSpace="0"/>
        </w:sectPr>
      </w:pPr>
      <w:r>
        <w:rPr>
          <w:color w:val="auto"/>
        </w:rPr>
        <w:drawing>
          <wp:inline distT="0" distB="0" distL="114300" distR="114300">
            <wp:extent cx="8163560" cy="5697220"/>
            <wp:effectExtent l="0" t="0" r="8890" b="17780"/>
            <wp:docPr id="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pic:cNvPicPr>
                      <a:picLocks noChangeAspect="1"/>
                    </pic:cNvPicPr>
                  </pic:nvPicPr>
                  <pic:blipFill>
                    <a:blip r:embed="rId50"/>
                    <a:stretch>
                      <a:fillRect/>
                    </a:stretch>
                  </pic:blipFill>
                  <pic:spPr>
                    <a:xfrm>
                      <a:off x="0" y="0"/>
                      <a:ext cx="8163560" cy="5697220"/>
                    </a:xfrm>
                    <a:prstGeom prst="rect">
                      <a:avLst/>
                    </a:prstGeom>
                    <a:noFill/>
                    <a:ln>
                      <a:noFill/>
                    </a:ln>
                  </pic:spPr>
                </pic:pic>
              </a:graphicData>
            </a:graphic>
          </wp:inline>
        </w:drawing>
      </w:r>
      <w:r>
        <w:rPr>
          <w:color w:val="auto"/>
        </w:rPr>
        <w:drawing>
          <wp:inline distT="0" distB="0" distL="114300" distR="114300">
            <wp:extent cx="7976870" cy="5592445"/>
            <wp:effectExtent l="0" t="0" r="5080" b="8255"/>
            <wp:docPr id="2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6"/>
                    <pic:cNvPicPr>
                      <a:picLocks noChangeAspect="1"/>
                    </pic:cNvPicPr>
                  </pic:nvPicPr>
                  <pic:blipFill>
                    <a:blip r:embed="rId51"/>
                    <a:stretch>
                      <a:fillRect/>
                    </a:stretch>
                  </pic:blipFill>
                  <pic:spPr>
                    <a:xfrm>
                      <a:off x="0" y="0"/>
                      <a:ext cx="7976870" cy="5592445"/>
                    </a:xfrm>
                    <a:prstGeom prst="rect">
                      <a:avLst/>
                    </a:prstGeom>
                    <a:noFill/>
                    <a:ln>
                      <a:noFill/>
                    </a:ln>
                  </pic:spPr>
                </pic:pic>
              </a:graphicData>
            </a:graphic>
          </wp:inline>
        </w:drawing>
      </w:r>
      <w:r>
        <w:rPr>
          <w:color w:val="auto"/>
        </w:rPr>
        <w:drawing>
          <wp:inline distT="0" distB="0" distL="114300" distR="114300">
            <wp:extent cx="8251190" cy="5777230"/>
            <wp:effectExtent l="0" t="0" r="16510" b="13970"/>
            <wp:docPr id="2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7"/>
                    <pic:cNvPicPr>
                      <a:picLocks noChangeAspect="1"/>
                    </pic:cNvPicPr>
                  </pic:nvPicPr>
                  <pic:blipFill>
                    <a:blip r:embed="rId52"/>
                    <a:stretch>
                      <a:fillRect/>
                    </a:stretch>
                  </pic:blipFill>
                  <pic:spPr>
                    <a:xfrm>
                      <a:off x="0" y="0"/>
                      <a:ext cx="8251190" cy="5777230"/>
                    </a:xfrm>
                    <a:prstGeom prst="rect">
                      <a:avLst/>
                    </a:prstGeom>
                    <a:noFill/>
                    <a:ln>
                      <a:noFill/>
                    </a:ln>
                  </pic:spPr>
                </pic:pic>
              </a:graphicData>
            </a:graphic>
          </wp:inline>
        </w:drawing>
      </w:r>
    </w:p>
    <w:p w14:paraId="284B6509">
      <w:pPr>
        <w:keepNext w:val="0"/>
        <w:keepLines w:val="0"/>
        <w:pageBreakBefore w:val="0"/>
        <w:widowControl w:val="0"/>
        <w:kinsoku/>
        <w:wordWrap/>
        <w:overflowPunct/>
        <w:topLinePunct w:val="0"/>
        <w:autoSpaceDE w:val="0"/>
        <w:autoSpaceDN w:val="0"/>
        <w:bidi w:val="0"/>
        <w:adjustRightInd w:val="0"/>
        <w:snapToGrid w:val="0"/>
        <w:spacing w:beforeAutospacing="0" w:afterAutospacing="0"/>
        <w:jc w:val="left"/>
        <w:textAlignment w:val="auto"/>
        <w:outlineLvl w:val="0"/>
        <w:rPr>
          <w:rFonts w:hint="eastAsia" w:ascii="Times New Roman" w:hAnsi="Times New Roman" w:eastAsia="宋体" w:cs="Times New Roman"/>
          <w:snapToGrid w:val="0"/>
          <w:color w:val="auto"/>
          <w:kern w:val="0"/>
          <w:sz w:val="32"/>
          <w:szCs w:val="32"/>
          <w:lang w:val="en-US" w:eastAsia="zh-CN"/>
        </w:rPr>
      </w:pPr>
      <w:r>
        <w:rPr>
          <w:rFonts w:hint="eastAsia" w:ascii="Times New Roman" w:hAnsi="Times New Roman" w:eastAsia="宋体" w:cs="Times New Roman"/>
          <w:snapToGrid w:val="0"/>
          <w:color w:val="auto"/>
          <w:kern w:val="0"/>
          <w:sz w:val="32"/>
          <w:szCs w:val="32"/>
          <w:lang w:val="en-US" w:eastAsia="zh-CN"/>
        </w:rPr>
        <w:t>附件4：无组织废气、噪声例行检测报告</w:t>
      </w:r>
    </w:p>
    <w:p w14:paraId="29AEFF94">
      <w:pPr>
        <w:pStyle w:val="14"/>
        <w:keepNext w:val="0"/>
        <w:keepLines w:val="0"/>
        <w:pageBreakBefore w:val="0"/>
        <w:widowControl w:val="0"/>
        <w:kinsoku/>
        <w:wordWrap/>
        <w:overflowPunct/>
        <w:topLinePunct w:val="0"/>
        <w:autoSpaceDE w:val="0"/>
        <w:autoSpaceDN w:val="0"/>
        <w:bidi w:val="0"/>
        <w:adjustRightInd w:val="0"/>
        <w:snapToGrid w:val="0"/>
        <w:spacing w:after="0"/>
        <w:ind w:left="0" w:leftChars="0"/>
        <w:textAlignment w:val="auto"/>
        <w:rPr>
          <w:rFonts w:hint="eastAsia"/>
          <w:color w:val="auto"/>
          <w:lang w:val="en-US" w:eastAsia="zh-CN"/>
        </w:rPr>
      </w:pPr>
      <w:r>
        <w:rPr>
          <w:rFonts w:hint="eastAsia"/>
          <w:color w:val="auto"/>
          <w:lang w:val="en-US" w:eastAsia="zh-CN"/>
        </w:rPr>
        <w:drawing>
          <wp:inline distT="0" distB="0" distL="114300" distR="114300">
            <wp:extent cx="5923915" cy="8384540"/>
            <wp:effectExtent l="0" t="0" r="635" b="16510"/>
            <wp:docPr id="54" name="图片 54" descr="4.无组织废气、噪声例行检测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4.无组织废气、噪声例行检测报告_01"/>
                    <pic:cNvPicPr>
                      <a:picLocks noChangeAspect="1"/>
                    </pic:cNvPicPr>
                  </pic:nvPicPr>
                  <pic:blipFill>
                    <a:blip r:embed="rId53"/>
                    <a:stretch>
                      <a:fillRect/>
                    </a:stretch>
                  </pic:blipFill>
                  <pic:spPr>
                    <a:xfrm>
                      <a:off x="0" y="0"/>
                      <a:ext cx="5923915" cy="838454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53" name="图片 53" descr="4.无组织废气、噪声例行检测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4.无组织废气、噪声例行检测报告_02"/>
                    <pic:cNvPicPr>
                      <a:picLocks noChangeAspect="1"/>
                    </pic:cNvPicPr>
                  </pic:nvPicPr>
                  <pic:blipFill>
                    <a:blip r:embed="rId54"/>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52" name="图片 52" descr="4.无组织废气、噪声例行检测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4.无组织废气、噪声例行检测报告_03"/>
                    <pic:cNvPicPr>
                      <a:picLocks noChangeAspect="1"/>
                    </pic:cNvPicPr>
                  </pic:nvPicPr>
                  <pic:blipFill>
                    <a:blip r:embed="rId55"/>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51" name="图片 51" descr="4.无组织废气、噪声例行检测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4.无组织废气、噪声例行检测报告_04"/>
                    <pic:cNvPicPr>
                      <a:picLocks noChangeAspect="1"/>
                    </pic:cNvPicPr>
                  </pic:nvPicPr>
                  <pic:blipFill>
                    <a:blip r:embed="rId56"/>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50" name="图片 50" descr="4.无组织废气、噪声例行检测报告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4.无组织废气、噪声例行检测报告_05"/>
                    <pic:cNvPicPr>
                      <a:picLocks noChangeAspect="1"/>
                    </pic:cNvPicPr>
                  </pic:nvPicPr>
                  <pic:blipFill>
                    <a:blip r:embed="rId57"/>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49" name="图片 49" descr="4.无组织废气、噪声例行检测报告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4.无组织废气、噪声例行检测报告_06"/>
                    <pic:cNvPicPr>
                      <a:picLocks noChangeAspect="1"/>
                    </pic:cNvPicPr>
                  </pic:nvPicPr>
                  <pic:blipFill>
                    <a:blip r:embed="rId58"/>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48" name="图片 48" descr="4.无组织废气、噪声例行检测报告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4.无组织废气、噪声例行检测报告_07"/>
                    <pic:cNvPicPr>
                      <a:picLocks noChangeAspect="1"/>
                    </pic:cNvPicPr>
                  </pic:nvPicPr>
                  <pic:blipFill>
                    <a:blip r:embed="rId59"/>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47" name="图片 47" descr="4.无组织废气、噪声例行检测报告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4.无组织废气、噪声例行检测报告_08"/>
                    <pic:cNvPicPr>
                      <a:picLocks noChangeAspect="1"/>
                    </pic:cNvPicPr>
                  </pic:nvPicPr>
                  <pic:blipFill>
                    <a:blip r:embed="rId60"/>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46" name="图片 46" descr="4.无组织废气、噪声例行检测报告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4.无组织废气、噪声例行检测报告_09"/>
                    <pic:cNvPicPr>
                      <a:picLocks noChangeAspect="1"/>
                    </pic:cNvPicPr>
                  </pic:nvPicPr>
                  <pic:blipFill>
                    <a:blip r:embed="rId61"/>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45" name="图片 45" descr="4.无组织废气、噪声例行检测报告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4.无组织废气、噪声例行检测报告_10"/>
                    <pic:cNvPicPr>
                      <a:picLocks noChangeAspect="1"/>
                    </pic:cNvPicPr>
                  </pic:nvPicPr>
                  <pic:blipFill>
                    <a:blip r:embed="rId62"/>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44" name="图片 44" descr="4.无组织废气、噪声例行检测报告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4.无组织废气、噪声例行检测报告_11"/>
                    <pic:cNvPicPr>
                      <a:picLocks noChangeAspect="1"/>
                    </pic:cNvPicPr>
                  </pic:nvPicPr>
                  <pic:blipFill>
                    <a:blip r:embed="rId63"/>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43" name="图片 43" descr="4.无组织废气、噪声例行检测报告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4.无组织废气、噪声例行检测报告_12"/>
                    <pic:cNvPicPr>
                      <a:picLocks noChangeAspect="1"/>
                    </pic:cNvPicPr>
                  </pic:nvPicPr>
                  <pic:blipFill>
                    <a:blip r:embed="rId64"/>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42" name="图片 42" descr="4.无组织废气、噪声例行检测报告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4.无组织废气、噪声例行检测报告_13"/>
                    <pic:cNvPicPr>
                      <a:picLocks noChangeAspect="1"/>
                    </pic:cNvPicPr>
                  </pic:nvPicPr>
                  <pic:blipFill>
                    <a:blip r:embed="rId65"/>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41" name="图片 41" descr="4.无组织废气、噪声例行检测报告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4.无组织废气、噪声例行检测报告_14"/>
                    <pic:cNvPicPr>
                      <a:picLocks noChangeAspect="1"/>
                    </pic:cNvPicPr>
                  </pic:nvPicPr>
                  <pic:blipFill>
                    <a:blip r:embed="rId66"/>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40" name="图片 40" descr="4.无组织废气、噪声例行检测报告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4.无组织废气、噪声例行检测报告_15"/>
                    <pic:cNvPicPr>
                      <a:picLocks noChangeAspect="1"/>
                    </pic:cNvPicPr>
                  </pic:nvPicPr>
                  <pic:blipFill>
                    <a:blip r:embed="rId67"/>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39" name="图片 39" descr="4.无组织废气、噪声例行检测报告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4.无组织废气、噪声例行检测报告_16"/>
                    <pic:cNvPicPr>
                      <a:picLocks noChangeAspect="1"/>
                    </pic:cNvPicPr>
                  </pic:nvPicPr>
                  <pic:blipFill>
                    <a:blip r:embed="rId68"/>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38" name="图片 38" descr="4.无组织废气、噪声例行检测报告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4.无组织废气、噪声例行检测报告_17"/>
                    <pic:cNvPicPr>
                      <a:picLocks noChangeAspect="1"/>
                    </pic:cNvPicPr>
                  </pic:nvPicPr>
                  <pic:blipFill>
                    <a:blip r:embed="rId69"/>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37" name="图片 37" descr="4.无组织废气、噪声例行检测报告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4.无组织废气、噪声例行检测报告_18"/>
                    <pic:cNvPicPr>
                      <a:picLocks noChangeAspect="1"/>
                    </pic:cNvPicPr>
                  </pic:nvPicPr>
                  <pic:blipFill>
                    <a:blip r:embed="rId70"/>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36" name="图片 36" descr="4.无组织废气、噪声例行检测报告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4.无组织废气、噪声例行检测报告_19"/>
                    <pic:cNvPicPr>
                      <a:picLocks noChangeAspect="1"/>
                    </pic:cNvPicPr>
                  </pic:nvPicPr>
                  <pic:blipFill>
                    <a:blip r:embed="rId71"/>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35" name="图片 35" descr="4.无组织废气、噪声例行检测报告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4.无组织废气、噪声例行检测报告_20"/>
                    <pic:cNvPicPr>
                      <a:picLocks noChangeAspect="1"/>
                    </pic:cNvPicPr>
                  </pic:nvPicPr>
                  <pic:blipFill>
                    <a:blip r:embed="rId72"/>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34" name="图片 34" descr="4.无组织废气、噪声例行检测报告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4.无组织废气、噪声例行检测报告_21"/>
                    <pic:cNvPicPr>
                      <a:picLocks noChangeAspect="1"/>
                    </pic:cNvPicPr>
                  </pic:nvPicPr>
                  <pic:blipFill>
                    <a:blip r:embed="rId73"/>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33" name="图片 33" descr="4.无组织废气、噪声例行检测报告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4.无组织废气、噪声例行检测报告_22"/>
                    <pic:cNvPicPr>
                      <a:picLocks noChangeAspect="1"/>
                    </pic:cNvPicPr>
                  </pic:nvPicPr>
                  <pic:blipFill>
                    <a:blip r:embed="rId74"/>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32" name="图片 32" descr="4.无组织废气、噪声例行检测报告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4.无组织废气、噪声例行检测报告_23"/>
                    <pic:cNvPicPr>
                      <a:picLocks noChangeAspect="1"/>
                    </pic:cNvPicPr>
                  </pic:nvPicPr>
                  <pic:blipFill>
                    <a:blip r:embed="rId75"/>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31" name="图片 31" descr="4.无组织废气、噪声例行检测报告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4.无组织废气、噪声例行检测报告_24"/>
                    <pic:cNvPicPr>
                      <a:picLocks noChangeAspect="1"/>
                    </pic:cNvPicPr>
                  </pic:nvPicPr>
                  <pic:blipFill>
                    <a:blip r:embed="rId76"/>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30" name="图片 30" descr="4.无组织废气、噪声例行检测报告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4.无组织废气、噪声例行检测报告_25"/>
                    <pic:cNvPicPr>
                      <a:picLocks noChangeAspect="1"/>
                    </pic:cNvPicPr>
                  </pic:nvPicPr>
                  <pic:blipFill>
                    <a:blip r:embed="rId77"/>
                    <a:stretch>
                      <a:fillRect/>
                    </a:stretch>
                  </pic:blipFill>
                  <pic:spPr>
                    <a:xfrm>
                      <a:off x="0" y="0"/>
                      <a:ext cx="6165215" cy="8726170"/>
                    </a:xfrm>
                    <a:prstGeom prst="rect">
                      <a:avLst/>
                    </a:prstGeom>
                  </pic:spPr>
                </pic:pic>
              </a:graphicData>
            </a:graphic>
          </wp:inline>
        </w:drawing>
      </w:r>
      <w:r>
        <w:rPr>
          <w:rFonts w:hint="eastAsia"/>
          <w:color w:val="auto"/>
          <w:lang w:val="en-US" w:eastAsia="zh-CN"/>
        </w:rPr>
        <w:drawing>
          <wp:inline distT="0" distB="0" distL="114300" distR="114300">
            <wp:extent cx="6165215" cy="8726170"/>
            <wp:effectExtent l="0" t="0" r="6985" b="17780"/>
            <wp:docPr id="29" name="图片 29" descr="4.无组织废气、噪声例行检测报告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4.无组织废气、噪声例行检测报告_26"/>
                    <pic:cNvPicPr>
                      <a:picLocks noChangeAspect="1"/>
                    </pic:cNvPicPr>
                  </pic:nvPicPr>
                  <pic:blipFill>
                    <a:blip r:embed="rId78"/>
                    <a:stretch>
                      <a:fillRect/>
                    </a:stretch>
                  </pic:blipFill>
                  <pic:spPr>
                    <a:xfrm>
                      <a:off x="0" y="0"/>
                      <a:ext cx="6165215" cy="8726170"/>
                    </a:xfrm>
                    <a:prstGeom prst="rect">
                      <a:avLst/>
                    </a:prstGeom>
                  </pic:spPr>
                </pic:pic>
              </a:graphicData>
            </a:graphic>
          </wp:inline>
        </w:drawing>
      </w:r>
    </w:p>
    <w:p w14:paraId="7E9E52CB">
      <w:pPr>
        <w:keepNext w:val="0"/>
        <w:keepLines w:val="0"/>
        <w:pageBreakBefore w:val="0"/>
        <w:widowControl w:val="0"/>
        <w:kinsoku/>
        <w:wordWrap/>
        <w:overflowPunct/>
        <w:topLinePunct w:val="0"/>
        <w:autoSpaceDE w:val="0"/>
        <w:autoSpaceDN w:val="0"/>
        <w:bidi w:val="0"/>
        <w:adjustRightInd w:val="0"/>
        <w:snapToGrid w:val="0"/>
        <w:spacing w:beforeAutospacing="0" w:afterAutospacing="0"/>
        <w:jc w:val="left"/>
        <w:textAlignment w:val="auto"/>
        <w:outlineLvl w:val="0"/>
        <w:rPr>
          <w:rFonts w:hint="eastAsia" w:ascii="Times New Roman" w:hAnsi="Times New Roman" w:eastAsia="宋体" w:cs="Times New Roman"/>
          <w:snapToGrid w:val="0"/>
          <w:color w:val="auto"/>
          <w:kern w:val="0"/>
          <w:sz w:val="32"/>
          <w:szCs w:val="32"/>
          <w:lang w:val="en-US" w:eastAsia="zh-CN"/>
        </w:rPr>
      </w:pPr>
      <w:r>
        <w:rPr>
          <w:rFonts w:hint="eastAsia" w:ascii="Times New Roman" w:hAnsi="Times New Roman" w:eastAsia="宋体" w:cs="Times New Roman"/>
          <w:snapToGrid w:val="0"/>
          <w:color w:val="auto"/>
          <w:kern w:val="0"/>
          <w:sz w:val="32"/>
          <w:szCs w:val="32"/>
          <w:lang w:val="en-US" w:eastAsia="zh-CN"/>
        </w:rPr>
        <w:t>附件5：厂区地下水例行检测报告</w:t>
      </w:r>
    </w:p>
    <w:p w14:paraId="0EFAA90C">
      <w:pPr>
        <w:keepNext w:val="0"/>
        <w:keepLines w:val="0"/>
        <w:pageBreakBefore w:val="0"/>
        <w:widowControl w:val="0"/>
        <w:kinsoku/>
        <w:wordWrap/>
        <w:overflowPunct/>
        <w:topLinePunct w:val="0"/>
        <w:autoSpaceDE w:val="0"/>
        <w:autoSpaceDN w:val="0"/>
        <w:bidi w:val="0"/>
        <w:adjustRightInd w:val="0"/>
        <w:snapToGrid w:val="0"/>
        <w:spacing w:beforeAutospacing="0" w:afterAutospacing="0"/>
        <w:jc w:val="left"/>
        <w:textAlignment w:val="auto"/>
        <w:outlineLvl w:val="9"/>
        <w:rPr>
          <w:rFonts w:hint="default" w:ascii="Times New Roman" w:hAnsi="Times New Roman" w:eastAsia="宋体" w:cs="Times New Roman"/>
          <w:snapToGrid w:val="0"/>
          <w:color w:val="auto"/>
          <w:kern w:val="0"/>
          <w:sz w:val="32"/>
          <w:szCs w:val="32"/>
          <w:lang w:val="en-US" w:eastAsia="zh-CN"/>
        </w:rPr>
      </w:pP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5754370" cy="8144510"/>
            <wp:effectExtent l="0" t="0" r="17780" b="8890"/>
            <wp:docPr id="66" name="图片 66" descr="5.厂区地下水例行检测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5.厂区地下水例行检测报告_01"/>
                    <pic:cNvPicPr>
                      <a:picLocks noChangeAspect="1"/>
                    </pic:cNvPicPr>
                  </pic:nvPicPr>
                  <pic:blipFill>
                    <a:blip r:embed="rId79"/>
                    <a:stretch>
                      <a:fillRect/>
                    </a:stretch>
                  </pic:blipFill>
                  <pic:spPr>
                    <a:xfrm>
                      <a:off x="0" y="0"/>
                      <a:ext cx="5754370" cy="814451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65" name="图片 65" descr="5.厂区地下水例行检测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5.厂区地下水例行检测报告_02"/>
                    <pic:cNvPicPr>
                      <a:picLocks noChangeAspect="1"/>
                    </pic:cNvPicPr>
                  </pic:nvPicPr>
                  <pic:blipFill>
                    <a:blip r:embed="rId80"/>
                    <a:stretch>
                      <a:fillRect/>
                    </a:stretch>
                  </pic:blipFill>
                  <pic:spPr>
                    <a:xfrm>
                      <a:off x="0" y="0"/>
                      <a:ext cx="6165215" cy="872617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64" name="图片 64" descr="5.厂区地下水例行检测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5.厂区地下水例行检测报告_03"/>
                    <pic:cNvPicPr>
                      <a:picLocks noChangeAspect="1"/>
                    </pic:cNvPicPr>
                  </pic:nvPicPr>
                  <pic:blipFill>
                    <a:blip r:embed="rId81"/>
                    <a:stretch>
                      <a:fillRect/>
                    </a:stretch>
                  </pic:blipFill>
                  <pic:spPr>
                    <a:xfrm>
                      <a:off x="0" y="0"/>
                      <a:ext cx="6165215" cy="872617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63" name="图片 63" descr="5.厂区地下水例行检测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5.厂区地下水例行检测报告_04"/>
                    <pic:cNvPicPr>
                      <a:picLocks noChangeAspect="1"/>
                    </pic:cNvPicPr>
                  </pic:nvPicPr>
                  <pic:blipFill>
                    <a:blip r:embed="rId82"/>
                    <a:stretch>
                      <a:fillRect/>
                    </a:stretch>
                  </pic:blipFill>
                  <pic:spPr>
                    <a:xfrm>
                      <a:off x="0" y="0"/>
                      <a:ext cx="6165215" cy="872617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62" name="图片 62" descr="5.厂区地下水例行检测报告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5.厂区地下水例行检测报告_05"/>
                    <pic:cNvPicPr>
                      <a:picLocks noChangeAspect="1"/>
                    </pic:cNvPicPr>
                  </pic:nvPicPr>
                  <pic:blipFill>
                    <a:blip r:embed="rId83"/>
                    <a:stretch>
                      <a:fillRect/>
                    </a:stretch>
                  </pic:blipFill>
                  <pic:spPr>
                    <a:xfrm>
                      <a:off x="0" y="0"/>
                      <a:ext cx="6165215" cy="872617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61" name="图片 61" descr="5.厂区地下水例行检测报告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5.厂区地下水例行检测报告_06"/>
                    <pic:cNvPicPr>
                      <a:picLocks noChangeAspect="1"/>
                    </pic:cNvPicPr>
                  </pic:nvPicPr>
                  <pic:blipFill>
                    <a:blip r:embed="rId84"/>
                    <a:stretch>
                      <a:fillRect/>
                    </a:stretch>
                  </pic:blipFill>
                  <pic:spPr>
                    <a:xfrm>
                      <a:off x="0" y="0"/>
                      <a:ext cx="6165215" cy="872617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60" name="图片 60" descr="5.厂区地下水例行检测报告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5.厂区地下水例行检测报告_07"/>
                    <pic:cNvPicPr>
                      <a:picLocks noChangeAspect="1"/>
                    </pic:cNvPicPr>
                  </pic:nvPicPr>
                  <pic:blipFill>
                    <a:blip r:embed="rId85"/>
                    <a:stretch>
                      <a:fillRect/>
                    </a:stretch>
                  </pic:blipFill>
                  <pic:spPr>
                    <a:xfrm>
                      <a:off x="0" y="0"/>
                      <a:ext cx="6165215" cy="872617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59" name="图片 59" descr="5.厂区地下水例行检测报告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5.厂区地下水例行检测报告_08"/>
                    <pic:cNvPicPr>
                      <a:picLocks noChangeAspect="1"/>
                    </pic:cNvPicPr>
                  </pic:nvPicPr>
                  <pic:blipFill>
                    <a:blip r:embed="rId86"/>
                    <a:stretch>
                      <a:fillRect/>
                    </a:stretch>
                  </pic:blipFill>
                  <pic:spPr>
                    <a:xfrm>
                      <a:off x="0" y="0"/>
                      <a:ext cx="6165215" cy="872617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58" name="图片 58" descr="5.厂区地下水例行检测报告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5.厂区地下水例行检测报告_09"/>
                    <pic:cNvPicPr>
                      <a:picLocks noChangeAspect="1"/>
                    </pic:cNvPicPr>
                  </pic:nvPicPr>
                  <pic:blipFill>
                    <a:blip r:embed="rId87"/>
                    <a:stretch>
                      <a:fillRect/>
                    </a:stretch>
                  </pic:blipFill>
                  <pic:spPr>
                    <a:xfrm>
                      <a:off x="0" y="0"/>
                      <a:ext cx="6165215" cy="872617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57" name="图片 57" descr="5.厂区地下水例行检测报告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厂区地下水例行检测报告_10"/>
                    <pic:cNvPicPr>
                      <a:picLocks noChangeAspect="1"/>
                    </pic:cNvPicPr>
                  </pic:nvPicPr>
                  <pic:blipFill>
                    <a:blip r:embed="rId88"/>
                    <a:stretch>
                      <a:fillRect/>
                    </a:stretch>
                  </pic:blipFill>
                  <pic:spPr>
                    <a:xfrm>
                      <a:off x="0" y="0"/>
                      <a:ext cx="6165215" cy="872617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56" name="图片 56" descr="5.厂区地下水例行检测报告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5.厂区地下水例行检测报告_11"/>
                    <pic:cNvPicPr>
                      <a:picLocks noChangeAspect="1"/>
                    </pic:cNvPicPr>
                  </pic:nvPicPr>
                  <pic:blipFill>
                    <a:blip r:embed="rId89"/>
                    <a:stretch>
                      <a:fillRect/>
                    </a:stretch>
                  </pic:blipFill>
                  <pic:spPr>
                    <a:xfrm>
                      <a:off x="0" y="0"/>
                      <a:ext cx="6165215" cy="8726170"/>
                    </a:xfrm>
                    <a:prstGeom prst="rect">
                      <a:avLst/>
                    </a:prstGeom>
                  </pic:spPr>
                </pic:pic>
              </a:graphicData>
            </a:graphic>
          </wp:inline>
        </w:drawing>
      </w:r>
      <w:r>
        <w:rPr>
          <w:rFonts w:hint="default" w:ascii="Times New Roman" w:hAnsi="Times New Roman" w:eastAsia="宋体" w:cs="Times New Roman"/>
          <w:snapToGrid w:val="0"/>
          <w:color w:val="auto"/>
          <w:kern w:val="0"/>
          <w:sz w:val="32"/>
          <w:szCs w:val="32"/>
          <w:lang w:val="en-US" w:eastAsia="zh-CN"/>
        </w:rPr>
        <w:drawing>
          <wp:inline distT="0" distB="0" distL="114300" distR="114300">
            <wp:extent cx="6165215" cy="8726170"/>
            <wp:effectExtent l="0" t="0" r="6985" b="17780"/>
            <wp:docPr id="55" name="图片 55" descr="5.厂区地下水例行检测报告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5.厂区地下水例行检测报告_12"/>
                    <pic:cNvPicPr>
                      <a:picLocks noChangeAspect="1"/>
                    </pic:cNvPicPr>
                  </pic:nvPicPr>
                  <pic:blipFill>
                    <a:blip r:embed="rId90"/>
                    <a:stretch>
                      <a:fillRect/>
                    </a:stretch>
                  </pic:blipFill>
                  <pic:spPr>
                    <a:xfrm>
                      <a:off x="0" y="0"/>
                      <a:ext cx="6165215" cy="8726170"/>
                    </a:xfrm>
                    <a:prstGeom prst="rect">
                      <a:avLst/>
                    </a:prstGeom>
                  </pic:spPr>
                </pic:pic>
              </a:graphicData>
            </a:graphic>
          </wp:inline>
        </w:drawing>
      </w:r>
    </w:p>
    <w:sectPr>
      <w:pgSz w:w="11906" w:h="16838"/>
      <w:pgMar w:top="1440" w:right="1083" w:bottom="1440" w:left="1083" w:header="851" w:footer="850"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D977C">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0E5FD">
    <w:pPr>
      <w:pStyle w:val="16"/>
      <w:framePr w:wrap="around" w:vAnchor="text" w:hAnchor="margin" w:xAlign="center" w:y="1"/>
      <w:rPr>
        <w:rStyle w:val="28"/>
      </w:rPr>
    </w:pPr>
    <w:r>
      <w:fldChar w:fldCharType="begin"/>
    </w:r>
    <w:r>
      <w:rPr>
        <w:rStyle w:val="28"/>
      </w:rPr>
      <w:instrText xml:space="preserve">PAGE  </w:instrText>
    </w:r>
    <w:r>
      <w:fldChar w:fldCharType="end"/>
    </w:r>
  </w:p>
  <w:p w14:paraId="6A83763C">
    <w:pPr>
      <w:pStyle w:val="1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F9CDF">
    <w:pPr>
      <w:pStyle w:val="16"/>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3E162">
                          <w:pPr>
                            <w:pStyle w:val="1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FF3E162">
                    <w:pPr>
                      <w:pStyle w:val="1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727FE">
    <w:pPr>
      <w:pStyle w:val="16"/>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3AA85">
                          <w:pPr>
                            <w:pStyle w:val="1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2653AA85">
                    <w:pPr>
                      <w:pStyle w:val="1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44</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60B3"/>
    <w:rsid w:val="00014E7E"/>
    <w:rsid w:val="000430A7"/>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0F62A0"/>
    <w:rsid w:val="00131F42"/>
    <w:rsid w:val="001357F1"/>
    <w:rsid w:val="00140FA8"/>
    <w:rsid w:val="001429B4"/>
    <w:rsid w:val="00142FEB"/>
    <w:rsid w:val="00143A2D"/>
    <w:rsid w:val="00145A41"/>
    <w:rsid w:val="0015099E"/>
    <w:rsid w:val="00151675"/>
    <w:rsid w:val="00157435"/>
    <w:rsid w:val="00165985"/>
    <w:rsid w:val="0017504D"/>
    <w:rsid w:val="0017671A"/>
    <w:rsid w:val="00177422"/>
    <w:rsid w:val="00184590"/>
    <w:rsid w:val="001870D1"/>
    <w:rsid w:val="0018781E"/>
    <w:rsid w:val="0019262D"/>
    <w:rsid w:val="001A1B35"/>
    <w:rsid w:val="001A48A2"/>
    <w:rsid w:val="001A6F61"/>
    <w:rsid w:val="001A6FCF"/>
    <w:rsid w:val="001B72B8"/>
    <w:rsid w:val="001C69B3"/>
    <w:rsid w:val="001D5595"/>
    <w:rsid w:val="001D7874"/>
    <w:rsid w:val="001D7F22"/>
    <w:rsid w:val="001F0501"/>
    <w:rsid w:val="001F0F17"/>
    <w:rsid w:val="001F3347"/>
    <w:rsid w:val="001F69E4"/>
    <w:rsid w:val="00202C4B"/>
    <w:rsid w:val="00205DF6"/>
    <w:rsid w:val="002125B4"/>
    <w:rsid w:val="00213BE7"/>
    <w:rsid w:val="002155B8"/>
    <w:rsid w:val="00224839"/>
    <w:rsid w:val="002249B2"/>
    <w:rsid w:val="00226574"/>
    <w:rsid w:val="002278EC"/>
    <w:rsid w:val="0023280E"/>
    <w:rsid w:val="002377D1"/>
    <w:rsid w:val="002506BC"/>
    <w:rsid w:val="00254345"/>
    <w:rsid w:val="00255BDF"/>
    <w:rsid w:val="00255F34"/>
    <w:rsid w:val="00264557"/>
    <w:rsid w:val="00271029"/>
    <w:rsid w:val="002805AB"/>
    <w:rsid w:val="00284204"/>
    <w:rsid w:val="00291773"/>
    <w:rsid w:val="00294CD4"/>
    <w:rsid w:val="002A168C"/>
    <w:rsid w:val="002A3DC7"/>
    <w:rsid w:val="002B49E2"/>
    <w:rsid w:val="002B6770"/>
    <w:rsid w:val="002B7B00"/>
    <w:rsid w:val="002B7C44"/>
    <w:rsid w:val="002C2A28"/>
    <w:rsid w:val="002C2B17"/>
    <w:rsid w:val="002D3DD0"/>
    <w:rsid w:val="002E1F3A"/>
    <w:rsid w:val="002E298A"/>
    <w:rsid w:val="00301978"/>
    <w:rsid w:val="0030332C"/>
    <w:rsid w:val="00303793"/>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90B03"/>
    <w:rsid w:val="003A4BF3"/>
    <w:rsid w:val="003B420D"/>
    <w:rsid w:val="003C6C16"/>
    <w:rsid w:val="003D110D"/>
    <w:rsid w:val="003D4119"/>
    <w:rsid w:val="003D794D"/>
    <w:rsid w:val="003E3058"/>
    <w:rsid w:val="003E76A9"/>
    <w:rsid w:val="003F0809"/>
    <w:rsid w:val="003F6A8C"/>
    <w:rsid w:val="003F755C"/>
    <w:rsid w:val="00406F01"/>
    <w:rsid w:val="00416D50"/>
    <w:rsid w:val="00416FD5"/>
    <w:rsid w:val="00417772"/>
    <w:rsid w:val="00417E88"/>
    <w:rsid w:val="00420E6A"/>
    <w:rsid w:val="00425A9E"/>
    <w:rsid w:val="00426D6B"/>
    <w:rsid w:val="00431E6C"/>
    <w:rsid w:val="00433CE7"/>
    <w:rsid w:val="00452738"/>
    <w:rsid w:val="00454E8E"/>
    <w:rsid w:val="00456091"/>
    <w:rsid w:val="00466321"/>
    <w:rsid w:val="004668C4"/>
    <w:rsid w:val="0047314A"/>
    <w:rsid w:val="004763EE"/>
    <w:rsid w:val="004811A7"/>
    <w:rsid w:val="00484170"/>
    <w:rsid w:val="00484B9B"/>
    <w:rsid w:val="004855F6"/>
    <w:rsid w:val="0048661E"/>
    <w:rsid w:val="00494670"/>
    <w:rsid w:val="004A3823"/>
    <w:rsid w:val="004B6B15"/>
    <w:rsid w:val="004D2A60"/>
    <w:rsid w:val="004E6946"/>
    <w:rsid w:val="004F1AD8"/>
    <w:rsid w:val="005039CB"/>
    <w:rsid w:val="0050558F"/>
    <w:rsid w:val="00506286"/>
    <w:rsid w:val="00510813"/>
    <w:rsid w:val="00511990"/>
    <w:rsid w:val="00511DE0"/>
    <w:rsid w:val="00514870"/>
    <w:rsid w:val="00514B9B"/>
    <w:rsid w:val="00517F02"/>
    <w:rsid w:val="00520AED"/>
    <w:rsid w:val="00524303"/>
    <w:rsid w:val="005258A2"/>
    <w:rsid w:val="005401AE"/>
    <w:rsid w:val="00542E07"/>
    <w:rsid w:val="00545424"/>
    <w:rsid w:val="00553569"/>
    <w:rsid w:val="00554A7B"/>
    <w:rsid w:val="0055572C"/>
    <w:rsid w:val="0056106A"/>
    <w:rsid w:val="005720AE"/>
    <w:rsid w:val="00580759"/>
    <w:rsid w:val="00594D77"/>
    <w:rsid w:val="005969E4"/>
    <w:rsid w:val="005A06B7"/>
    <w:rsid w:val="005A1759"/>
    <w:rsid w:val="005A68A7"/>
    <w:rsid w:val="005B4019"/>
    <w:rsid w:val="005D36AB"/>
    <w:rsid w:val="006142A4"/>
    <w:rsid w:val="00617CC3"/>
    <w:rsid w:val="00626AD4"/>
    <w:rsid w:val="006377A6"/>
    <w:rsid w:val="00637A3D"/>
    <w:rsid w:val="006411EF"/>
    <w:rsid w:val="00667270"/>
    <w:rsid w:val="006748B8"/>
    <w:rsid w:val="006775C3"/>
    <w:rsid w:val="0069290A"/>
    <w:rsid w:val="0069775A"/>
    <w:rsid w:val="00697813"/>
    <w:rsid w:val="006A1924"/>
    <w:rsid w:val="006A3EE8"/>
    <w:rsid w:val="006A72BF"/>
    <w:rsid w:val="006B03F2"/>
    <w:rsid w:val="006B37DC"/>
    <w:rsid w:val="006B4F68"/>
    <w:rsid w:val="006C0592"/>
    <w:rsid w:val="006C272E"/>
    <w:rsid w:val="006C5479"/>
    <w:rsid w:val="006D13B5"/>
    <w:rsid w:val="006E12FF"/>
    <w:rsid w:val="006E1646"/>
    <w:rsid w:val="006E607E"/>
    <w:rsid w:val="006F695B"/>
    <w:rsid w:val="006F7E3B"/>
    <w:rsid w:val="00706C5D"/>
    <w:rsid w:val="00732922"/>
    <w:rsid w:val="0075162E"/>
    <w:rsid w:val="00754034"/>
    <w:rsid w:val="00756556"/>
    <w:rsid w:val="007618C4"/>
    <w:rsid w:val="00767980"/>
    <w:rsid w:val="00770B19"/>
    <w:rsid w:val="0077463F"/>
    <w:rsid w:val="00780470"/>
    <w:rsid w:val="007836EA"/>
    <w:rsid w:val="00784CDA"/>
    <w:rsid w:val="007906C4"/>
    <w:rsid w:val="007940EA"/>
    <w:rsid w:val="007967E8"/>
    <w:rsid w:val="007A2170"/>
    <w:rsid w:val="007A22BF"/>
    <w:rsid w:val="007A3323"/>
    <w:rsid w:val="007B72B8"/>
    <w:rsid w:val="007B7A58"/>
    <w:rsid w:val="007C21B5"/>
    <w:rsid w:val="007D375C"/>
    <w:rsid w:val="007E4BD2"/>
    <w:rsid w:val="00801393"/>
    <w:rsid w:val="00802F88"/>
    <w:rsid w:val="008055FD"/>
    <w:rsid w:val="00807056"/>
    <w:rsid w:val="0081293E"/>
    <w:rsid w:val="00815465"/>
    <w:rsid w:val="00817E9A"/>
    <w:rsid w:val="008306BD"/>
    <w:rsid w:val="00831A80"/>
    <w:rsid w:val="00833743"/>
    <w:rsid w:val="008340A4"/>
    <w:rsid w:val="00837ACB"/>
    <w:rsid w:val="00850D0F"/>
    <w:rsid w:val="00852E23"/>
    <w:rsid w:val="0087135F"/>
    <w:rsid w:val="00872D94"/>
    <w:rsid w:val="00880364"/>
    <w:rsid w:val="00891592"/>
    <w:rsid w:val="00891E9E"/>
    <w:rsid w:val="008A2F68"/>
    <w:rsid w:val="008B2776"/>
    <w:rsid w:val="008B4FA6"/>
    <w:rsid w:val="008B5282"/>
    <w:rsid w:val="008B7C17"/>
    <w:rsid w:val="008C2D01"/>
    <w:rsid w:val="008C40E6"/>
    <w:rsid w:val="008D0F7A"/>
    <w:rsid w:val="008D68E4"/>
    <w:rsid w:val="008E0506"/>
    <w:rsid w:val="008E0CFF"/>
    <w:rsid w:val="008E5D6B"/>
    <w:rsid w:val="008E76F0"/>
    <w:rsid w:val="008F0295"/>
    <w:rsid w:val="008F15FE"/>
    <w:rsid w:val="008F2D29"/>
    <w:rsid w:val="008F5187"/>
    <w:rsid w:val="008F60D8"/>
    <w:rsid w:val="00902727"/>
    <w:rsid w:val="0090312B"/>
    <w:rsid w:val="0091736D"/>
    <w:rsid w:val="0093037A"/>
    <w:rsid w:val="0094154D"/>
    <w:rsid w:val="0095155F"/>
    <w:rsid w:val="00952339"/>
    <w:rsid w:val="00954429"/>
    <w:rsid w:val="009563CE"/>
    <w:rsid w:val="009630B9"/>
    <w:rsid w:val="00976328"/>
    <w:rsid w:val="0097680D"/>
    <w:rsid w:val="00982438"/>
    <w:rsid w:val="0098404C"/>
    <w:rsid w:val="00985283"/>
    <w:rsid w:val="009859BC"/>
    <w:rsid w:val="00995992"/>
    <w:rsid w:val="009A03E5"/>
    <w:rsid w:val="009A0805"/>
    <w:rsid w:val="009A0F3B"/>
    <w:rsid w:val="009A1BB4"/>
    <w:rsid w:val="009A2628"/>
    <w:rsid w:val="009A3200"/>
    <w:rsid w:val="009A695B"/>
    <w:rsid w:val="009B0897"/>
    <w:rsid w:val="009B7BD9"/>
    <w:rsid w:val="009C5197"/>
    <w:rsid w:val="009C7A16"/>
    <w:rsid w:val="009C7DD5"/>
    <w:rsid w:val="009D0DF8"/>
    <w:rsid w:val="009E227D"/>
    <w:rsid w:val="009E5019"/>
    <w:rsid w:val="00A04F1B"/>
    <w:rsid w:val="00A0501B"/>
    <w:rsid w:val="00A14947"/>
    <w:rsid w:val="00A15B9B"/>
    <w:rsid w:val="00A32A83"/>
    <w:rsid w:val="00A368DB"/>
    <w:rsid w:val="00A423AA"/>
    <w:rsid w:val="00A53EC6"/>
    <w:rsid w:val="00A55C0F"/>
    <w:rsid w:val="00A66F17"/>
    <w:rsid w:val="00A86095"/>
    <w:rsid w:val="00A8713F"/>
    <w:rsid w:val="00A90BA1"/>
    <w:rsid w:val="00A97A9A"/>
    <w:rsid w:val="00AA0671"/>
    <w:rsid w:val="00AA2531"/>
    <w:rsid w:val="00AB1E09"/>
    <w:rsid w:val="00AB5330"/>
    <w:rsid w:val="00AB7747"/>
    <w:rsid w:val="00AC14CE"/>
    <w:rsid w:val="00AC2A56"/>
    <w:rsid w:val="00AC70F0"/>
    <w:rsid w:val="00AD055E"/>
    <w:rsid w:val="00AD47A7"/>
    <w:rsid w:val="00AF0CBF"/>
    <w:rsid w:val="00AF257F"/>
    <w:rsid w:val="00AF33CF"/>
    <w:rsid w:val="00AF4D50"/>
    <w:rsid w:val="00AF6179"/>
    <w:rsid w:val="00AF6232"/>
    <w:rsid w:val="00B02505"/>
    <w:rsid w:val="00B067D3"/>
    <w:rsid w:val="00B1295A"/>
    <w:rsid w:val="00B20A45"/>
    <w:rsid w:val="00B22C5C"/>
    <w:rsid w:val="00B24F30"/>
    <w:rsid w:val="00B308ED"/>
    <w:rsid w:val="00B31ABF"/>
    <w:rsid w:val="00B338FC"/>
    <w:rsid w:val="00B33BE3"/>
    <w:rsid w:val="00B41974"/>
    <w:rsid w:val="00B4436C"/>
    <w:rsid w:val="00B53B5D"/>
    <w:rsid w:val="00B6055E"/>
    <w:rsid w:val="00B612F5"/>
    <w:rsid w:val="00B6317D"/>
    <w:rsid w:val="00B7347F"/>
    <w:rsid w:val="00B7723F"/>
    <w:rsid w:val="00B80534"/>
    <w:rsid w:val="00B8433C"/>
    <w:rsid w:val="00B8586A"/>
    <w:rsid w:val="00B87491"/>
    <w:rsid w:val="00B91524"/>
    <w:rsid w:val="00BA29E9"/>
    <w:rsid w:val="00BA7142"/>
    <w:rsid w:val="00BB237C"/>
    <w:rsid w:val="00BB41A3"/>
    <w:rsid w:val="00BC32DC"/>
    <w:rsid w:val="00BC35B6"/>
    <w:rsid w:val="00BD1574"/>
    <w:rsid w:val="00BD1B51"/>
    <w:rsid w:val="00BD4596"/>
    <w:rsid w:val="00BE1405"/>
    <w:rsid w:val="00BE2987"/>
    <w:rsid w:val="00BE312D"/>
    <w:rsid w:val="00BF1C20"/>
    <w:rsid w:val="00C02BEF"/>
    <w:rsid w:val="00C10578"/>
    <w:rsid w:val="00C135BC"/>
    <w:rsid w:val="00C15C95"/>
    <w:rsid w:val="00C2596A"/>
    <w:rsid w:val="00C27537"/>
    <w:rsid w:val="00C328FE"/>
    <w:rsid w:val="00C33507"/>
    <w:rsid w:val="00C35E28"/>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110E"/>
    <w:rsid w:val="00CD2BCD"/>
    <w:rsid w:val="00CD3A4C"/>
    <w:rsid w:val="00CD66FB"/>
    <w:rsid w:val="00CE10E9"/>
    <w:rsid w:val="00CE2910"/>
    <w:rsid w:val="00CE43BA"/>
    <w:rsid w:val="00CE5393"/>
    <w:rsid w:val="00CF36BE"/>
    <w:rsid w:val="00CF6000"/>
    <w:rsid w:val="00D003F3"/>
    <w:rsid w:val="00D0364F"/>
    <w:rsid w:val="00D06834"/>
    <w:rsid w:val="00D124EF"/>
    <w:rsid w:val="00D2213B"/>
    <w:rsid w:val="00D308ED"/>
    <w:rsid w:val="00D36D86"/>
    <w:rsid w:val="00D428AA"/>
    <w:rsid w:val="00D50A34"/>
    <w:rsid w:val="00D53EFA"/>
    <w:rsid w:val="00D94A7C"/>
    <w:rsid w:val="00D95896"/>
    <w:rsid w:val="00D963D8"/>
    <w:rsid w:val="00D976E5"/>
    <w:rsid w:val="00DB2983"/>
    <w:rsid w:val="00DC1257"/>
    <w:rsid w:val="00DC3DC0"/>
    <w:rsid w:val="00DC5B2B"/>
    <w:rsid w:val="00DD318D"/>
    <w:rsid w:val="00DE7F98"/>
    <w:rsid w:val="00DF2E12"/>
    <w:rsid w:val="00DF514A"/>
    <w:rsid w:val="00DF6690"/>
    <w:rsid w:val="00DF6804"/>
    <w:rsid w:val="00E0358D"/>
    <w:rsid w:val="00E04323"/>
    <w:rsid w:val="00E070A2"/>
    <w:rsid w:val="00E251A5"/>
    <w:rsid w:val="00E2656A"/>
    <w:rsid w:val="00E3011F"/>
    <w:rsid w:val="00E412D0"/>
    <w:rsid w:val="00E51D3E"/>
    <w:rsid w:val="00E56322"/>
    <w:rsid w:val="00E60982"/>
    <w:rsid w:val="00E62C62"/>
    <w:rsid w:val="00E654C1"/>
    <w:rsid w:val="00E65D97"/>
    <w:rsid w:val="00E72A5A"/>
    <w:rsid w:val="00E73354"/>
    <w:rsid w:val="00E9242D"/>
    <w:rsid w:val="00E95216"/>
    <w:rsid w:val="00EA5D54"/>
    <w:rsid w:val="00EB5255"/>
    <w:rsid w:val="00EB5C47"/>
    <w:rsid w:val="00EC67C2"/>
    <w:rsid w:val="00ED0639"/>
    <w:rsid w:val="00EF4755"/>
    <w:rsid w:val="00EF7135"/>
    <w:rsid w:val="00F027DB"/>
    <w:rsid w:val="00F14A7A"/>
    <w:rsid w:val="00F2020F"/>
    <w:rsid w:val="00F22985"/>
    <w:rsid w:val="00F3383E"/>
    <w:rsid w:val="00F3698F"/>
    <w:rsid w:val="00F465A7"/>
    <w:rsid w:val="00F50B7C"/>
    <w:rsid w:val="00F550E6"/>
    <w:rsid w:val="00F66001"/>
    <w:rsid w:val="00F74345"/>
    <w:rsid w:val="00F80A0A"/>
    <w:rsid w:val="00F82B19"/>
    <w:rsid w:val="00F85CDF"/>
    <w:rsid w:val="00F9212D"/>
    <w:rsid w:val="00F965DA"/>
    <w:rsid w:val="00FA406A"/>
    <w:rsid w:val="00FB503A"/>
    <w:rsid w:val="00FB516C"/>
    <w:rsid w:val="00FC40D9"/>
    <w:rsid w:val="00FD0236"/>
    <w:rsid w:val="00FD18F4"/>
    <w:rsid w:val="00FD54DB"/>
    <w:rsid w:val="00FD619F"/>
    <w:rsid w:val="01290F7E"/>
    <w:rsid w:val="015D1E09"/>
    <w:rsid w:val="016237FF"/>
    <w:rsid w:val="02697903"/>
    <w:rsid w:val="02F96569"/>
    <w:rsid w:val="03EA7B21"/>
    <w:rsid w:val="042652DF"/>
    <w:rsid w:val="048102A4"/>
    <w:rsid w:val="05F83EAE"/>
    <w:rsid w:val="063E7D85"/>
    <w:rsid w:val="06522EBD"/>
    <w:rsid w:val="07293586"/>
    <w:rsid w:val="07295285"/>
    <w:rsid w:val="07636392"/>
    <w:rsid w:val="07770C56"/>
    <w:rsid w:val="08876400"/>
    <w:rsid w:val="090A7224"/>
    <w:rsid w:val="091F6690"/>
    <w:rsid w:val="092217DD"/>
    <w:rsid w:val="093A7294"/>
    <w:rsid w:val="09575B61"/>
    <w:rsid w:val="09F010E0"/>
    <w:rsid w:val="0A263993"/>
    <w:rsid w:val="0A2D3AC2"/>
    <w:rsid w:val="0AA755DF"/>
    <w:rsid w:val="0B120D44"/>
    <w:rsid w:val="0BB2059B"/>
    <w:rsid w:val="0BD27BF6"/>
    <w:rsid w:val="0C3B3C7D"/>
    <w:rsid w:val="0CAB2EAE"/>
    <w:rsid w:val="0D10137A"/>
    <w:rsid w:val="0D621C7D"/>
    <w:rsid w:val="0D882ED8"/>
    <w:rsid w:val="0D8C2564"/>
    <w:rsid w:val="0E73034D"/>
    <w:rsid w:val="0ED371B0"/>
    <w:rsid w:val="0F13775A"/>
    <w:rsid w:val="0F5F45FE"/>
    <w:rsid w:val="0F9A112B"/>
    <w:rsid w:val="0FBF1CE2"/>
    <w:rsid w:val="101E3DAE"/>
    <w:rsid w:val="102A30AE"/>
    <w:rsid w:val="106D2F64"/>
    <w:rsid w:val="10A818CA"/>
    <w:rsid w:val="10B63710"/>
    <w:rsid w:val="10F10820"/>
    <w:rsid w:val="111C2F7A"/>
    <w:rsid w:val="11665CA1"/>
    <w:rsid w:val="118E1772"/>
    <w:rsid w:val="120E15BB"/>
    <w:rsid w:val="13395A7B"/>
    <w:rsid w:val="13444601"/>
    <w:rsid w:val="13951726"/>
    <w:rsid w:val="13D9661F"/>
    <w:rsid w:val="14396509"/>
    <w:rsid w:val="14DD2C3C"/>
    <w:rsid w:val="14FB2A5F"/>
    <w:rsid w:val="15A06B7D"/>
    <w:rsid w:val="15B0497D"/>
    <w:rsid w:val="15BF75D9"/>
    <w:rsid w:val="16087E1D"/>
    <w:rsid w:val="16325AF4"/>
    <w:rsid w:val="1634385E"/>
    <w:rsid w:val="164F4DBD"/>
    <w:rsid w:val="16973029"/>
    <w:rsid w:val="16FB474C"/>
    <w:rsid w:val="17701D14"/>
    <w:rsid w:val="17735226"/>
    <w:rsid w:val="189F624C"/>
    <w:rsid w:val="18F81B69"/>
    <w:rsid w:val="198F3994"/>
    <w:rsid w:val="19AD6E32"/>
    <w:rsid w:val="1A1C66C0"/>
    <w:rsid w:val="1A42393B"/>
    <w:rsid w:val="1A7D73CD"/>
    <w:rsid w:val="1AAD45DE"/>
    <w:rsid w:val="1ABF306F"/>
    <w:rsid w:val="1AF468D0"/>
    <w:rsid w:val="1B046F80"/>
    <w:rsid w:val="1B3267B5"/>
    <w:rsid w:val="1B40161D"/>
    <w:rsid w:val="1B441859"/>
    <w:rsid w:val="1B6606B1"/>
    <w:rsid w:val="1B7A59A1"/>
    <w:rsid w:val="1C5E7925"/>
    <w:rsid w:val="1CAA18F6"/>
    <w:rsid w:val="1CB83DA7"/>
    <w:rsid w:val="1CFD070F"/>
    <w:rsid w:val="1D5F6196"/>
    <w:rsid w:val="1D6132A5"/>
    <w:rsid w:val="1D8E56D5"/>
    <w:rsid w:val="1DCB2174"/>
    <w:rsid w:val="1E7A43DA"/>
    <w:rsid w:val="1ED03973"/>
    <w:rsid w:val="1EFA2E2A"/>
    <w:rsid w:val="1F153A28"/>
    <w:rsid w:val="1FE7539E"/>
    <w:rsid w:val="20392DE2"/>
    <w:rsid w:val="20671BE0"/>
    <w:rsid w:val="20963CB8"/>
    <w:rsid w:val="20A81A1B"/>
    <w:rsid w:val="20B07FB6"/>
    <w:rsid w:val="20B646FB"/>
    <w:rsid w:val="20F06D17"/>
    <w:rsid w:val="212C4C52"/>
    <w:rsid w:val="213B74B1"/>
    <w:rsid w:val="215A2310"/>
    <w:rsid w:val="21DE318A"/>
    <w:rsid w:val="21EF5B80"/>
    <w:rsid w:val="222304B7"/>
    <w:rsid w:val="22576990"/>
    <w:rsid w:val="22DC5747"/>
    <w:rsid w:val="22F47480"/>
    <w:rsid w:val="239F09EB"/>
    <w:rsid w:val="23DE1C48"/>
    <w:rsid w:val="240210CD"/>
    <w:rsid w:val="24762CE7"/>
    <w:rsid w:val="24BF09F7"/>
    <w:rsid w:val="252D53FE"/>
    <w:rsid w:val="2572764E"/>
    <w:rsid w:val="25EC2D81"/>
    <w:rsid w:val="267441C0"/>
    <w:rsid w:val="26B17D22"/>
    <w:rsid w:val="26EE0C56"/>
    <w:rsid w:val="277057A2"/>
    <w:rsid w:val="279030DD"/>
    <w:rsid w:val="280B51DD"/>
    <w:rsid w:val="281E2417"/>
    <w:rsid w:val="28683AAB"/>
    <w:rsid w:val="29206EB8"/>
    <w:rsid w:val="29595666"/>
    <w:rsid w:val="29874881"/>
    <w:rsid w:val="29E325E0"/>
    <w:rsid w:val="2A452503"/>
    <w:rsid w:val="2ABB3748"/>
    <w:rsid w:val="2BA936A8"/>
    <w:rsid w:val="2BB569F3"/>
    <w:rsid w:val="2C315A5A"/>
    <w:rsid w:val="2C401C24"/>
    <w:rsid w:val="2C4B1C25"/>
    <w:rsid w:val="2C880FCC"/>
    <w:rsid w:val="2D2730F6"/>
    <w:rsid w:val="2D443F0F"/>
    <w:rsid w:val="2D9E56F5"/>
    <w:rsid w:val="2E667F96"/>
    <w:rsid w:val="2E8226AB"/>
    <w:rsid w:val="2F9E78E7"/>
    <w:rsid w:val="2FC53301"/>
    <w:rsid w:val="2FD065E6"/>
    <w:rsid w:val="2FD96870"/>
    <w:rsid w:val="301B53BC"/>
    <w:rsid w:val="302C3B91"/>
    <w:rsid w:val="30580BC9"/>
    <w:rsid w:val="311E2ED7"/>
    <w:rsid w:val="315619EE"/>
    <w:rsid w:val="315C449C"/>
    <w:rsid w:val="31B82709"/>
    <w:rsid w:val="31D05482"/>
    <w:rsid w:val="321D5EBC"/>
    <w:rsid w:val="323470E4"/>
    <w:rsid w:val="32400B34"/>
    <w:rsid w:val="329E6876"/>
    <w:rsid w:val="32BE3B08"/>
    <w:rsid w:val="333015F2"/>
    <w:rsid w:val="334B6320"/>
    <w:rsid w:val="33D934D4"/>
    <w:rsid w:val="33FE2F6A"/>
    <w:rsid w:val="340E07E5"/>
    <w:rsid w:val="34136117"/>
    <w:rsid w:val="34235BF7"/>
    <w:rsid w:val="34A97840"/>
    <w:rsid w:val="34F957E7"/>
    <w:rsid w:val="358C5FA8"/>
    <w:rsid w:val="35AE52AC"/>
    <w:rsid w:val="35C15DF1"/>
    <w:rsid w:val="36074A7F"/>
    <w:rsid w:val="368D5AF8"/>
    <w:rsid w:val="36923549"/>
    <w:rsid w:val="36B75FBF"/>
    <w:rsid w:val="36BD0C45"/>
    <w:rsid w:val="37E00298"/>
    <w:rsid w:val="388C6C29"/>
    <w:rsid w:val="38B302F9"/>
    <w:rsid w:val="38E8693B"/>
    <w:rsid w:val="38F12CD3"/>
    <w:rsid w:val="38F94775"/>
    <w:rsid w:val="392971ED"/>
    <w:rsid w:val="39325651"/>
    <w:rsid w:val="3A0A256D"/>
    <w:rsid w:val="3A297452"/>
    <w:rsid w:val="3A2E3727"/>
    <w:rsid w:val="3A3C2EFF"/>
    <w:rsid w:val="3A872856"/>
    <w:rsid w:val="3AC84000"/>
    <w:rsid w:val="3B3763D1"/>
    <w:rsid w:val="3B7559D6"/>
    <w:rsid w:val="3BE22AE4"/>
    <w:rsid w:val="3C2F6E1E"/>
    <w:rsid w:val="3C4F64BA"/>
    <w:rsid w:val="3CDA245A"/>
    <w:rsid w:val="3D1E06B7"/>
    <w:rsid w:val="3D392CBB"/>
    <w:rsid w:val="3E0E2FFC"/>
    <w:rsid w:val="3E2C2A77"/>
    <w:rsid w:val="3E3113EB"/>
    <w:rsid w:val="3E5755E7"/>
    <w:rsid w:val="3EDA0523"/>
    <w:rsid w:val="407A6407"/>
    <w:rsid w:val="40814698"/>
    <w:rsid w:val="409C372A"/>
    <w:rsid w:val="409E0377"/>
    <w:rsid w:val="40D5235F"/>
    <w:rsid w:val="41BC374E"/>
    <w:rsid w:val="4200449D"/>
    <w:rsid w:val="423A3BCC"/>
    <w:rsid w:val="424E57D2"/>
    <w:rsid w:val="42503F5D"/>
    <w:rsid w:val="42B26C49"/>
    <w:rsid w:val="433A6FE6"/>
    <w:rsid w:val="43444B03"/>
    <w:rsid w:val="43480868"/>
    <w:rsid w:val="4350713C"/>
    <w:rsid w:val="436653E0"/>
    <w:rsid w:val="43C4431A"/>
    <w:rsid w:val="43FE7AB5"/>
    <w:rsid w:val="440E785D"/>
    <w:rsid w:val="44A454DD"/>
    <w:rsid w:val="44B31F37"/>
    <w:rsid w:val="44B951CC"/>
    <w:rsid w:val="44CD14E0"/>
    <w:rsid w:val="44F20B0B"/>
    <w:rsid w:val="452E5F4C"/>
    <w:rsid w:val="45612018"/>
    <w:rsid w:val="458946E9"/>
    <w:rsid w:val="45A47C0E"/>
    <w:rsid w:val="46116499"/>
    <w:rsid w:val="463B0A34"/>
    <w:rsid w:val="46404975"/>
    <w:rsid w:val="46577FD6"/>
    <w:rsid w:val="46CD4580"/>
    <w:rsid w:val="46D955A7"/>
    <w:rsid w:val="47133957"/>
    <w:rsid w:val="472F5BD9"/>
    <w:rsid w:val="47A07E0C"/>
    <w:rsid w:val="4870272E"/>
    <w:rsid w:val="49207844"/>
    <w:rsid w:val="49DC7715"/>
    <w:rsid w:val="4A023139"/>
    <w:rsid w:val="4A7B576F"/>
    <w:rsid w:val="4AE165E9"/>
    <w:rsid w:val="4AF561A9"/>
    <w:rsid w:val="4B0B31F5"/>
    <w:rsid w:val="4B32706E"/>
    <w:rsid w:val="4C4A0649"/>
    <w:rsid w:val="4C7E5ECA"/>
    <w:rsid w:val="4C876AA5"/>
    <w:rsid w:val="4CAE23C8"/>
    <w:rsid w:val="4CC33972"/>
    <w:rsid w:val="4CE07509"/>
    <w:rsid w:val="4CE7407F"/>
    <w:rsid w:val="4D0E00FB"/>
    <w:rsid w:val="4D176606"/>
    <w:rsid w:val="4DEC4FB0"/>
    <w:rsid w:val="4E075D8A"/>
    <w:rsid w:val="4EC00FAD"/>
    <w:rsid w:val="4F9843DC"/>
    <w:rsid w:val="4FC62A8C"/>
    <w:rsid w:val="4FE20F0D"/>
    <w:rsid w:val="4FE51552"/>
    <w:rsid w:val="50181BEC"/>
    <w:rsid w:val="50504C4B"/>
    <w:rsid w:val="507B16D6"/>
    <w:rsid w:val="508339A5"/>
    <w:rsid w:val="509C6E7C"/>
    <w:rsid w:val="5162104E"/>
    <w:rsid w:val="52B34ED1"/>
    <w:rsid w:val="53245940"/>
    <w:rsid w:val="53A039CC"/>
    <w:rsid w:val="53A1505A"/>
    <w:rsid w:val="53A16C35"/>
    <w:rsid w:val="53C668F9"/>
    <w:rsid w:val="54063E08"/>
    <w:rsid w:val="543437E8"/>
    <w:rsid w:val="545C7555"/>
    <w:rsid w:val="549247D1"/>
    <w:rsid w:val="54F73313"/>
    <w:rsid w:val="54F80955"/>
    <w:rsid w:val="55437F0A"/>
    <w:rsid w:val="555170A7"/>
    <w:rsid w:val="5587536D"/>
    <w:rsid w:val="559B174B"/>
    <w:rsid w:val="55CE0CF4"/>
    <w:rsid w:val="56B22A9C"/>
    <w:rsid w:val="56F521F4"/>
    <w:rsid w:val="571915F2"/>
    <w:rsid w:val="57B72A76"/>
    <w:rsid w:val="57C3426C"/>
    <w:rsid w:val="57C44C0A"/>
    <w:rsid w:val="57CE1F93"/>
    <w:rsid w:val="588743D1"/>
    <w:rsid w:val="5887701A"/>
    <w:rsid w:val="58B36C47"/>
    <w:rsid w:val="58FE5140"/>
    <w:rsid w:val="59350596"/>
    <w:rsid w:val="59383A4C"/>
    <w:rsid w:val="59C0439F"/>
    <w:rsid w:val="5A2E6C0D"/>
    <w:rsid w:val="5ABE2233"/>
    <w:rsid w:val="5B2551D7"/>
    <w:rsid w:val="5BDF5D95"/>
    <w:rsid w:val="5BFE7528"/>
    <w:rsid w:val="5E2467F1"/>
    <w:rsid w:val="5F0D535B"/>
    <w:rsid w:val="5F1A2B43"/>
    <w:rsid w:val="5F8933DE"/>
    <w:rsid w:val="5FB837BB"/>
    <w:rsid w:val="5FF25578"/>
    <w:rsid w:val="5FF32FFA"/>
    <w:rsid w:val="60954399"/>
    <w:rsid w:val="60A22EEA"/>
    <w:rsid w:val="60CC405A"/>
    <w:rsid w:val="615306B7"/>
    <w:rsid w:val="615C785F"/>
    <w:rsid w:val="61B2632C"/>
    <w:rsid w:val="61BF4161"/>
    <w:rsid w:val="61E215D8"/>
    <w:rsid w:val="621B3775"/>
    <w:rsid w:val="62364782"/>
    <w:rsid w:val="6394356A"/>
    <w:rsid w:val="63C61B2C"/>
    <w:rsid w:val="63D40BE9"/>
    <w:rsid w:val="64102431"/>
    <w:rsid w:val="647D2112"/>
    <w:rsid w:val="64A5243A"/>
    <w:rsid w:val="64F531DE"/>
    <w:rsid w:val="65373578"/>
    <w:rsid w:val="656E1D9E"/>
    <w:rsid w:val="666C1410"/>
    <w:rsid w:val="671F124A"/>
    <w:rsid w:val="677A33C6"/>
    <w:rsid w:val="680054FA"/>
    <w:rsid w:val="681F6961"/>
    <w:rsid w:val="68610A2F"/>
    <w:rsid w:val="68805514"/>
    <w:rsid w:val="69316E2F"/>
    <w:rsid w:val="694B687C"/>
    <w:rsid w:val="694E2071"/>
    <w:rsid w:val="69766163"/>
    <w:rsid w:val="697A3B33"/>
    <w:rsid w:val="69D44760"/>
    <w:rsid w:val="69ED5C32"/>
    <w:rsid w:val="6A520EC7"/>
    <w:rsid w:val="6AF87E20"/>
    <w:rsid w:val="6B137FF4"/>
    <w:rsid w:val="6B322639"/>
    <w:rsid w:val="6BC91297"/>
    <w:rsid w:val="6C5E4626"/>
    <w:rsid w:val="6C636C38"/>
    <w:rsid w:val="6CBC13F4"/>
    <w:rsid w:val="6CBC6B37"/>
    <w:rsid w:val="6D911283"/>
    <w:rsid w:val="6DB34098"/>
    <w:rsid w:val="6DB545B6"/>
    <w:rsid w:val="6DE02FB4"/>
    <w:rsid w:val="6E514CED"/>
    <w:rsid w:val="6EB563D5"/>
    <w:rsid w:val="6ED92677"/>
    <w:rsid w:val="6F225983"/>
    <w:rsid w:val="6FFC5590"/>
    <w:rsid w:val="704A0FE5"/>
    <w:rsid w:val="706D1DD0"/>
    <w:rsid w:val="707314C9"/>
    <w:rsid w:val="70856B87"/>
    <w:rsid w:val="70D527EE"/>
    <w:rsid w:val="715B5300"/>
    <w:rsid w:val="71D27F8A"/>
    <w:rsid w:val="723C4D39"/>
    <w:rsid w:val="723E5DB4"/>
    <w:rsid w:val="72507E96"/>
    <w:rsid w:val="72553024"/>
    <w:rsid w:val="73122968"/>
    <w:rsid w:val="731F5D5E"/>
    <w:rsid w:val="73267238"/>
    <w:rsid w:val="734E5543"/>
    <w:rsid w:val="73C51AD5"/>
    <w:rsid w:val="741E793C"/>
    <w:rsid w:val="745E3944"/>
    <w:rsid w:val="747819DF"/>
    <w:rsid w:val="7635099D"/>
    <w:rsid w:val="76490695"/>
    <w:rsid w:val="774C488C"/>
    <w:rsid w:val="77762421"/>
    <w:rsid w:val="77AE618C"/>
    <w:rsid w:val="77B56B1F"/>
    <w:rsid w:val="780F09F4"/>
    <w:rsid w:val="78A90480"/>
    <w:rsid w:val="79310C50"/>
    <w:rsid w:val="7A135111"/>
    <w:rsid w:val="7A364017"/>
    <w:rsid w:val="7A8265E1"/>
    <w:rsid w:val="7B0A19FE"/>
    <w:rsid w:val="7B686D42"/>
    <w:rsid w:val="7B841746"/>
    <w:rsid w:val="7C6C5AC7"/>
    <w:rsid w:val="7CC6544B"/>
    <w:rsid w:val="7D0239FF"/>
    <w:rsid w:val="7D5E40CD"/>
    <w:rsid w:val="7D6D5792"/>
    <w:rsid w:val="7DCD56F2"/>
    <w:rsid w:val="7E880636"/>
    <w:rsid w:val="7F001CE7"/>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1" w:name="heading 2" w:locked="1"/>
    <w:lsdException w:qFormat="1" w:unhideWhenUsed="0" w:uiPriority="1"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99"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99"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99"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snapToGrid w:val="0"/>
      <w:spacing w:line="360" w:lineRule="auto"/>
      <w:ind w:firstLine="0" w:firstLineChars="0"/>
      <w:jc w:val="center"/>
    </w:pP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semiHidden/>
    <w:unhideWhenUsed/>
    <w:qFormat/>
    <w:locked/>
    <w:uiPriority w:val="1"/>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qFormat/>
    <w:locked/>
    <w:uiPriority w:val="1"/>
    <w:pPr>
      <w:ind w:left="1018"/>
      <w:outlineLvl w:val="3"/>
    </w:pPr>
    <w:rPr>
      <w:rFonts w:ascii="宋体" w:hAnsi="宋体" w:eastAsia="宋体" w:cs="宋体"/>
      <w:b/>
      <w:bCs/>
      <w:sz w:val="24"/>
      <w:szCs w:val="24"/>
      <w:lang w:val="zh-CN" w:eastAsia="zh-CN" w:bidi="zh-CN"/>
    </w:rPr>
  </w:style>
  <w:style w:type="paragraph" w:styleId="5">
    <w:name w:val="heading 4"/>
    <w:basedOn w:val="1"/>
    <w:next w:val="1"/>
    <w:unhideWhenUsed/>
    <w:qFormat/>
    <w:locked/>
    <w:uiPriority w:val="0"/>
    <w:pPr>
      <w:keepNext/>
      <w:keepLines/>
      <w:spacing w:before="100" w:beforeLines="0" w:beforeAutospacing="0" w:afterLines="0" w:afterAutospacing="0" w:line="360" w:lineRule="auto"/>
      <w:ind w:firstLine="0" w:firstLineChars="0"/>
      <w:outlineLvl w:val="3"/>
    </w:pPr>
    <w:rPr>
      <w:rFonts w:ascii="Times New Roman" w:hAnsi="Times New Roman" w:eastAsia="黑体"/>
    </w:rPr>
  </w:style>
  <w:style w:type="character" w:default="1" w:styleId="26">
    <w:name w:val="Default Paragraph Font"/>
    <w:semiHidden/>
    <w:qFormat/>
    <w:uiPriority w:val="0"/>
  </w:style>
  <w:style w:type="table" w:default="1" w:styleId="24">
    <w:name w:val="Normal Table"/>
    <w:semiHidden/>
    <w:qFormat/>
    <w:uiPriority w:val="0"/>
    <w:pPr>
      <w:keepNext w:val="0"/>
      <w:keepLines w:val="0"/>
      <w:widowControl/>
      <w:suppressLineNumbers w:val="0"/>
      <w:spacing w:before="0" w:beforeAutospacing="0" w:after="160" w:afterAutospacing="0" w:line="276" w:lineRule="auto"/>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next w:val="7"/>
    <w:qFormat/>
    <w:locked/>
    <w:uiPriority w:val="0"/>
    <w:pPr>
      <w:ind w:firstLine="420" w:firstLineChars="200"/>
    </w:pPr>
    <w:rPr>
      <w:rFonts w:ascii="Calibri" w:hAnsi="Calibri"/>
      <w:szCs w:val="20"/>
    </w:rPr>
  </w:style>
  <w:style w:type="paragraph" w:styleId="7">
    <w:name w:val="Body Text First Indent 2"/>
    <w:basedOn w:val="8"/>
    <w:next w:val="1"/>
    <w:qFormat/>
    <w:locked/>
    <w:uiPriority w:val="0"/>
    <w:pPr>
      <w:spacing w:line="240" w:lineRule="auto"/>
      <w:ind w:firstLine="0"/>
    </w:pPr>
    <w:rPr>
      <w:rFonts w:ascii="Calibri" w:hAnsi="Calibri"/>
      <w:sz w:val="21"/>
    </w:rPr>
  </w:style>
  <w:style w:type="paragraph" w:styleId="8">
    <w:name w:val="Body Text Indent"/>
    <w:basedOn w:val="1"/>
    <w:next w:val="1"/>
    <w:link w:val="53"/>
    <w:qFormat/>
    <w:uiPriority w:val="0"/>
    <w:pPr>
      <w:spacing w:after="120"/>
      <w:ind w:left="420" w:leftChars="200"/>
    </w:pPr>
    <w:rPr>
      <w:kern w:val="0"/>
      <w:sz w:val="24"/>
      <w:szCs w:val="20"/>
    </w:rPr>
  </w:style>
  <w:style w:type="paragraph" w:styleId="9">
    <w:name w:val="caption"/>
    <w:basedOn w:val="1"/>
    <w:next w:val="1"/>
    <w:qFormat/>
    <w:locked/>
    <w:uiPriority w:val="0"/>
    <w:pPr>
      <w:adjustRightInd w:val="0"/>
      <w:snapToGrid w:val="0"/>
      <w:jc w:val="center"/>
    </w:pPr>
    <w:rPr>
      <w:rFonts w:ascii="Cambria" w:hAnsi="Cambria" w:cs="Times New Roman"/>
      <w:b/>
      <w:szCs w:val="20"/>
    </w:rPr>
  </w:style>
  <w:style w:type="paragraph" w:styleId="10">
    <w:name w:val="annotation text"/>
    <w:basedOn w:val="1"/>
    <w:link w:val="60"/>
    <w:semiHidden/>
    <w:qFormat/>
    <w:uiPriority w:val="0"/>
    <w:pPr>
      <w:jc w:val="left"/>
    </w:pPr>
    <w:rPr>
      <w:kern w:val="0"/>
      <w:sz w:val="24"/>
      <w:szCs w:val="20"/>
    </w:rPr>
  </w:style>
  <w:style w:type="paragraph" w:styleId="11">
    <w:name w:val="Body Text"/>
    <w:basedOn w:val="1"/>
    <w:link w:val="50"/>
    <w:qFormat/>
    <w:uiPriority w:val="0"/>
    <w:pPr>
      <w:widowControl/>
      <w:snapToGrid w:val="0"/>
      <w:spacing w:before="60" w:after="160" w:line="259" w:lineRule="auto"/>
      <w:ind w:right="113"/>
    </w:pPr>
    <w:rPr>
      <w:kern w:val="0"/>
      <w:sz w:val="18"/>
      <w:szCs w:val="20"/>
    </w:rPr>
  </w:style>
  <w:style w:type="paragraph" w:styleId="12">
    <w:name w:val="Plain Text"/>
    <w:basedOn w:val="1"/>
    <w:qFormat/>
    <w:locked/>
    <w:uiPriority w:val="0"/>
    <w:rPr>
      <w:rFonts w:ascii="宋体" w:cs="Courier New"/>
      <w:szCs w:val="21"/>
    </w:rPr>
  </w:style>
  <w:style w:type="paragraph" w:styleId="13">
    <w:name w:val="Date"/>
    <w:basedOn w:val="1"/>
    <w:next w:val="1"/>
    <w:link w:val="59"/>
    <w:qFormat/>
    <w:uiPriority w:val="0"/>
    <w:pPr>
      <w:ind w:left="100" w:leftChars="2500"/>
    </w:pPr>
    <w:rPr>
      <w:kern w:val="0"/>
      <w:sz w:val="24"/>
      <w:szCs w:val="20"/>
    </w:rPr>
  </w:style>
  <w:style w:type="paragraph" w:styleId="14">
    <w:name w:val="Body Text Indent 2"/>
    <w:basedOn w:val="1"/>
    <w:next w:val="1"/>
    <w:qFormat/>
    <w:locked/>
    <w:uiPriority w:val="99"/>
    <w:pPr>
      <w:spacing w:after="120" w:line="480" w:lineRule="auto"/>
      <w:ind w:left="420" w:leftChars="200"/>
    </w:pPr>
    <w:rPr>
      <w:lang w:val="zh-CN"/>
    </w:rPr>
  </w:style>
  <w:style w:type="paragraph" w:styleId="15">
    <w:name w:val="Balloon Text"/>
    <w:basedOn w:val="1"/>
    <w:link w:val="54"/>
    <w:semiHidden/>
    <w:qFormat/>
    <w:uiPriority w:val="0"/>
    <w:rPr>
      <w:kern w:val="0"/>
      <w:sz w:val="18"/>
      <w:szCs w:val="20"/>
    </w:rPr>
  </w:style>
  <w:style w:type="paragraph" w:styleId="16">
    <w:name w:val="footer"/>
    <w:basedOn w:val="1"/>
    <w:link w:val="55"/>
    <w:qFormat/>
    <w:uiPriority w:val="99"/>
    <w:pPr>
      <w:tabs>
        <w:tab w:val="center" w:pos="4153"/>
        <w:tab w:val="right" w:pos="8306"/>
      </w:tabs>
      <w:snapToGrid w:val="0"/>
      <w:jc w:val="left"/>
    </w:pPr>
    <w:rPr>
      <w:kern w:val="0"/>
      <w:sz w:val="18"/>
      <w:szCs w:val="20"/>
    </w:rPr>
  </w:style>
  <w:style w:type="paragraph" w:styleId="17">
    <w:name w:val="header"/>
    <w:basedOn w:val="1"/>
    <w:link w:val="48"/>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index heading"/>
    <w:basedOn w:val="1"/>
    <w:next w:val="19"/>
    <w:qFormat/>
    <w:locked/>
    <w:uiPriority w:val="99"/>
    <w:pPr>
      <w:spacing w:line="500" w:lineRule="exact"/>
    </w:pPr>
    <w:rPr>
      <w:rFonts w:ascii="仿宋_GB2312" w:eastAsia="仿宋_GB2312"/>
      <w:sz w:val="28"/>
      <w:szCs w:val="20"/>
    </w:rPr>
  </w:style>
  <w:style w:type="paragraph" w:styleId="19">
    <w:name w:val="index 1"/>
    <w:basedOn w:val="1"/>
    <w:next w:val="1"/>
    <w:semiHidden/>
    <w:qFormat/>
    <w:locked/>
    <w:uiPriority w:val="99"/>
    <w:pPr>
      <w:ind w:firstLine="210" w:firstLineChars="100"/>
    </w:pPr>
  </w:style>
  <w:style w:type="paragraph" w:styleId="20">
    <w:name w:val="toc 2"/>
    <w:basedOn w:val="1"/>
    <w:next w:val="1"/>
    <w:qFormat/>
    <w:locked/>
    <w:uiPriority w:val="39"/>
    <w:pPr>
      <w:tabs>
        <w:tab w:val="right" w:leader="dot" w:pos="8494"/>
      </w:tabs>
      <w:ind w:left="420" w:leftChars="100" w:hanging="210" w:hangingChars="100"/>
    </w:pPr>
  </w:style>
  <w:style w:type="paragraph" w:styleId="21">
    <w:name w:val="Normal (Web)"/>
    <w:basedOn w:val="1"/>
    <w:link w:val="45"/>
    <w:qFormat/>
    <w:uiPriority w:val="0"/>
    <w:pPr>
      <w:widowControl/>
      <w:spacing w:before="100" w:beforeAutospacing="1" w:after="100" w:afterAutospacing="1"/>
      <w:jc w:val="left"/>
    </w:pPr>
    <w:rPr>
      <w:rFonts w:ascii="宋体" w:hAnsi="宋体"/>
      <w:kern w:val="0"/>
      <w:sz w:val="24"/>
      <w:szCs w:val="20"/>
    </w:rPr>
  </w:style>
  <w:style w:type="paragraph" w:styleId="22">
    <w:name w:val="annotation subject"/>
    <w:basedOn w:val="10"/>
    <w:next w:val="10"/>
    <w:link w:val="57"/>
    <w:semiHidden/>
    <w:qFormat/>
    <w:uiPriority w:val="0"/>
    <w:rPr>
      <w:b/>
      <w:sz w:val="24"/>
      <w:szCs w:val="20"/>
    </w:rPr>
  </w:style>
  <w:style w:type="paragraph" w:styleId="23">
    <w:name w:val="Body Text First Indent"/>
    <w:basedOn w:val="11"/>
    <w:qFormat/>
    <w:locked/>
    <w:uiPriority w:val="0"/>
    <w:pPr>
      <w:ind w:firstLine="420" w:firstLineChars="100"/>
    </w:pPr>
  </w:style>
  <w:style w:type="table" w:styleId="25">
    <w:name w:val="Table Grid"/>
    <w:basedOn w:val="24"/>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locked/>
    <w:uiPriority w:val="0"/>
    <w:rPr>
      <w:b/>
    </w:rPr>
  </w:style>
  <w:style w:type="character" w:styleId="28">
    <w:name w:val="page number"/>
    <w:basedOn w:val="26"/>
    <w:qFormat/>
    <w:locked/>
    <w:uiPriority w:val="0"/>
  </w:style>
  <w:style w:type="character" w:styleId="29">
    <w:name w:val="Hyperlink"/>
    <w:basedOn w:val="26"/>
    <w:qFormat/>
    <w:locked/>
    <w:uiPriority w:val="0"/>
    <w:rPr>
      <w:color w:val="0000FF"/>
      <w:u w:val="single"/>
    </w:rPr>
  </w:style>
  <w:style w:type="character" w:styleId="30">
    <w:name w:val="annotation reference"/>
    <w:semiHidden/>
    <w:qFormat/>
    <w:uiPriority w:val="0"/>
    <w:rPr>
      <w:sz w:val="21"/>
    </w:rPr>
  </w:style>
  <w:style w:type="paragraph" w:customStyle="1" w:styleId="3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32">
    <w:name w:val="样式 hb33 + 段后: 0.5 行"/>
    <w:basedOn w:val="1"/>
    <w:qFormat/>
    <w:uiPriority w:val="0"/>
    <w:pPr>
      <w:keepNext/>
      <w:spacing w:line="240" w:lineRule="atLeast"/>
      <w:jc w:val="left"/>
      <w:textAlignment w:val="baseline"/>
      <w:outlineLvl w:val="2"/>
    </w:pPr>
    <w:rPr>
      <w:rFonts w:ascii="Times New Roman" w:hAnsi="Times New Roman" w:eastAsia="宋体" w:cs="宋体"/>
      <w:b/>
      <w:bCs/>
      <w:kern w:val="0"/>
      <w:sz w:val="28"/>
      <w:szCs w:val="20"/>
    </w:rPr>
  </w:style>
  <w:style w:type="paragraph" w:styleId="33">
    <w:name w:val="List Paragraph"/>
    <w:basedOn w:val="1"/>
    <w:qFormat/>
    <w:uiPriority w:val="34"/>
    <w:pPr>
      <w:spacing w:line="440" w:lineRule="exact"/>
      <w:ind w:firstLine="420" w:firstLineChars="200"/>
    </w:pPr>
    <w:rPr>
      <w:sz w:val="24"/>
      <w:szCs w:val="24"/>
    </w:rPr>
  </w:style>
  <w:style w:type="paragraph" w:customStyle="1" w:styleId="34">
    <w:name w:val="表格内容"/>
    <w:basedOn w:val="1"/>
    <w:qFormat/>
    <w:uiPriority w:val="0"/>
    <w:pPr>
      <w:jc w:val="center"/>
    </w:pPr>
    <w:rPr>
      <w:rFonts w:hAnsi="Arial"/>
      <w:szCs w:val="20"/>
    </w:rPr>
  </w:style>
  <w:style w:type="paragraph" w:customStyle="1" w:styleId="35">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36">
    <w:name w:val="1正文"/>
    <w:basedOn w:val="1"/>
    <w:qFormat/>
    <w:uiPriority w:val="0"/>
    <w:pPr>
      <w:spacing w:line="360" w:lineRule="auto"/>
      <w:ind w:firstLine="198" w:firstLineChars="200"/>
    </w:pPr>
    <w:rPr>
      <w:rFonts w:ascii="Times New Roman" w:hAnsi="Times New Roman" w:eastAsia="宋体" w:cs="Times New Roman"/>
      <w:sz w:val="24"/>
      <w:szCs w:val="24"/>
    </w:rPr>
  </w:style>
  <w:style w:type="paragraph" w:customStyle="1" w:styleId="37">
    <w:name w:val="正文_10"/>
    <w:qFormat/>
    <w:uiPriority w:val="0"/>
    <w:pPr>
      <w:widowControl w:val="0"/>
      <w:jc w:val="both"/>
    </w:pPr>
    <w:rPr>
      <w:rFonts w:ascii="Calibri" w:hAnsi="Calibri" w:eastAsia="Calibri" w:cs="Times New Roman"/>
      <w:kern w:val="2"/>
      <w:sz w:val="21"/>
      <w:szCs w:val="22"/>
      <w:lang w:val="en-US" w:eastAsia="zh-CN" w:bidi="ar-SA"/>
    </w:rPr>
  </w:style>
  <w:style w:type="paragraph" w:customStyle="1" w:styleId="38">
    <w:name w:val="表格"/>
    <w:basedOn w:val="1"/>
    <w:next w:val="1"/>
    <w:link w:val="49"/>
    <w:qFormat/>
    <w:uiPriority w:val="0"/>
    <w:pPr>
      <w:adjustRightInd w:val="0"/>
      <w:snapToGrid w:val="0"/>
      <w:spacing w:beforeLines="10" w:afterLines="10" w:line="259" w:lineRule="auto"/>
      <w:jc w:val="center"/>
    </w:pPr>
    <w:rPr>
      <w:rFonts w:ascii="宋体"/>
      <w:kern w:val="0"/>
      <w:szCs w:val="20"/>
    </w:rPr>
  </w:style>
  <w:style w:type="paragraph" w:customStyle="1" w:styleId="39">
    <w:name w:val="0表格格式"/>
    <w:basedOn w:val="1"/>
    <w:link w:val="52"/>
    <w:qFormat/>
    <w:uiPriority w:val="0"/>
    <w:pPr>
      <w:jc w:val="center"/>
    </w:pPr>
    <w:rPr>
      <w:rFonts w:ascii="Times New Roman" w:hAnsi="Times New Roman" w:cs="Times New Roman"/>
      <w:szCs w:val="21"/>
    </w:rPr>
  </w:style>
  <w:style w:type="paragraph" w:customStyle="1" w:styleId="40">
    <w:name w:val="Default"/>
    <w:basedOn w:val="41"/>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41">
    <w:name w:val="纯文本1"/>
    <w:basedOn w:val="1"/>
    <w:qFormat/>
    <w:uiPriority w:val="0"/>
    <w:pPr>
      <w:adjustRightInd w:val="0"/>
    </w:pPr>
    <w:rPr>
      <w:rFonts w:ascii="宋体" w:hAnsi="Courier New"/>
      <w:szCs w:val="20"/>
    </w:rPr>
  </w:style>
  <w:style w:type="paragraph" w:customStyle="1" w:styleId="42">
    <w:name w:val="-"/>
    <w:basedOn w:val="1"/>
    <w:qFormat/>
    <w:uiPriority w:val="0"/>
    <w:pPr>
      <w:widowControl/>
      <w:spacing w:before="100" w:beforeAutospacing="1" w:after="100" w:afterAutospacing="1" w:line="360" w:lineRule="auto"/>
      <w:ind w:firstLine="420" w:firstLineChars="200"/>
    </w:pPr>
    <w:rPr>
      <w:rFonts w:ascii="宋体" w:hAnsi="宋体" w:eastAsia="宋体"/>
      <w:kern w:val="0"/>
      <w:sz w:val="24"/>
    </w:rPr>
  </w:style>
  <w:style w:type="paragraph" w:customStyle="1" w:styleId="43">
    <w:name w:val="Table Paragraph"/>
    <w:basedOn w:val="1"/>
    <w:qFormat/>
    <w:uiPriority w:val="1"/>
    <w:rPr>
      <w:rFonts w:ascii="宋体" w:hAnsi="宋体" w:eastAsia="宋体" w:cs="宋体"/>
      <w:lang w:val="zh-CN" w:eastAsia="zh-CN" w:bidi="zh-CN"/>
    </w:rPr>
  </w:style>
  <w:style w:type="paragraph" w:customStyle="1" w:styleId="44">
    <w:name w:val="p0"/>
    <w:basedOn w:val="1"/>
    <w:qFormat/>
    <w:uiPriority w:val="0"/>
    <w:pPr>
      <w:widowControl/>
    </w:pPr>
    <w:rPr>
      <w:rFonts w:ascii="Calibri" w:hAnsi="Calibri" w:cs="宋体"/>
      <w:kern w:val="0"/>
      <w:szCs w:val="21"/>
    </w:rPr>
  </w:style>
  <w:style w:type="character" w:customStyle="1" w:styleId="45">
    <w:name w:val="普通(网站) 字符"/>
    <w:link w:val="21"/>
    <w:qFormat/>
    <w:locked/>
    <w:uiPriority w:val="0"/>
    <w:rPr>
      <w:rFonts w:ascii="宋体" w:hAnsi="宋体" w:eastAsia="宋体"/>
      <w:sz w:val="24"/>
    </w:rPr>
  </w:style>
  <w:style w:type="character" w:customStyle="1" w:styleId="46">
    <w:name w:val="页脚 字符"/>
    <w:basedOn w:val="26"/>
    <w:qFormat/>
    <w:uiPriority w:val="99"/>
  </w:style>
  <w:style w:type="character" w:customStyle="1" w:styleId="47">
    <w:name w:val="日期 字符"/>
    <w:semiHidden/>
    <w:qFormat/>
    <w:uiPriority w:val="0"/>
    <w:rPr>
      <w:rFonts w:ascii="Times New Roman" w:hAnsi="Times New Roman" w:eastAsia="宋体"/>
      <w:sz w:val="24"/>
    </w:rPr>
  </w:style>
  <w:style w:type="character" w:customStyle="1" w:styleId="48">
    <w:name w:val="页眉 字符"/>
    <w:link w:val="17"/>
    <w:qFormat/>
    <w:locked/>
    <w:uiPriority w:val="0"/>
    <w:rPr>
      <w:sz w:val="18"/>
    </w:rPr>
  </w:style>
  <w:style w:type="character" w:customStyle="1" w:styleId="49">
    <w:name w:val="表格 Char"/>
    <w:link w:val="38"/>
    <w:qFormat/>
    <w:locked/>
    <w:uiPriority w:val="0"/>
    <w:rPr>
      <w:rFonts w:ascii="宋体"/>
      <w:sz w:val="21"/>
    </w:rPr>
  </w:style>
  <w:style w:type="character" w:customStyle="1" w:styleId="50">
    <w:name w:val="正文文本 字符"/>
    <w:link w:val="11"/>
    <w:qFormat/>
    <w:locked/>
    <w:uiPriority w:val="0"/>
    <w:rPr>
      <w:sz w:val="18"/>
    </w:rPr>
  </w:style>
  <w:style w:type="character" w:customStyle="1" w:styleId="51">
    <w:name w:val="正文文本 字符1"/>
    <w:semiHidden/>
    <w:qFormat/>
    <w:uiPriority w:val="0"/>
    <w:rPr>
      <w:rFonts w:ascii="Times New Roman" w:hAnsi="Times New Roman" w:eastAsia="宋体"/>
      <w:sz w:val="24"/>
    </w:rPr>
  </w:style>
  <w:style w:type="character" w:customStyle="1" w:styleId="52">
    <w:name w:val="0表格格式 Char"/>
    <w:link w:val="39"/>
    <w:qFormat/>
    <w:uiPriority w:val="0"/>
    <w:rPr>
      <w:rFonts w:ascii="Times New Roman" w:hAnsi="Times New Roman" w:cs="Times New Roman"/>
      <w:szCs w:val="21"/>
    </w:rPr>
  </w:style>
  <w:style w:type="character" w:customStyle="1" w:styleId="53">
    <w:name w:val="正文文本缩进 字符"/>
    <w:link w:val="8"/>
    <w:semiHidden/>
    <w:qFormat/>
    <w:locked/>
    <w:uiPriority w:val="0"/>
    <w:rPr>
      <w:rFonts w:ascii="Times New Roman" w:hAnsi="Times New Roman" w:eastAsia="宋体"/>
      <w:sz w:val="24"/>
    </w:rPr>
  </w:style>
  <w:style w:type="character" w:customStyle="1" w:styleId="54">
    <w:name w:val="批注框文本 字符"/>
    <w:link w:val="15"/>
    <w:semiHidden/>
    <w:qFormat/>
    <w:locked/>
    <w:uiPriority w:val="0"/>
    <w:rPr>
      <w:rFonts w:ascii="Times New Roman" w:hAnsi="Times New Roman" w:eastAsia="宋体"/>
      <w:sz w:val="18"/>
    </w:rPr>
  </w:style>
  <w:style w:type="character" w:customStyle="1" w:styleId="55">
    <w:name w:val="页脚 字符1"/>
    <w:link w:val="16"/>
    <w:qFormat/>
    <w:locked/>
    <w:uiPriority w:val="99"/>
    <w:rPr>
      <w:sz w:val="18"/>
    </w:rPr>
  </w:style>
  <w:style w:type="character" w:customStyle="1" w:styleId="56">
    <w:name w:val="批注文字 字符1"/>
    <w:semiHidden/>
    <w:qFormat/>
    <w:uiPriority w:val="0"/>
    <w:rPr>
      <w:rFonts w:ascii="Times New Roman" w:hAnsi="Times New Roman" w:eastAsia="宋体"/>
      <w:sz w:val="24"/>
    </w:rPr>
  </w:style>
  <w:style w:type="character" w:customStyle="1" w:styleId="57">
    <w:name w:val="批注主题 字符"/>
    <w:link w:val="22"/>
    <w:semiHidden/>
    <w:qFormat/>
    <w:locked/>
    <w:uiPriority w:val="0"/>
    <w:rPr>
      <w:rFonts w:ascii="Times New Roman" w:hAnsi="Times New Roman" w:eastAsia="宋体"/>
      <w:b/>
      <w:kern w:val="2"/>
      <w:sz w:val="24"/>
    </w:rPr>
  </w:style>
  <w:style w:type="character" w:customStyle="1" w:styleId="58">
    <w:name w:val="标题 1 Char3 Char"/>
    <w:qFormat/>
    <w:uiPriority w:val="0"/>
    <w:rPr>
      <w:rFonts w:eastAsia="宋体"/>
      <w:b/>
      <w:bCs/>
      <w:kern w:val="44"/>
      <w:sz w:val="44"/>
      <w:szCs w:val="44"/>
      <w:lang w:val="en-US" w:eastAsia="zh-CN" w:bidi="ar-SA"/>
    </w:rPr>
  </w:style>
  <w:style w:type="character" w:customStyle="1" w:styleId="59">
    <w:name w:val="日期 字符1"/>
    <w:link w:val="13"/>
    <w:qFormat/>
    <w:locked/>
    <w:uiPriority w:val="0"/>
    <w:rPr>
      <w:rFonts w:ascii="Times New Roman" w:hAnsi="Times New Roman" w:eastAsia="宋体"/>
      <w:sz w:val="24"/>
    </w:rPr>
  </w:style>
  <w:style w:type="character" w:customStyle="1" w:styleId="60">
    <w:name w:val="批注文字 字符"/>
    <w:link w:val="10"/>
    <w:qFormat/>
    <w:locked/>
    <w:uiPriority w:val="0"/>
    <w:rPr>
      <w:rFonts w:ascii="Times New Roman" w:hAnsi="Times New Roman" w:eastAsia="宋体"/>
      <w:sz w:val="24"/>
    </w:rPr>
  </w:style>
  <w:style w:type="paragraph" w:customStyle="1" w:styleId="61">
    <w:name w:val="Table Text"/>
    <w:basedOn w:val="1"/>
    <w:semiHidden/>
    <w:qFormat/>
    <w:uiPriority w:val="0"/>
    <w:rPr>
      <w:rFonts w:ascii="宋体" w:hAnsi="宋体" w:eastAsia="宋体" w:cs="宋体"/>
      <w:sz w:val="24"/>
      <w:szCs w:val="24"/>
      <w:lang w:val="en-US" w:eastAsia="en-US" w:bidi="ar-SA"/>
    </w:rPr>
  </w:style>
  <w:style w:type="paragraph" w:customStyle="1" w:styleId="62">
    <w:name w:val="晓丹"/>
    <w:basedOn w:val="23"/>
    <w:qFormat/>
    <w:uiPriority w:val="0"/>
    <w:pPr>
      <w:widowControl w:val="0"/>
      <w:adjustRightInd w:val="0"/>
      <w:snapToGrid w:val="0"/>
      <w:spacing w:after="0" w:line="360" w:lineRule="auto"/>
      <w:ind w:firstLine="200" w:firstLineChars="200"/>
      <w:jc w:val="both"/>
      <w:textAlignment w:val="baseline"/>
    </w:pPr>
    <w:rPr>
      <w:rFonts w:ascii="宋体" w:hAnsi="宋体"/>
      <w:color w:val="000000"/>
      <w:spacing w:val="6"/>
      <w:kern w:val="0"/>
      <w:sz w:val="24"/>
      <w:szCs w:val="20"/>
    </w:rPr>
  </w:style>
  <w:style w:type="paragraph" w:customStyle="1" w:styleId="63">
    <w:name w:val="新正文"/>
    <w:basedOn w:val="1"/>
    <w:qFormat/>
    <w:uiPriority w:val="99"/>
    <w:pPr>
      <w:widowControl/>
      <w:spacing w:line="380" w:lineRule="exact"/>
      <w:ind w:firstLine="567" w:firstLineChars="0"/>
      <w:jc w:val="left"/>
    </w:pPr>
    <w:rPr>
      <w:rFonts w:ascii="仿宋_GB2312" w:hAnsi="Arial" w:eastAsia="仿宋_GB2312" w:cs="Arial"/>
      <w:bCs/>
      <w:kern w:val="0"/>
      <w:szCs w:val="20"/>
    </w:rPr>
  </w:style>
  <w:style w:type="paragraph" w:customStyle="1" w:styleId="64">
    <w:name w:val="1-正文"/>
    <w:basedOn w:val="1"/>
    <w:next w:val="1"/>
    <w:qFormat/>
    <w:uiPriority w:val="0"/>
    <w:pPr>
      <w:spacing w:line="360" w:lineRule="auto"/>
      <w:ind w:firstLine="200" w:firstLineChars="200"/>
      <w:jc w:val="left"/>
    </w:pPr>
    <w:rPr>
      <w:rFonts w:cs="宋体"/>
      <w:bCs/>
      <w:color w:val="000000"/>
      <w:kern w:val="0"/>
    </w:rPr>
  </w:style>
  <w:style w:type="paragraph" w:customStyle="1" w:styleId="65">
    <w:name w:val="表头 王"/>
    <w:basedOn w:val="9"/>
    <w:qFormat/>
    <w:uiPriority w:val="0"/>
    <w:pPr>
      <w:spacing w:before="0" w:after="0" w:line="360" w:lineRule="auto"/>
      <w:ind w:firstLine="482" w:firstLineChars="200"/>
      <w:jc w:val="center"/>
    </w:pPr>
    <w:rPr>
      <w:rFonts w:ascii="Times New Roman" w:hAnsi="Times New Roman" w:eastAsia="宋体" w:cs="Times New Roman"/>
      <w:bCs/>
      <w:snapToGrid w:val="0"/>
      <w:kern w:val="2"/>
      <w:sz w:val="24"/>
      <w:szCs w:val="18"/>
    </w:rPr>
  </w:style>
  <w:style w:type="paragraph" w:customStyle="1" w:styleId="66">
    <w:name w:val="⑥表正文"/>
    <w:basedOn w:val="1"/>
    <w:qFormat/>
    <w:uiPriority w:val="0"/>
    <w:pPr>
      <w:adjustRightInd w:val="0"/>
      <w:snapToGrid w:val="0"/>
      <w:spacing w:line="240" w:lineRule="auto"/>
      <w:ind w:left="0" w:leftChars="0" w:right="0" w:rightChars="0" w:firstLine="0" w:firstLineChars="0"/>
      <w:jc w:val="center"/>
    </w:pPr>
    <w:rPr>
      <w:rFonts w:ascii="Times New Roman" w:hAnsi="Times New Roman" w:eastAsia="宋体" w:cs="Times New Roman"/>
      <w:sz w:val="21"/>
      <w:lang w:eastAsia="en-US"/>
    </w:rPr>
  </w:style>
  <w:style w:type="paragraph" w:customStyle="1" w:styleId="67">
    <w:name w:val="表格-自"/>
    <w:basedOn w:val="1"/>
    <w:qFormat/>
    <w:uiPriority w:val="0"/>
    <w:pPr>
      <w:spacing w:line="240" w:lineRule="auto"/>
    </w:pPr>
    <w:rPr>
      <w:rFonts w:hint="eastAsia" w:ascii="Times New Roman" w:hAnsi="Times New Roman" w:eastAsia="宋体"/>
      <w:color w:val="auto"/>
      <w:lang w:val="zh-CN"/>
    </w:rPr>
  </w:style>
  <w:style w:type="table" w:customStyle="1" w:styleId="68">
    <w:name w:val="Table Normal"/>
    <w:semiHidden/>
    <w:unhideWhenUsed/>
    <w:qFormat/>
    <w:uiPriority w:val="0"/>
    <w:tblPr>
      <w:tblCellMar>
        <w:top w:w="0" w:type="dxa"/>
        <w:left w:w="0" w:type="dxa"/>
        <w:bottom w:w="0" w:type="dxa"/>
        <w:right w:w="0" w:type="dxa"/>
      </w:tblCellMar>
    </w:tblPr>
  </w:style>
  <w:style w:type="paragraph" w:customStyle="1" w:styleId="69">
    <w:name w:val="_Style 28"/>
    <w:basedOn w:val="1"/>
    <w:qFormat/>
    <w:uiPriority w:val="0"/>
    <w:pPr>
      <w:widowControl/>
      <w:spacing w:after="160" w:line="240" w:lineRule="exact"/>
      <w:jc w:val="left"/>
    </w:pPr>
    <w:rPr>
      <w:szCs w:val="24"/>
    </w:r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customXml" Target="../customXml/item1.xml"/><Relationship Id="rId90" Type="http://schemas.openxmlformats.org/officeDocument/2006/relationships/image" Target="media/image75.png"/><Relationship Id="rId9" Type="http://schemas.openxmlformats.org/officeDocument/2006/relationships/theme" Target="theme/theme1.xml"/><Relationship Id="rId89" Type="http://schemas.openxmlformats.org/officeDocument/2006/relationships/image" Target="media/image74.png"/><Relationship Id="rId88" Type="http://schemas.openxmlformats.org/officeDocument/2006/relationships/image" Target="media/image73.png"/><Relationship Id="rId87" Type="http://schemas.openxmlformats.org/officeDocument/2006/relationships/image" Target="media/image72.png"/><Relationship Id="rId86" Type="http://schemas.openxmlformats.org/officeDocument/2006/relationships/image" Target="media/image71.png"/><Relationship Id="rId85" Type="http://schemas.openxmlformats.org/officeDocument/2006/relationships/image" Target="media/image70.png"/><Relationship Id="rId84" Type="http://schemas.openxmlformats.org/officeDocument/2006/relationships/image" Target="media/image69.png"/><Relationship Id="rId83" Type="http://schemas.openxmlformats.org/officeDocument/2006/relationships/image" Target="media/image68.png"/><Relationship Id="rId82" Type="http://schemas.openxmlformats.org/officeDocument/2006/relationships/image" Target="media/image67.png"/><Relationship Id="rId81" Type="http://schemas.openxmlformats.org/officeDocument/2006/relationships/image" Target="media/image66.png"/><Relationship Id="rId80" Type="http://schemas.openxmlformats.org/officeDocument/2006/relationships/image" Target="media/image65.png"/><Relationship Id="rId8" Type="http://schemas.openxmlformats.org/officeDocument/2006/relationships/footer" Target="footer4.xml"/><Relationship Id="rId79" Type="http://schemas.openxmlformats.org/officeDocument/2006/relationships/image" Target="media/image64.png"/><Relationship Id="rId78" Type="http://schemas.openxmlformats.org/officeDocument/2006/relationships/image" Target="media/image63.png"/><Relationship Id="rId77" Type="http://schemas.openxmlformats.org/officeDocument/2006/relationships/image" Target="media/image62.png"/><Relationship Id="rId76" Type="http://schemas.openxmlformats.org/officeDocument/2006/relationships/image" Target="media/image61.png"/><Relationship Id="rId75" Type="http://schemas.openxmlformats.org/officeDocument/2006/relationships/image" Target="media/image60.png"/><Relationship Id="rId74" Type="http://schemas.openxmlformats.org/officeDocument/2006/relationships/image" Target="media/image59.png"/><Relationship Id="rId73" Type="http://schemas.openxmlformats.org/officeDocument/2006/relationships/image" Target="media/image58.png"/><Relationship Id="rId72" Type="http://schemas.openxmlformats.org/officeDocument/2006/relationships/image" Target="media/image57.png"/><Relationship Id="rId71" Type="http://schemas.openxmlformats.org/officeDocument/2006/relationships/image" Target="media/image56.png"/><Relationship Id="rId70" Type="http://schemas.openxmlformats.org/officeDocument/2006/relationships/image" Target="media/image55.png"/><Relationship Id="rId7" Type="http://schemas.openxmlformats.org/officeDocument/2006/relationships/footer" Target="footer3.xml"/><Relationship Id="rId69" Type="http://schemas.openxmlformats.org/officeDocument/2006/relationships/image" Target="media/image54.png"/><Relationship Id="rId68" Type="http://schemas.openxmlformats.org/officeDocument/2006/relationships/image" Target="media/image53.png"/><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footer" Target="footer2.xml"/><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png"/><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footer" Target="footer1.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jpeg"/><Relationship Id="rId43" Type="http://schemas.openxmlformats.org/officeDocument/2006/relationships/image" Target="media/image28.jpeg"/><Relationship Id="rId42" Type="http://schemas.openxmlformats.org/officeDocument/2006/relationships/image" Target="media/image27.png"/><Relationship Id="rId41" Type="http://schemas.openxmlformats.org/officeDocument/2006/relationships/image" Target="media/image26.jpeg"/><Relationship Id="rId40" Type="http://schemas.openxmlformats.org/officeDocument/2006/relationships/image" Target="media/image25.wmf"/><Relationship Id="rId4" Type="http://schemas.openxmlformats.org/officeDocument/2006/relationships/endnotes" Target="endnotes.xml"/><Relationship Id="rId39" Type="http://schemas.openxmlformats.org/officeDocument/2006/relationships/oleObject" Target="embeddings/oleObject6.bin"/><Relationship Id="rId38" Type="http://schemas.openxmlformats.org/officeDocument/2006/relationships/image" Target="media/image24.jpeg"/><Relationship Id="rId37" Type="http://schemas.openxmlformats.org/officeDocument/2006/relationships/image" Target="media/image23.wmf"/><Relationship Id="rId36" Type="http://schemas.openxmlformats.org/officeDocument/2006/relationships/image" Target="media/image22.wmf"/><Relationship Id="rId35" Type="http://schemas.openxmlformats.org/officeDocument/2006/relationships/oleObject" Target="embeddings/oleObject5.bin"/><Relationship Id="rId34" Type="http://schemas.openxmlformats.org/officeDocument/2006/relationships/image" Target="media/image21.wmf"/><Relationship Id="rId33" Type="http://schemas.openxmlformats.org/officeDocument/2006/relationships/image" Target="media/image20.wmf"/><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footnotes" Target="footnotes.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126</Pages>
  <Words>41145</Words>
  <Characters>48830</Characters>
  <Lines>300</Lines>
  <Paragraphs>84</Paragraphs>
  <TotalTime>33</TotalTime>
  <ScaleCrop>false</ScaleCrop>
  <LinksUpToDate>false</LinksUpToDate>
  <CharactersWithSpaces>49060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2021-06-30T07:46:00Z</dcterms:created>
  <dc:creator>lhj</dc:creator>
  <cp:lastModifiedBy>WPS_1688448060</cp:lastModifiedBy>
  <cp:lastPrinted>2021-05-11T00:55:00Z</cp:lastPrinted>
  <dcterms:modified xsi:type="dcterms:W3CDTF">2026-10-10T02:00:06Z</dcterms:modified>
  <dc:title>附件2</dc:title>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82AC3A7EE51442069801E55AB87A7D7A_13</vt:lpwstr>
  </property>
  <property fmtid="{D5CDD505-2E9C-101B-9397-08002B2CF9AE}" pid="4" name="KSOTemplateDocerSaveRecord">
    <vt:lpwstr>eyJoZGlkIjoiNzY5YWZhOWY0NDVlNGZjMWIyZWU5Mzg4NGJjNTBiNjUiLCJ1c2VySWQiOiIxNTEwMjAzNjg3In0=</vt:lpwstr>
  </property>
</Properties>
</file>